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3611C" w14:textId="77777777" w:rsidR="007B182B" w:rsidRPr="00611315" w:rsidRDefault="007B182B" w:rsidP="007B182B">
      <w:pPr>
        <w:rPr>
          <w:rFonts w:ascii="Verdana" w:eastAsia="Arial" w:hAnsi="Verdana" w:cs="Arial"/>
          <w:sz w:val="22"/>
          <w:szCs w:val="22"/>
        </w:rPr>
      </w:pPr>
    </w:p>
    <w:p w14:paraId="4B0BD4B5" w14:textId="77777777" w:rsidR="000518CA" w:rsidRPr="00611315" w:rsidRDefault="000518CA" w:rsidP="007B182B">
      <w:pPr>
        <w:rPr>
          <w:rFonts w:ascii="Verdana" w:eastAsia="Arial" w:hAnsi="Verdana" w:cs="Arial"/>
          <w:sz w:val="22"/>
          <w:szCs w:val="22"/>
        </w:rPr>
      </w:pPr>
    </w:p>
    <w:p w14:paraId="4C1E2A71" w14:textId="77777777" w:rsidR="00B76F5A" w:rsidRPr="00611315" w:rsidRDefault="00B76F5A" w:rsidP="007B182B">
      <w:pPr>
        <w:rPr>
          <w:rFonts w:ascii="Verdana" w:eastAsia="Arial" w:hAnsi="Verdana" w:cs="Arial"/>
          <w:sz w:val="22"/>
          <w:szCs w:val="22"/>
        </w:rPr>
      </w:pPr>
    </w:p>
    <w:p w14:paraId="3D4DD66D" w14:textId="77777777" w:rsidR="00B76F5A" w:rsidRPr="00611315" w:rsidRDefault="00B76F5A" w:rsidP="007B182B">
      <w:pPr>
        <w:rPr>
          <w:rFonts w:ascii="Verdana" w:eastAsia="Arial" w:hAnsi="Verdana" w:cs="Arial"/>
          <w:sz w:val="22"/>
          <w:szCs w:val="22"/>
        </w:rPr>
      </w:pPr>
    </w:p>
    <w:p w14:paraId="0C009C8C" w14:textId="77777777" w:rsidR="00B76F5A" w:rsidRPr="00611315" w:rsidRDefault="00B76F5A" w:rsidP="007B182B">
      <w:pPr>
        <w:rPr>
          <w:rFonts w:ascii="Verdana" w:eastAsia="Arial" w:hAnsi="Verdana" w:cs="Arial"/>
          <w:sz w:val="22"/>
          <w:szCs w:val="22"/>
        </w:rPr>
      </w:pPr>
    </w:p>
    <w:p w14:paraId="7A60489F" w14:textId="77777777" w:rsidR="002340CF" w:rsidRPr="00611315" w:rsidRDefault="002340CF" w:rsidP="00A81BAA">
      <w:pPr>
        <w:rPr>
          <w:rFonts w:ascii="Verdana" w:eastAsia="Arial" w:hAnsi="Verdana" w:cs="Arial"/>
          <w:b/>
          <w:sz w:val="22"/>
          <w:szCs w:val="22"/>
        </w:rPr>
      </w:pPr>
    </w:p>
    <w:p w14:paraId="0A62BEC2" w14:textId="229D9E27" w:rsidR="002340CF" w:rsidRPr="00611315" w:rsidRDefault="216F4183" w:rsidP="449377F1">
      <w:pPr>
        <w:jc w:val="center"/>
        <w:rPr>
          <w:rFonts w:ascii="Verdana" w:eastAsia="Verdana Pro" w:hAnsi="Verdana" w:cs="Verdana Pro"/>
          <w:b/>
          <w:bCs/>
          <w:sz w:val="22"/>
          <w:szCs w:val="22"/>
        </w:rPr>
      </w:pPr>
      <w:r w:rsidRPr="00611315">
        <w:rPr>
          <w:rFonts w:ascii="Verdana" w:eastAsia="Verdana Pro" w:hAnsi="Verdana" w:cs="Verdana Pro"/>
          <w:b/>
          <w:bCs/>
          <w:sz w:val="22"/>
          <w:szCs w:val="22"/>
        </w:rPr>
        <w:t xml:space="preserve">ANEXO </w:t>
      </w:r>
    </w:p>
    <w:p w14:paraId="5359F0D2" w14:textId="6FA94855" w:rsidR="002340CF" w:rsidRPr="00611315" w:rsidRDefault="216F4183" w:rsidP="449377F1">
      <w:pPr>
        <w:jc w:val="center"/>
        <w:rPr>
          <w:rFonts w:ascii="Verdana" w:eastAsia="Verdana Pro" w:hAnsi="Verdana" w:cs="Verdana Pro"/>
          <w:b/>
          <w:bCs/>
          <w:sz w:val="22"/>
          <w:szCs w:val="22"/>
        </w:rPr>
      </w:pPr>
      <w:r w:rsidRPr="00611315">
        <w:rPr>
          <w:rFonts w:ascii="Verdana" w:eastAsia="Verdana Pro" w:hAnsi="Verdana" w:cs="Verdana Pro"/>
          <w:b/>
          <w:bCs/>
          <w:sz w:val="22"/>
          <w:szCs w:val="22"/>
        </w:rPr>
        <w:t xml:space="preserve">MEMORIA JUSTIFICATIVA </w:t>
      </w:r>
    </w:p>
    <w:p w14:paraId="753C2822" w14:textId="77777777" w:rsidR="002340CF" w:rsidRPr="00611315" w:rsidRDefault="002340CF" w:rsidP="449377F1">
      <w:pPr>
        <w:jc w:val="center"/>
        <w:rPr>
          <w:rFonts w:ascii="Verdana" w:eastAsia="Verdana Pro" w:hAnsi="Verdana" w:cs="Verdana Pro"/>
          <w:b/>
          <w:bCs/>
          <w:sz w:val="22"/>
          <w:szCs w:val="22"/>
        </w:rPr>
      </w:pPr>
    </w:p>
    <w:p w14:paraId="280D92EF" w14:textId="77777777" w:rsidR="002052D8" w:rsidRPr="00611315" w:rsidRDefault="002052D8" w:rsidP="449377F1">
      <w:pPr>
        <w:jc w:val="center"/>
        <w:rPr>
          <w:rFonts w:ascii="Verdana" w:eastAsia="Verdana Pro" w:hAnsi="Verdana" w:cs="Verdana Pro"/>
          <w:b/>
          <w:bCs/>
          <w:sz w:val="22"/>
          <w:szCs w:val="22"/>
        </w:rPr>
      </w:pPr>
    </w:p>
    <w:p w14:paraId="184E48C8" w14:textId="77777777" w:rsidR="002052D8" w:rsidRPr="00611315" w:rsidRDefault="002052D8" w:rsidP="449377F1">
      <w:pPr>
        <w:jc w:val="center"/>
        <w:rPr>
          <w:rFonts w:ascii="Verdana" w:eastAsia="Verdana Pro" w:hAnsi="Verdana" w:cs="Verdana Pro"/>
          <w:b/>
          <w:bCs/>
          <w:sz w:val="22"/>
          <w:szCs w:val="22"/>
        </w:rPr>
      </w:pPr>
    </w:p>
    <w:p w14:paraId="6C3F2DD1" w14:textId="77777777" w:rsidR="002340CF" w:rsidRPr="00611315" w:rsidRDefault="002340CF" w:rsidP="449377F1">
      <w:pPr>
        <w:jc w:val="center"/>
        <w:rPr>
          <w:rFonts w:ascii="Verdana" w:eastAsia="Verdana Pro" w:hAnsi="Verdana" w:cs="Verdana Pro"/>
          <w:b/>
          <w:bCs/>
          <w:sz w:val="22"/>
          <w:szCs w:val="22"/>
        </w:rPr>
      </w:pPr>
    </w:p>
    <w:p w14:paraId="438F7E49" w14:textId="77777777" w:rsidR="002340CF" w:rsidRPr="00611315" w:rsidRDefault="002340CF" w:rsidP="449377F1">
      <w:pPr>
        <w:jc w:val="center"/>
        <w:rPr>
          <w:rFonts w:ascii="Verdana" w:eastAsia="Verdana Pro" w:hAnsi="Verdana" w:cs="Verdana Pro"/>
          <w:b/>
          <w:bCs/>
          <w:sz w:val="22"/>
          <w:szCs w:val="22"/>
        </w:rPr>
      </w:pPr>
    </w:p>
    <w:p w14:paraId="7612261F" w14:textId="77777777" w:rsidR="002340CF" w:rsidRPr="00611315" w:rsidRDefault="002340CF" w:rsidP="449377F1">
      <w:pPr>
        <w:jc w:val="center"/>
        <w:rPr>
          <w:rFonts w:ascii="Verdana" w:eastAsia="Verdana Pro" w:hAnsi="Verdana" w:cs="Verdana Pro"/>
          <w:b/>
          <w:bCs/>
          <w:sz w:val="22"/>
          <w:szCs w:val="22"/>
        </w:rPr>
      </w:pPr>
    </w:p>
    <w:p w14:paraId="001D52F8" w14:textId="77777777" w:rsidR="002340CF" w:rsidRPr="00611315" w:rsidRDefault="002340CF" w:rsidP="449377F1">
      <w:pPr>
        <w:jc w:val="center"/>
        <w:rPr>
          <w:rFonts w:ascii="Verdana" w:eastAsia="Verdana Pro" w:hAnsi="Verdana" w:cs="Verdana Pro"/>
          <w:b/>
          <w:bCs/>
          <w:sz w:val="22"/>
          <w:szCs w:val="22"/>
        </w:rPr>
      </w:pPr>
    </w:p>
    <w:p w14:paraId="4CFF44D3" w14:textId="63995C60" w:rsidR="002340CF" w:rsidRPr="00611315" w:rsidRDefault="0764339E" w:rsidP="449377F1">
      <w:pPr>
        <w:jc w:val="center"/>
        <w:rPr>
          <w:rFonts w:ascii="Verdana" w:eastAsia="Verdana Pro" w:hAnsi="Verdana" w:cs="Verdana Pro"/>
          <w:b/>
          <w:bCs/>
          <w:sz w:val="22"/>
          <w:szCs w:val="22"/>
        </w:rPr>
      </w:pPr>
      <w:r w:rsidRPr="00611315">
        <w:rPr>
          <w:rFonts w:ascii="Verdana" w:eastAsia="Verdana Pro" w:hAnsi="Verdana" w:cs="Verdana Pro"/>
          <w:b/>
          <w:bCs/>
          <w:sz w:val="22"/>
          <w:szCs w:val="22"/>
        </w:rPr>
        <w:t xml:space="preserve">ANÁLISIS SECTORIAL PARA LA ACTUALIZACIÓN DEL DOCUMENTO TIPO INFRAESTRUCTURA </w:t>
      </w:r>
      <w:r w:rsidR="008036E4" w:rsidRPr="00611315">
        <w:rPr>
          <w:rFonts w:ascii="Verdana" w:eastAsia="Verdana Pro" w:hAnsi="Verdana" w:cs="Verdana Pro"/>
          <w:b/>
          <w:bCs/>
          <w:sz w:val="22"/>
          <w:szCs w:val="22"/>
        </w:rPr>
        <w:t>DE AGUA POTABLE Y SANEAMIENTO BÁSICO</w:t>
      </w:r>
      <w:r w:rsidRPr="00611315">
        <w:rPr>
          <w:rFonts w:ascii="Verdana" w:eastAsia="Verdana Pro" w:hAnsi="Verdana" w:cs="Verdana Pro"/>
          <w:b/>
          <w:bCs/>
          <w:sz w:val="22"/>
          <w:szCs w:val="22"/>
        </w:rPr>
        <w:t xml:space="preserve"> </w:t>
      </w:r>
      <w:r w:rsidR="00303AC1" w:rsidRPr="00611315">
        <w:rPr>
          <w:rFonts w:ascii="Verdana" w:eastAsia="Verdana Pro" w:hAnsi="Verdana" w:cs="Verdana Pro"/>
          <w:b/>
          <w:bCs/>
          <w:sz w:val="22"/>
          <w:szCs w:val="22"/>
        </w:rPr>
        <w:t xml:space="preserve">EN LAS </w:t>
      </w:r>
      <w:r w:rsidRPr="00611315">
        <w:rPr>
          <w:rFonts w:ascii="Verdana" w:eastAsia="Verdana Pro" w:hAnsi="Verdana" w:cs="Verdana Pro"/>
          <w:b/>
          <w:bCs/>
          <w:sz w:val="22"/>
          <w:szCs w:val="22"/>
        </w:rPr>
        <w:t xml:space="preserve">MODALIDADES DE SELECCIÓN </w:t>
      </w:r>
      <w:r w:rsidR="2D375BEE" w:rsidRPr="00611315">
        <w:rPr>
          <w:rFonts w:ascii="Verdana" w:eastAsia="Verdana Pro" w:hAnsi="Verdana" w:cs="Verdana Pro"/>
          <w:b/>
          <w:bCs/>
          <w:sz w:val="22"/>
          <w:szCs w:val="22"/>
        </w:rPr>
        <w:t>LICITACIÓN PÚBLICA</w:t>
      </w:r>
      <w:r w:rsidRPr="00611315">
        <w:rPr>
          <w:rFonts w:ascii="Verdana" w:eastAsia="Verdana Pro" w:hAnsi="Verdana" w:cs="Verdana Pro"/>
          <w:b/>
          <w:bCs/>
          <w:sz w:val="22"/>
          <w:szCs w:val="22"/>
        </w:rPr>
        <w:t>.</w:t>
      </w:r>
    </w:p>
    <w:p w14:paraId="5A199F92" w14:textId="77777777" w:rsidR="00132EF8" w:rsidRPr="00611315" w:rsidRDefault="00132EF8" w:rsidP="449377F1">
      <w:pPr>
        <w:jc w:val="center"/>
        <w:rPr>
          <w:rFonts w:ascii="Verdana" w:eastAsia="Verdana Pro" w:hAnsi="Verdana" w:cs="Verdana Pro"/>
          <w:b/>
          <w:bCs/>
          <w:sz w:val="22"/>
          <w:szCs w:val="22"/>
        </w:rPr>
      </w:pPr>
    </w:p>
    <w:p w14:paraId="6E840B60" w14:textId="5B288665" w:rsidR="177792B3" w:rsidRPr="00611315" w:rsidRDefault="177792B3" w:rsidP="449377F1">
      <w:pPr>
        <w:jc w:val="center"/>
        <w:rPr>
          <w:rFonts w:ascii="Verdana" w:eastAsia="Verdana Pro" w:hAnsi="Verdana" w:cs="Verdana Pro"/>
          <w:b/>
          <w:bCs/>
          <w:sz w:val="22"/>
          <w:szCs w:val="22"/>
        </w:rPr>
      </w:pPr>
    </w:p>
    <w:p w14:paraId="2F65E8DD" w14:textId="7DA41AA7" w:rsidR="177792B3" w:rsidRPr="00611315" w:rsidRDefault="177792B3" w:rsidP="449377F1">
      <w:pPr>
        <w:jc w:val="center"/>
        <w:rPr>
          <w:rFonts w:ascii="Verdana" w:eastAsia="Verdana Pro" w:hAnsi="Verdana" w:cs="Verdana Pro"/>
          <w:b/>
          <w:bCs/>
          <w:sz w:val="22"/>
          <w:szCs w:val="22"/>
        </w:rPr>
      </w:pPr>
    </w:p>
    <w:p w14:paraId="5919E553" w14:textId="2F864EFC" w:rsidR="177792B3" w:rsidRPr="00611315" w:rsidRDefault="177792B3" w:rsidP="449377F1">
      <w:pPr>
        <w:jc w:val="center"/>
        <w:rPr>
          <w:rFonts w:ascii="Verdana" w:eastAsia="Verdana Pro" w:hAnsi="Verdana" w:cs="Verdana Pro"/>
          <w:b/>
          <w:bCs/>
          <w:sz w:val="22"/>
          <w:szCs w:val="22"/>
        </w:rPr>
      </w:pPr>
    </w:p>
    <w:p w14:paraId="2029727E" w14:textId="06FABFBB" w:rsidR="002052D8" w:rsidRPr="00611315" w:rsidRDefault="4A4A10E8" w:rsidP="449377F1">
      <w:pPr>
        <w:jc w:val="center"/>
        <w:rPr>
          <w:rFonts w:ascii="Verdana" w:eastAsia="Verdana Pro" w:hAnsi="Verdana" w:cs="Verdana Pro"/>
          <w:b/>
          <w:bCs/>
          <w:sz w:val="22"/>
          <w:szCs w:val="22"/>
        </w:rPr>
      </w:pPr>
      <w:r w:rsidRPr="00611315">
        <w:rPr>
          <w:rFonts w:ascii="Verdana" w:eastAsia="Verdana Pro" w:hAnsi="Verdana" w:cs="Verdana Pro"/>
          <w:b/>
          <w:bCs/>
          <w:sz w:val="22"/>
          <w:szCs w:val="22"/>
        </w:rPr>
        <w:t>202</w:t>
      </w:r>
      <w:r w:rsidR="008036E4" w:rsidRPr="00611315">
        <w:rPr>
          <w:rFonts w:ascii="Verdana" w:eastAsia="Verdana Pro" w:hAnsi="Verdana" w:cs="Verdana Pro"/>
          <w:b/>
          <w:bCs/>
          <w:sz w:val="22"/>
          <w:szCs w:val="22"/>
        </w:rPr>
        <w:t>6</w:t>
      </w:r>
    </w:p>
    <w:p w14:paraId="3B46C43C" w14:textId="77777777" w:rsidR="002340CF" w:rsidRPr="00611315" w:rsidRDefault="002340CF" w:rsidP="449377F1">
      <w:pPr>
        <w:jc w:val="center"/>
        <w:rPr>
          <w:rFonts w:ascii="Verdana" w:eastAsia="Verdana Pro" w:hAnsi="Verdana" w:cs="Verdana Pro"/>
          <w:b/>
          <w:bCs/>
          <w:sz w:val="22"/>
          <w:szCs w:val="22"/>
        </w:rPr>
      </w:pPr>
    </w:p>
    <w:p w14:paraId="3633B306" w14:textId="77777777" w:rsidR="002340CF" w:rsidRPr="00611315" w:rsidRDefault="002340CF" w:rsidP="449377F1">
      <w:pPr>
        <w:jc w:val="center"/>
        <w:rPr>
          <w:rFonts w:ascii="Verdana" w:eastAsia="Verdana Pro" w:hAnsi="Verdana" w:cs="Verdana Pro"/>
          <w:b/>
          <w:bCs/>
          <w:sz w:val="22"/>
          <w:szCs w:val="22"/>
        </w:rPr>
      </w:pPr>
    </w:p>
    <w:p w14:paraId="40171ED1" w14:textId="77777777" w:rsidR="002340CF" w:rsidRPr="00611315" w:rsidRDefault="002340CF" w:rsidP="449377F1">
      <w:pPr>
        <w:jc w:val="center"/>
        <w:rPr>
          <w:rFonts w:ascii="Verdana" w:eastAsia="Verdana Pro" w:hAnsi="Verdana" w:cs="Verdana Pro"/>
          <w:b/>
          <w:bCs/>
          <w:sz w:val="22"/>
          <w:szCs w:val="22"/>
        </w:rPr>
      </w:pPr>
    </w:p>
    <w:p w14:paraId="4D71630C" w14:textId="77777777" w:rsidR="002340CF" w:rsidRPr="00611315" w:rsidRDefault="002340CF" w:rsidP="449377F1">
      <w:pPr>
        <w:jc w:val="center"/>
        <w:rPr>
          <w:rFonts w:ascii="Verdana" w:eastAsia="Verdana Pro" w:hAnsi="Verdana" w:cs="Verdana Pro"/>
          <w:b/>
          <w:bCs/>
          <w:sz w:val="22"/>
          <w:szCs w:val="22"/>
        </w:rPr>
      </w:pPr>
    </w:p>
    <w:p w14:paraId="6DC16352" w14:textId="77777777" w:rsidR="002340CF" w:rsidRPr="00611315" w:rsidRDefault="002340CF" w:rsidP="449377F1">
      <w:pPr>
        <w:jc w:val="center"/>
        <w:rPr>
          <w:rFonts w:ascii="Verdana" w:eastAsia="Verdana Pro" w:hAnsi="Verdana" w:cs="Verdana Pro"/>
          <w:b/>
          <w:bCs/>
          <w:sz w:val="22"/>
          <w:szCs w:val="22"/>
        </w:rPr>
      </w:pPr>
    </w:p>
    <w:p w14:paraId="7FA29601" w14:textId="77777777" w:rsidR="002340CF" w:rsidRPr="00611315" w:rsidRDefault="002340CF" w:rsidP="449377F1">
      <w:pPr>
        <w:jc w:val="center"/>
        <w:rPr>
          <w:rFonts w:ascii="Verdana" w:eastAsia="Verdana Pro" w:hAnsi="Verdana" w:cs="Verdana Pro"/>
          <w:b/>
          <w:bCs/>
          <w:sz w:val="22"/>
          <w:szCs w:val="22"/>
        </w:rPr>
      </w:pPr>
    </w:p>
    <w:p w14:paraId="4912D20F" w14:textId="67C9A2E0" w:rsidR="3C4C3544" w:rsidRPr="00611315" w:rsidRDefault="3C4C3544" w:rsidP="449377F1">
      <w:pPr>
        <w:jc w:val="center"/>
        <w:rPr>
          <w:rFonts w:ascii="Verdana" w:eastAsia="Verdana Pro" w:hAnsi="Verdana" w:cs="Verdana Pro"/>
          <w:b/>
          <w:bCs/>
          <w:sz w:val="22"/>
          <w:szCs w:val="22"/>
        </w:rPr>
      </w:pPr>
    </w:p>
    <w:p w14:paraId="07EFB356" w14:textId="24616B9F" w:rsidR="007A79A5" w:rsidRPr="00611315" w:rsidRDefault="007A79A5" w:rsidP="449377F1">
      <w:pPr>
        <w:jc w:val="center"/>
        <w:rPr>
          <w:rFonts w:ascii="Verdana" w:hAnsi="Verdana"/>
          <w:noProof/>
        </w:rPr>
      </w:pPr>
    </w:p>
    <w:p w14:paraId="35BE59E0" w14:textId="77777777" w:rsidR="004F3811" w:rsidRPr="00611315" w:rsidRDefault="004F3811" w:rsidP="449377F1">
      <w:pPr>
        <w:jc w:val="center"/>
        <w:rPr>
          <w:rFonts w:ascii="Verdana" w:hAnsi="Verdana"/>
          <w:noProof/>
        </w:rPr>
      </w:pPr>
    </w:p>
    <w:p w14:paraId="176E667E" w14:textId="77777777" w:rsidR="004F3811" w:rsidRPr="00611315" w:rsidRDefault="004F3811" w:rsidP="449377F1">
      <w:pPr>
        <w:jc w:val="center"/>
        <w:rPr>
          <w:rFonts w:ascii="Verdana" w:hAnsi="Verdana"/>
          <w:noProof/>
        </w:rPr>
      </w:pPr>
    </w:p>
    <w:p w14:paraId="2744D8F1" w14:textId="77777777" w:rsidR="004F3811" w:rsidRPr="00611315" w:rsidRDefault="004F3811" w:rsidP="449377F1">
      <w:pPr>
        <w:jc w:val="center"/>
        <w:rPr>
          <w:rFonts w:ascii="Verdana" w:hAnsi="Verdana"/>
          <w:noProof/>
        </w:rPr>
      </w:pPr>
    </w:p>
    <w:p w14:paraId="0C69624E" w14:textId="77777777" w:rsidR="004F3811" w:rsidRPr="00611315" w:rsidRDefault="004F3811" w:rsidP="449377F1">
      <w:pPr>
        <w:jc w:val="center"/>
        <w:rPr>
          <w:rFonts w:ascii="Verdana" w:hAnsi="Verdana"/>
          <w:noProof/>
        </w:rPr>
      </w:pPr>
    </w:p>
    <w:p w14:paraId="3C26B26B" w14:textId="77777777" w:rsidR="004F3811" w:rsidRPr="00611315" w:rsidRDefault="004F3811" w:rsidP="449377F1">
      <w:pPr>
        <w:jc w:val="center"/>
        <w:rPr>
          <w:rFonts w:ascii="Verdana" w:hAnsi="Verdana"/>
          <w:noProof/>
        </w:rPr>
      </w:pPr>
    </w:p>
    <w:p w14:paraId="59D27EB5" w14:textId="77777777" w:rsidR="004F3811" w:rsidRPr="00611315" w:rsidRDefault="004F3811" w:rsidP="449377F1">
      <w:pPr>
        <w:jc w:val="center"/>
        <w:rPr>
          <w:rFonts w:ascii="Verdana" w:hAnsi="Verdana"/>
          <w:noProof/>
        </w:rPr>
      </w:pPr>
    </w:p>
    <w:p w14:paraId="59AA3C34" w14:textId="77777777" w:rsidR="004F3811" w:rsidRPr="00611315" w:rsidRDefault="004F3811" w:rsidP="449377F1">
      <w:pPr>
        <w:jc w:val="center"/>
        <w:rPr>
          <w:rFonts w:ascii="Verdana" w:eastAsia="Verdana Pro" w:hAnsi="Verdana" w:cs="Verdana Pro"/>
          <w:b/>
          <w:bCs/>
          <w:sz w:val="22"/>
          <w:szCs w:val="22"/>
        </w:rPr>
      </w:pPr>
    </w:p>
    <w:p w14:paraId="5B32B049" w14:textId="77777777" w:rsidR="007A79A5" w:rsidRPr="00611315" w:rsidRDefault="007A79A5" w:rsidP="449377F1">
      <w:pPr>
        <w:jc w:val="center"/>
        <w:rPr>
          <w:rFonts w:ascii="Verdana" w:eastAsia="Verdana Pro" w:hAnsi="Verdana" w:cs="Verdana Pro"/>
          <w:b/>
          <w:bCs/>
          <w:sz w:val="22"/>
          <w:szCs w:val="22"/>
        </w:rPr>
      </w:pPr>
    </w:p>
    <w:p w14:paraId="157CCC4A" w14:textId="77777777" w:rsidR="007A79A5" w:rsidRPr="00611315" w:rsidRDefault="007A79A5" w:rsidP="449377F1">
      <w:pPr>
        <w:jc w:val="center"/>
        <w:rPr>
          <w:rFonts w:ascii="Verdana" w:eastAsia="Verdana Pro" w:hAnsi="Verdana" w:cs="Verdana Pro"/>
          <w:b/>
          <w:bCs/>
          <w:sz w:val="22"/>
          <w:szCs w:val="22"/>
        </w:rPr>
      </w:pPr>
    </w:p>
    <w:p w14:paraId="167DA238" w14:textId="2C28534A" w:rsidR="3C4C3544" w:rsidRPr="00611315" w:rsidRDefault="3C4C3544" w:rsidP="449377F1">
      <w:pPr>
        <w:jc w:val="center"/>
        <w:rPr>
          <w:rFonts w:ascii="Verdana" w:eastAsia="Verdana Pro" w:hAnsi="Verdana" w:cs="Verdana Pro"/>
          <w:b/>
          <w:bCs/>
          <w:sz w:val="22"/>
          <w:szCs w:val="22"/>
        </w:rPr>
      </w:pPr>
    </w:p>
    <w:p w14:paraId="3D29FF4A" w14:textId="77777777" w:rsidR="00306A81" w:rsidRPr="00611315" w:rsidRDefault="00306A81" w:rsidP="449377F1">
      <w:pPr>
        <w:jc w:val="center"/>
        <w:rPr>
          <w:rFonts w:ascii="Verdana" w:eastAsia="Verdana Pro" w:hAnsi="Verdana" w:cs="Verdana Pro"/>
          <w:b/>
          <w:bCs/>
          <w:sz w:val="22"/>
          <w:szCs w:val="22"/>
        </w:rPr>
      </w:pPr>
    </w:p>
    <w:sdt>
      <w:sdtPr>
        <w:rPr>
          <w:rFonts w:ascii="Verdana" w:eastAsia="Verdana Pro" w:hAnsi="Verdana" w:cs="Verdana Pro"/>
          <w:color w:val="auto"/>
          <w:sz w:val="22"/>
          <w:szCs w:val="22"/>
          <w:lang w:val="es-ES" w:eastAsia="es-MX"/>
        </w:rPr>
        <w:id w:val="-1004971902"/>
        <w:docPartObj>
          <w:docPartGallery w:val="Table of Contents"/>
          <w:docPartUnique/>
        </w:docPartObj>
      </w:sdtPr>
      <w:sdtEndPr>
        <w:rPr>
          <w:rFonts w:eastAsia="Times New Roman" w:cs="Arial"/>
          <w:b/>
          <w:bCs/>
        </w:rPr>
      </w:sdtEndPr>
      <w:sdtContent>
        <w:p w14:paraId="126E736A" w14:textId="0DC37DBD" w:rsidR="003B49F9" w:rsidRPr="00611315" w:rsidRDefault="002A6241" w:rsidP="449377F1">
          <w:pPr>
            <w:pStyle w:val="TtuloTDC"/>
            <w:jc w:val="center"/>
            <w:rPr>
              <w:rFonts w:ascii="Verdana" w:eastAsia="Verdana Pro" w:hAnsi="Verdana" w:cs="Verdana Pro"/>
              <w:b/>
              <w:bCs/>
              <w:color w:val="auto"/>
              <w:sz w:val="22"/>
              <w:szCs w:val="22"/>
            </w:rPr>
          </w:pPr>
          <w:r w:rsidRPr="00611315">
            <w:rPr>
              <w:rFonts w:ascii="Verdana" w:eastAsia="Times New Roman" w:hAnsi="Verdana" w:cs="Arial"/>
              <w:b/>
              <w:bCs/>
              <w:color w:val="auto"/>
              <w:sz w:val="22"/>
              <w:szCs w:val="22"/>
              <w:lang w:val="es-ES" w:eastAsia="es-MX"/>
            </w:rPr>
            <w:t xml:space="preserve">TABLA DE </w:t>
          </w:r>
          <w:r w:rsidRPr="00611315">
            <w:rPr>
              <w:rFonts w:ascii="Verdana" w:hAnsi="Verdana" w:cs="Arial"/>
              <w:b/>
              <w:bCs/>
              <w:color w:val="auto"/>
              <w:sz w:val="22"/>
              <w:szCs w:val="22"/>
              <w:lang w:val="es-ES"/>
            </w:rPr>
            <w:t>CONTENIDO</w:t>
          </w:r>
        </w:p>
        <w:p w14:paraId="2345BD12" w14:textId="3F919A13" w:rsidR="005645DE" w:rsidRDefault="003B49F9">
          <w:pPr>
            <w:pStyle w:val="TDC1"/>
            <w:rPr>
              <w:rFonts w:asciiTheme="minorHAnsi" w:eastAsiaTheme="minorEastAsia" w:hAnsiTheme="minorHAnsi" w:cstheme="minorBidi"/>
              <w:noProof/>
              <w:kern w:val="2"/>
              <w:lang w:eastAsia="es-CO"/>
              <w14:ligatures w14:val="standardContextual"/>
            </w:rPr>
          </w:pPr>
          <w:r w:rsidRPr="00611315">
            <w:rPr>
              <w:rFonts w:ascii="Verdana" w:hAnsi="Verdana" w:cs="Arial"/>
              <w:sz w:val="22"/>
              <w:szCs w:val="22"/>
            </w:rPr>
            <w:fldChar w:fldCharType="begin"/>
          </w:r>
          <w:r w:rsidRPr="00611315">
            <w:rPr>
              <w:rFonts w:ascii="Verdana" w:hAnsi="Verdana" w:cs="Arial"/>
              <w:sz w:val="22"/>
              <w:szCs w:val="22"/>
            </w:rPr>
            <w:instrText xml:space="preserve"> TOC \o "1-3" \h \z \u </w:instrText>
          </w:r>
          <w:r w:rsidRPr="00611315">
            <w:rPr>
              <w:rFonts w:ascii="Verdana" w:hAnsi="Verdana" w:cs="Arial"/>
              <w:sz w:val="22"/>
              <w:szCs w:val="22"/>
            </w:rPr>
            <w:fldChar w:fldCharType="separate"/>
          </w:r>
          <w:hyperlink w:anchor="_Toc231368608" w:history="1">
            <w:r w:rsidR="005645DE" w:rsidRPr="00D06892">
              <w:rPr>
                <w:rStyle w:val="Hipervnculo"/>
                <w:rFonts w:ascii="Verdana" w:eastAsia="Verdana Pro" w:hAnsi="Verdana" w:cs="Verdana Pro"/>
                <w:noProof/>
              </w:rPr>
              <w:t>I.</w:t>
            </w:r>
            <w:r w:rsidR="005645DE">
              <w:rPr>
                <w:rFonts w:asciiTheme="minorHAnsi" w:eastAsiaTheme="minorEastAsia" w:hAnsiTheme="minorHAnsi" w:cstheme="minorBidi"/>
                <w:noProof/>
                <w:kern w:val="2"/>
                <w:lang w:eastAsia="es-CO"/>
                <w14:ligatures w14:val="standardContextual"/>
              </w:rPr>
              <w:tab/>
            </w:r>
            <w:r w:rsidR="005645DE" w:rsidRPr="00D06892">
              <w:rPr>
                <w:rStyle w:val="Hipervnculo"/>
                <w:rFonts w:ascii="Verdana" w:eastAsia="Verdana Pro" w:hAnsi="Verdana" w:cs="Verdana Pro"/>
                <w:noProof/>
              </w:rPr>
              <w:t>ASPECTOS GENERALES DEL SECTOR</w:t>
            </w:r>
            <w:r w:rsidR="005645DE">
              <w:rPr>
                <w:noProof/>
                <w:webHidden/>
              </w:rPr>
              <w:tab/>
            </w:r>
            <w:r w:rsidR="005645DE">
              <w:rPr>
                <w:noProof/>
                <w:webHidden/>
              </w:rPr>
              <w:fldChar w:fldCharType="begin"/>
            </w:r>
            <w:r w:rsidR="005645DE">
              <w:rPr>
                <w:noProof/>
                <w:webHidden/>
              </w:rPr>
              <w:instrText xml:space="preserve"> PAGEREF _Toc231368608 \h </w:instrText>
            </w:r>
            <w:r w:rsidR="005645DE">
              <w:rPr>
                <w:noProof/>
                <w:webHidden/>
              </w:rPr>
            </w:r>
            <w:r w:rsidR="005645DE">
              <w:rPr>
                <w:noProof/>
                <w:webHidden/>
              </w:rPr>
              <w:fldChar w:fldCharType="separate"/>
            </w:r>
            <w:r w:rsidR="002933C1">
              <w:rPr>
                <w:noProof/>
                <w:webHidden/>
              </w:rPr>
              <w:t>7</w:t>
            </w:r>
            <w:r w:rsidR="005645DE">
              <w:rPr>
                <w:noProof/>
                <w:webHidden/>
              </w:rPr>
              <w:fldChar w:fldCharType="end"/>
            </w:r>
          </w:hyperlink>
        </w:p>
        <w:p w14:paraId="457324E5" w14:textId="12529E71"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09" w:history="1">
            <w:r w:rsidRPr="00D06892">
              <w:rPr>
                <w:rStyle w:val="Hipervnculo"/>
                <w:rFonts w:ascii="Verdana" w:hAnsi="Verdana" w:cs="Arial"/>
                <w:noProof/>
              </w:rPr>
              <w:t>a.</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CONTEXTO ECONÓMICO</w:t>
            </w:r>
            <w:r>
              <w:rPr>
                <w:noProof/>
                <w:webHidden/>
              </w:rPr>
              <w:tab/>
            </w:r>
            <w:r>
              <w:rPr>
                <w:noProof/>
                <w:webHidden/>
              </w:rPr>
              <w:fldChar w:fldCharType="begin"/>
            </w:r>
            <w:r>
              <w:rPr>
                <w:noProof/>
                <w:webHidden/>
              </w:rPr>
              <w:instrText xml:space="preserve"> PAGEREF _Toc231368609 \h </w:instrText>
            </w:r>
            <w:r>
              <w:rPr>
                <w:noProof/>
                <w:webHidden/>
              </w:rPr>
            </w:r>
            <w:r>
              <w:rPr>
                <w:noProof/>
                <w:webHidden/>
              </w:rPr>
              <w:fldChar w:fldCharType="separate"/>
            </w:r>
            <w:r w:rsidR="002933C1">
              <w:rPr>
                <w:noProof/>
                <w:webHidden/>
              </w:rPr>
              <w:t>12</w:t>
            </w:r>
            <w:r>
              <w:rPr>
                <w:noProof/>
                <w:webHidden/>
              </w:rPr>
              <w:fldChar w:fldCharType="end"/>
            </w:r>
          </w:hyperlink>
        </w:p>
        <w:p w14:paraId="6D5B385C" w14:textId="1D2783B8"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0" w:history="1">
            <w:r w:rsidRPr="00D06892">
              <w:rPr>
                <w:rStyle w:val="Hipervnculo"/>
                <w:rFonts w:ascii="Verdana" w:hAnsi="Verdana" w:cs="Arial"/>
                <w:noProof/>
              </w:rPr>
              <w:t>b.</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ANÁLISIS DE LA OFERTA</w:t>
            </w:r>
            <w:r>
              <w:rPr>
                <w:noProof/>
                <w:webHidden/>
              </w:rPr>
              <w:tab/>
            </w:r>
            <w:r>
              <w:rPr>
                <w:noProof/>
                <w:webHidden/>
              </w:rPr>
              <w:fldChar w:fldCharType="begin"/>
            </w:r>
            <w:r>
              <w:rPr>
                <w:noProof/>
                <w:webHidden/>
              </w:rPr>
              <w:instrText xml:space="preserve"> PAGEREF _Toc231368610 \h </w:instrText>
            </w:r>
            <w:r>
              <w:rPr>
                <w:noProof/>
                <w:webHidden/>
              </w:rPr>
            </w:r>
            <w:r>
              <w:rPr>
                <w:noProof/>
                <w:webHidden/>
              </w:rPr>
              <w:fldChar w:fldCharType="separate"/>
            </w:r>
            <w:r w:rsidR="002933C1">
              <w:rPr>
                <w:noProof/>
                <w:webHidden/>
              </w:rPr>
              <w:t>26</w:t>
            </w:r>
            <w:r>
              <w:rPr>
                <w:noProof/>
                <w:webHidden/>
              </w:rPr>
              <w:fldChar w:fldCharType="end"/>
            </w:r>
          </w:hyperlink>
        </w:p>
        <w:p w14:paraId="5F8E1316" w14:textId="427086B7"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1" w:history="1">
            <w:r w:rsidRPr="00D06892">
              <w:rPr>
                <w:rStyle w:val="Hipervnculo"/>
                <w:rFonts w:ascii="Verdana" w:hAnsi="Verdana" w:cs="Arial"/>
                <w:noProof/>
              </w:rPr>
              <w:t>c.</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ANÁLISIS DE LA DEMANDA</w:t>
            </w:r>
            <w:r>
              <w:rPr>
                <w:noProof/>
                <w:webHidden/>
              </w:rPr>
              <w:tab/>
            </w:r>
            <w:r>
              <w:rPr>
                <w:noProof/>
                <w:webHidden/>
              </w:rPr>
              <w:fldChar w:fldCharType="begin"/>
            </w:r>
            <w:r>
              <w:rPr>
                <w:noProof/>
                <w:webHidden/>
              </w:rPr>
              <w:instrText xml:space="preserve"> PAGEREF _Toc231368611 \h </w:instrText>
            </w:r>
            <w:r>
              <w:rPr>
                <w:noProof/>
                <w:webHidden/>
              </w:rPr>
            </w:r>
            <w:r>
              <w:rPr>
                <w:noProof/>
                <w:webHidden/>
              </w:rPr>
              <w:fldChar w:fldCharType="separate"/>
            </w:r>
            <w:r w:rsidR="002933C1">
              <w:rPr>
                <w:noProof/>
                <w:webHidden/>
              </w:rPr>
              <w:t>34</w:t>
            </w:r>
            <w:r>
              <w:rPr>
                <w:noProof/>
                <w:webHidden/>
              </w:rPr>
              <w:fldChar w:fldCharType="end"/>
            </w:r>
          </w:hyperlink>
        </w:p>
        <w:p w14:paraId="687F21F5" w14:textId="2C03ACD7" w:rsidR="005645DE" w:rsidRDefault="005645DE">
          <w:pPr>
            <w:pStyle w:val="TDC1"/>
            <w:rPr>
              <w:rFonts w:asciiTheme="minorHAnsi" w:eastAsiaTheme="minorEastAsia" w:hAnsiTheme="minorHAnsi" w:cstheme="minorBidi"/>
              <w:noProof/>
              <w:kern w:val="2"/>
              <w:lang w:eastAsia="es-CO"/>
              <w14:ligatures w14:val="standardContextual"/>
            </w:rPr>
          </w:pPr>
          <w:hyperlink w:anchor="_Toc231368612" w:history="1">
            <w:r w:rsidRPr="00D06892">
              <w:rPr>
                <w:rStyle w:val="Hipervnculo"/>
                <w:rFonts w:ascii="Verdana" w:eastAsia="Verdana Pro" w:hAnsi="Verdana" w:cs="Verdana Pro"/>
                <w:noProof/>
              </w:rPr>
              <w:t>II.</w:t>
            </w:r>
            <w:r>
              <w:rPr>
                <w:rFonts w:asciiTheme="minorHAnsi" w:eastAsiaTheme="minorEastAsia" w:hAnsiTheme="minorHAnsi" w:cstheme="minorBidi"/>
                <w:noProof/>
                <w:kern w:val="2"/>
                <w:lang w:eastAsia="es-CO"/>
                <w14:ligatures w14:val="standardContextual"/>
              </w:rPr>
              <w:tab/>
            </w:r>
            <w:r w:rsidRPr="00D06892">
              <w:rPr>
                <w:rStyle w:val="Hipervnculo"/>
                <w:rFonts w:ascii="Verdana" w:eastAsia="Verdana Pro" w:hAnsi="Verdana" w:cs="Verdana Pro"/>
                <w:noProof/>
              </w:rPr>
              <w:t>ANÁLISIS DE REQUISITOS HABILITANTES SOLICITADOS EN LOS DOCUMENTOS TIPO PARA PROYECTOS DE OBRA PÚBLICA DE INFRAESTRUCTURA DE AGUA POTABLE Y SANEAMIENTO BÁSICO</w:t>
            </w:r>
            <w:r>
              <w:rPr>
                <w:noProof/>
                <w:webHidden/>
              </w:rPr>
              <w:tab/>
            </w:r>
            <w:r>
              <w:rPr>
                <w:noProof/>
                <w:webHidden/>
              </w:rPr>
              <w:fldChar w:fldCharType="begin"/>
            </w:r>
            <w:r>
              <w:rPr>
                <w:noProof/>
                <w:webHidden/>
              </w:rPr>
              <w:instrText xml:space="preserve"> PAGEREF _Toc231368612 \h </w:instrText>
            </w:r>
            <w:r>
              <w:rPr>
                <w:noProof/>
                <w:webHidden/>
              </w:rPr>
            </w:r>
            <w:r>
              <w:rPr>
                <w:noProof/>
                <w:webHidden/>
              </w:rPr>
              <w:fldChar w:fldCharType="separate"/>
            </w:r>
            <w:r w:rsidR="002933C1">
              <w:rPr>
                <w:noProof/>
                <w:webHidden/>
              </w:rPr>
              <w:t>39</w:t>
            </w:r>
            <w:r>
              <w:rPr>
                <w:noProof/>
                <w:webHidden/>
              </w:rPr>
              <w:fldChar w:fldCharType="end"/>
            </w:r>
          </w:hyperlink>
        </w:p>
        <w:p w14:paraId="7046B494" w14:textId="4136EE24"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3" w:history="1">
            <w:r w:rsidRPr="00D06892">
              <w:rPr>
                <w:rStyle w:val="Hipervnculo"/>
                <w:rFonts w:ascii="Verdana" w:hAnsi="Verdana" w:cs="Arial"/>
                <w:noProof/>
              </w:rPr>
              <w:t>a.</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CAPACIDAD JURÍDICA</w:t>
            </w:r>
            <w:r>
              <w:rPr>
                <w:noProof/>
                <w:webHidden/>
              </w:rPr>
              <w:tab/>
            </w:r>
            <w:r>
              <w:rPr>
                <w:noProof/>
                <w:webHidden/>
              </w:rPr>
              <w:fldChar w:fldCharType="begin"/>
            </w:r>
            <w:r>
              <w:rPr>
                <w:noProof/>
                <w:webHidden/>
              </w:rPr>
              <w:instrText xml:space="preserve"> PAGEREF _Toc231368613 \h </w:instrText>
            </w:r>
            <w:r>
              <w:rPr>
                <w:noProof/>
                <w:webHidden/>
              </w:rPr>
            </w:r>
            <w:r>
              <w:rPr>
                <w:noProof/>
                <w:webHidden/>
              </w:rPr>
              <w:fldChar w:fldCharType="separate"/>
            </w:r>
            <w:r w:rsidR="002933C1">
              <w:rPr>
                <w:noProof/>
                <w:webHidden/>
              </w:rPr>
              <w:t>39</w:t>
            </w:r>
            <w:r>
              <w:rPr>
                <w:noProof/>
                <w:webHidden/>
              </w:rPr>
              <w:fldChar w:fldCharType="end"/>
            </w:r>
          </w:hyperlink>
        </w:p>
        <w:p w14:paraId="638A8647" w14:textId="7B009FD9"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4" w:history="1">
            <w:r w:rsidRPr="00D06892">
              <w:rPr>
                <w:rStyle w:val="Hipervnculo"/>
                <w:rFonts w:ascii="Verdana" w:hAnsi="Verdana" w:cs="Arial"/>
                <w:noProof/>
              </w:rPr>
              <w:t>b.</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CAPACIDAD TÉCNICA</w:t>
            </w:r>
            <w:r>
              <w:rPr>
                <w:noProof/>
                <w:webHidden/>
              </w:rPr>
              <w:tab/>
            </w:r>
            <w:r>
              <w:rPr>
                <w:noProof/>
                <w:webHidden/>
              </w:rPr>
              <w:fldChar w:fldCharType="begin"/>
            </w:r>
            <w:r>
              <w:rPr>
                <w:noProof/>
                <w:webHidden/>
              </w:rPr>
              <w:instrText xml:space="preserve"> PAGEREF _Toc231368614 \h </w:instrText>
            </w:r>
            <w:r>
              <w:rPr>
                <w:noProof/>
                <w:webHidden/>
              </w:rPr>
            </w:r>
            <w:r>
              <w:rPr>
                <w:noProof/>
                <w:webHidden/>
              </w:rPr>
              <w:fldChar w:fldCharType="separate"/>
            </w:r>
            <w:r w:rsidR="002933C1">
              <w:rPr>
                <w:noProof/>
                <w:webHidden/>
              </w:rPr>
              <w:t>51</w:t>
            </w:r>
            <w:r>
              <w:rPr>
                <w:noProof/>
                <w:webHidden/>
              </w:rPr>
              <w:fldChar w:fldCharType="end"/>
            </w:r>
          </w:hyperlink>
        </w:p>
        <w:p w14:paraId="544E3D04" w14:textId="666350F2"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5" w:history="1">
            <w:r w:rsidRPr="00D06892">
              <w:rPr>
                <w:rStyle w:val="Hipervnculo"/>
                <w:rFonts w:ascii="Verdana" w:hAnsi="Verdana" w:cs="Arial"/>
                <w:noProof/>
              </w:rPr>
              <w:t>c.</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CAPACIDAD FINANCIERA Y ORGANIZACIONAL</w:t>
            </w:r>
            <w:r>
              <w:rPr>
                <w:noProof/>
                <w:webHidden/>
              </w:rPr>
              <w:tab/>
            </w:r>
            <w:r>
              <w:rPr>
                <w:noProof/>
                <w:webHidden/>
              </w:rPr>
              <w:fldChar w:fldCharType="begin"/>
            </w:r>
            <w:r>
              <w:rPr>
                <w:noProof/>
                <w:webHidden/>
              </w:rPr>
              <w:instrText xml:space="preserve"> PAGEREF _Toc231368615 \h </w:instrText>
            </w:r>
            <w:r>
              <w:rPr>
                <w:noProof/>
                <w:webHidden/>
              </w:rPr>
            </w:r>
            <w:r>
              <w:rPr>
                <w:noProof/>
                <w:webHidden/>
              </w:rPr>
              <w:fldChar w:fldCharType="separate"/>
            </w:r>
            <w:r w:rsidR="002933C1">
              <w:rPr>
                <w:noProof/>
                <w:webHidden/>
              </w:rPr>
              <w:t>72</w:t>
            </w:r>
            <w:r>
              <w:rPr>
                <w:noProof/>
                <w:webHidden/>
              </w:rPr>
              <w:fldChar w:fldCharType="end"/>
            </w:r>
          </w:hyperlink>
        </w:p>
        <w:p w14:paraId="58879985" w14:textId="2EF118EA" w:rsidR="005645DE" w:rsidRDefault="005645DE">
          <w:pPr>
            <w:pStyle w:val="TDC1"/>
            <w:rPr>
              <w:rFonts w:asciiTheme="minorHAnsi" w:eastAsiaTheme="minorEastAsia" w:hAnsiTheme="minorHAnsi" w:cstheme="minorBidi"/>
              <w:noProof/>
              <w:kern w:val="2"/>
              <w:lang w:eastAsia="es-CO"/>
              <w14:ligatures w14:val="standardContextual"/>
            </w:rPr>
          </w:pPr>
          <w:hyperlink w:anchor="_Toc231368616" w:history="1">
            <w:r w:rsidRPr="00D06892">
              <w:rPr>
                <w:rStyle w:val="Hipervnculo"/>
                <w:rFonts w:ascii="Verdana" w:hAnsi="Verdana" w:cs="Arial"/>
                <w:noProof/>
              </w:rPr>
              <w:t>III.</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ANÁLISIS DE CRITERIOS DE EVALUACIÓN PONDERABLES SOLICITADOS EN</w:t>
            </w:r>
            <w:r w:rsidRPr="00D06892">
              <w:rPr>
                <w:rStyle w:val="Hipervnculo"/>
                <w:rFonts w:ascii="Verdana" w:eastAsia="Calibri" w:hAnsi="Verdana" w:cs="Arial"/>
                <w:noProof/>
              </w:rPr>
              <w:t xml:space="preserve"> LOS </w:t>
            </w:r>
            <w:r w:rsidRPr="00D06892">
              <w:rPr>
                <w:rStyle w:val="Hipervnculo"/>
                <w:rFonts w:ascii="Verdana" w:hAnsi="Verdana" w:cs="Arial"/>
                <w:noProof/>
              </w:rPr>
              <w:t>DOCUMENTOS TIPO DE OBRA PÚBLICA DE INFRAESTRUCTURA DE AGUA POTABLE Y SANEAMIENTO BÁSICO</w:t>
            </w:r>
            <w:r>
              <w:rPr>
                <w:noProof/>
                <w:webHidden/>
              </w:rPr>
              <w:tab/>
            </w:r>
            <w:r>
              <w:rPr>
                <w:noProof/>
                <w:webHidden/>
              </w:rPr>
              <w:fldChar w:fldCharType="begin"/>
            </w:r>
            <w:r>
              <w:rPr>
                <w:noProof/>
                <w:webHidden/>
              </w:rPr>
              <w:instrText xml:space="preserve"> PAGEREF _Toc231368616 \h </w:instrText>
            </w:r>
            <w:r>
              <w:rPr>
                <w:noProof/>
                <w:webHidden/>
              </w:rPr>
            </w:r>
            <w:r>
              <w:rPr>
                <w:noProof/>
                <w:webHidden/>
              </w:rPr>
              <w:fldChar w:fldCharType="separate"/>
            </w:r>
            <w:r w:rsidR="002933C1">
              <w:rPr>
                <w:noProof/>
                <w:webHidden/>
              </w:rPr>
              <w:t>101</w:t>
            </w:r>
            <w:r>
              <w:rPr>
                <w:noProof/>
                <w:webHidden/>
              </w:rPr>
              <w:fldChar w:fldCharType="end"/>
            </w:r>
          </w:hyperlink>
        </w:p>
        <w:p w14:paraId="65195FB3" w14:textId="55954735" w:rsidR="005645DE" w:rsidRDefault="005645DE">
          <w:pPr>
            <w:pStyle w:val="TDC1"/>
            <w:rPr>
              <w:rFonts w:asciiTheme="minorHAnsi" w:eastAsiaTheme="minorEastAsia" w:hAnsiTheme="minorHAnsi" w:cstheme="minorBidi"/>
              <w:noProof/>
              <w:kern w:val="2"/>
              <w:lang w:eastAsia="es-CO"/>
              <w14:ligatures w14:val="standardContextual"/>
            </w:rPr>
          </w:pPr>
          <w:hyperlink w:anchor="_Toc231368617" w:history="1">
            <w:r w:rsidRPr="00D06892">
              <w:rPr>
                <w:rStyle w:val="Hipervnculo"/>
                <w:rFonts w:ascii="Verdana" w:hAnsi="Verdana" w:cs="Arial"/>
                <w:noProof/>
              </w:rPr>
              <w:t>IV.</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CARACTERIZACIÓN DE LAS MIPYME, EMPRENDIMIENTOS Y EMPRESAS DE MUJERES Y EMPRENDIMIENTOS Y EMPRESAS DE PERSONAS EN DISCAPACIDAD.</w:t>
            </w:r>
            <w:r>
              <w:rPr>
                <w:noProof/>
                <w:webHidden/>
              </w:rPr>
              <w:tab/>
            </w:r>
            <w:r>
              <w:rPr>
                <w:noProof/>
                <w:webHidden/>
              </w:rPr>
              <w:fldChar w:fldCharType="begin"/>
            </w:r>
            <w:r>
              <w:rPr>
                <w:noProof/>
                <w:webHidden/>
              </w:rPr>
              <w:instrText xml:space="preserve"> PAGEREF _Toc231368617 \h </w:instrText>
            </w:r>
            <w:r>
              <w:rPr>
                <w:noProof/>
                <w:webHidden/>
              </w:rPr>
            </w:r>
            <w:r>
              <w:rPr>
                <w:noProof/>
                <w:webHidden/>
              </w:rPr>
              <w:fldChar w:fldCharType="separate"/>
            </w:r>
            <w:r w:rsidR="002933C1">
              <w:rPr>
                <w:noProof/>
                <w:webHidden/>
              </w:rPr>
              <w:t>123</w:t>
            </w:r>
            <w:r>
              <w:rPr>
                <w:noProof/>
                <w:webHidden/>
              </w:rPr>
              <w:fldChar w:fldCharType="end"/>
            </w:r>
          </w:hyperlink>
        </w:p>
        <w:p w14:paraId="197954CF" w14:textId="6AD84BF0" w:rsidR="005645DE" w:rsidRDefault="005645DE">
          <w:pPr>
            <w:pStyle w:val="TDC1"/>
            <w:rPr>
              <w:rFonts w:asciiTheme="minorHAnsi" w:eastAsiaTheme="minorEastAsia" w:hAnsiTheme="minorHAnsi" w:cstheme="minorBidi"/>
              <w:noProof/>
              <w:kern w:val="2"/>
              <w:lang w:eastAsia="es-CO"/>
              <w14:ligatures w14:val="standardContextual"/>
            </w:rPr>
          </w:pPr>
          <w:hyperlink w:anchor="_Toc231368618" w:history="1">
            <w:r w:rsidRPr="00D06892">
              <w:rPr>
                <w:rStyle w:val="Hipervnculo"/>
                <w:rFonts w:ascii="Verdana" w:hAnsi="Verdana" w:cs="Arial"/>
                <w:noProof/>
              </w:rPr>
              <w:t>V.</w:t>
            </w:r>
            <w:r>
              <w:rPr>
                <w:rFonts w:asciiTheme="minorHAnsi" w:eastAsiaTheme="minorEastAsia" w:hAnsiTheme="minorHAnsi" w:cstheme="minorBidi"/>
                <w:noProof/>
                <w:kern w:val="2"/>
                <w:lang w:eastAsia="es-CO"/>
                <w14:ligatures w14:val="standardContextual"/>
              </w:rPr>
              <w:tab/>
            </w:r>
            <w:r w:rsidRPr="00D06892">
              <w:rPr>
                <w:rStyle w:val="Hipervnculo"/>
                <w:rFonts w:ascii="Verdana" w:eastAsia="Calibri" w:hAnsi="Verdana" w:cs="Arial"/>
                <w:noProof/>
              </w:rPr>
              <w:t xml:space="preserve">JUSTIFICACIÓN Y ANÁLISIS DE LA ESCOGENCIA DE LOS CRITERIOS DIFERENCIALES INCORPORADOS EN LOS </w:t>
            </w:r>
            <w:r w:rsidRPr="00D06892">
              <w:rPr>
                <w:rStyle w:val="Hipervnculo"/>
                <w:rFonts w:ascii="Verdana" w:hAnsi="Verdana" w:cs="Arial"/>
                <w:noProof/>
              </w:rPr>
              <w:t>DOCUMENTOS TIPO DE OBRA PÚBLICA DE INFRAESTRUCTURA DE AGUA POTABLE Y SANEAMIENTO BÁSICO EN FAVOR DE LAS MIPYME, EMPRENDIMIENTOS Y EMPRESAS DE MUJERES Y EMPRENDIMIENTOS Y EMPRESAS DE POBLACIÓN EN CONDICIÓN DE DISCAPACIDAD.</w:t>
            </w:r>
            <w:r>
              <w:rPr>
                <w:noProof/>
                <w:webHidden/>
              </w:rPr>
              <w:tab/>
            </w:r>
            <w:r>
              <w:rPr>
                <w:noProof/>
                <w:webHidden/>
              </w:rPr>
              <w:fldChar w:fldCharType="begin"/>
            </w:r>
            <w:r>
              <w:rPr>
                <w:noProof/>
                <w:webHidden/>
              </w:rPr>
              <w:instrText xml:space="preserve"> PAGEREF _Toc231368618 \h </w:instrText>
            </w:r>
            <w:r>
              <w:rPr>
                <w:noProof/>
                <w:webHidden/>
              </w:rPr>
            </w:r>
            <w:r>
              <w:rPr>
                <w:noProof/>
                <w:webHidden/>
              </w:rPr>
              <w:fldChar w:fldCharType="separate"/>
            </w:r>
            <w:r w:rsidR="002933C1">
              <w:rPr>
                <w:noProof/>
                <w:webHidden/>
              </w:rPr>
              <w:t>153</w:t>
            </w:r>
            <w:r>
              <w:rPr>
                <w:noProof/>
                <w:webHidden/>
              </w:rPr>
              <w:fldChar w:fldCharType="end"/>
            </w:r>
          </w:hyperlink>
        </w:p>
        <w:p w14:paraId="5EB74990" w14:textId="450CD6C1"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19" w:history="1">
            <w:r w:rsidRPr="00D06892">
              <w:rPr>
                <w:rStyle w:val="Hipervnculo"/>
                <w:rFonts w:ascii="Verdana" w:hAnsi="Verdana" w:cs="Arial"/>
                <w:noProof/>
              </w:rPr>
              <w:t>a.</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CRITERIOS ESCOGIDOS COMO REQUISITOS HABILITANTES DIFERENCIALES EN FAVOR DE LAS MIPYMES (EXPERIENCIA / FINANCIEROS / JURÍDICOS)</w:t>
            </w:r>
            <w:r>
              <w:rPr>
                <w:noProof/>
                <w:webHidden/>
              </w:rPr>
              <w:tab/>
            </w:r>
            <w:r>
              <w:rPr>
                <w:noProof/>
                <w:webHidden/>
              </w:rPr>
              <w:fldChar w:fldCharType="begin"/>
            </w:r>
            <w:r>
              <w:rPr>
                <w:noProof/>
                <w:webHidden/>
              </w:rPr>
              <w:instrText xml:space="preserve"> PAGEREF _Toc231368619 \h </w:instrText>
            </w:r>
            <w:r>
              <w:rPr>
                <w:noProof/>
                <w:webHidden/>
              </w:rPr>
            </w:r>
            <w:r>
              <w:rPr>
                <w:noProof/>
                <w:webHidden/>
              </w:rPr>
              <w:fldChar w:fldCharType="separate"/>
            </w:r>
            <w:r w:rsidR="002933C1">
              <w:rPr>
                <w:noProof/>
                <w:webHidden/>
              </w:rPr>
              <w:t>153</w:t>
            </w:r>
            <w:r>
              <w:rPr>
                <w:noProof/>
                <w:webHidden/>
              </w:rPr>
              <w:fldChar w:fldCharType="end"/>
            </w:r>
          </w:hyperlink>
        </w:p>
        <w:p w14:paraId="388DF447" w14:textId="057D7289"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20" w:history="1">
            <w:r w:rsidRPr="00D06892">
              <w:rPr>
                <w:rStyle w:val="Hipervnculo"/>
                <w:rFonts w:ascii="Verdana" w:hAnsi="Verdana" w:cs="Arial"/>
                <w:noProof/>
              </w:rPr>
              <w:t>b.</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CRITERIOS ESCOGIDOS COMO REQUISITOS HABILITANTES DIFERENCIALES EN FAVOR DE LOS EMPRENDIMIENTOS Y EMPRESAS DE MUJERES (EXPERIENCIA / FINANCIEROS / JURÍDICOS)</w:t>
            </w:r>
            <w:r>
              <w:rPr>
                <w:noProof/>
                <w:webHidden/>
              </w:rPr>
              <w:tab/>
            </w:r>
            <w:r>
              <w:rPr>
                <w:noProof/>
                <w:webHidden/>
              </w:rPr>
              <w:fldChar w:fldCharType="begin"/>
            </w:r>
            <w:r>
              <w:rPr>
                <w:noProof/>
                <w:webHidden/>
              </w:rPr>
              <w:instrText xml:space="preserve"> PAGEREF _Toc231368620 \h </w:instrText>
            </w:r>
            <w:r>
              <w:rPr>
                <w:noProof/>
                <w:webHidden/>
              </w:rPr>
            </w:r>
            <w:r>
              <w:rPr>
                <w:noProof/>
                <w:webHidden/>
              </w:rPr>
              <w:fldChar w:fldCharType="separate"/>
            </w:r>
            <w:r w:rsidR="002933C1">
              <w:rPr>
                <w:noProof/>
                <w:webHidden/>
              </w:rPr>
              <w:t>162</w:t>
            </w:r>
            <w:r>
              <w:rPr>
                <w:noProof/>
                <w:webHidden/>
              </w:rPr>
              <w:fldChar w:fldCharType="end"/>
            </w:r>
          </w:hyperlink>
        </w:p>
        <w:p w14:paraId="38E10EE7" w14:textId="5F3457D3" w:rsidR="005645DE" w:rsidRDefault="005645DE">
          <w:pPr>
            <w:pStyle w:val="TDC2"/>
            <w:tabs>
              <w:tab w:val="left" w:pos="720"/>
              <w:tab w:val="right" w:leader="dot" w:pos="9629"/>
            </w:tabs>
            <w:rPr>
              <w:rFonts w:asciiTheme="minorHAnsi" w:eastAsiaTheme="minorEastAsia" w:hAnsiTheme="minorHAnsi" w:cstheme="minorBidi"/>
              <w:noProof/>
              <w:kern w:val="2"/>
              <w:lang w:eastAsia="es-CO"/>
              <w14:ligatures w14:val="standardContextual"/>
            </w:rPr>
          </w:pPr>
          <w:hyperlink w:anchor="_Toc231368621" w:history="1">
            <w:r w:rsidRPr="00D06892">
              <w:rPr>
                <w:rStyle w:val="Hipervnculo"/>
                <w:rFonts w:ascii="Verdana" w:hAnsi="Verdana" w:cs="Arial"/>
                <w:noProof/>
              </w:rPr>
              <w:t>c.</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 xml:space="preserve">CRITERIOS ESCOGIDOS COMO REQUISITOS HABILITANTES DIFERENCIALES EN FAVOR DE LOS EMPRENDIMIENTOS Y EMPRESAS DE </w:t>
            </w:r>
            <w:r w:rsidRPr="00D06892">
              <w:rPr>
                <w:rStyle w:val="Hipervnculo"/>
                <w:rFonts w:ascii="Verdana" w:hAnsi="Verdana" w:cs="Arial"/>
                <w:noProof/>
              </w:rPr>
              <w:lastRenderedPageBreak/>
              <w:t>PERSONAS EN CONDICIÓN DE DISCAPACIDAD (EXPERIENCIA / FINANCIEROS / JURÍDICOS)</w:t>
            </w:r>
            <w:r>
              <w:rPr>
                <w:noProof/>
                <w:webHidden/>
              </w:rPr>
              <w:tab/>
            </w:r>
            <w:r>
              <w:rPr>
                <w:noProof/>
                <w:webHidden/>
              </w:rPr>
              <w:fldChar w:fldCharType="begin"/>
            </w:r>
            <w:r>
              <w:rPr>
                <w:noProof/>
                <w:webHidden/>
              </w:rPr>
              <w:instrText xml:space="preserve"> PAGEREF _Toc231368621 \h </w:instrText>
            </w:r>
            <w:r>
              <w:rPr>
                <w:noProof/>
                <w:webHidden/>
              </w:rPr>
            </w:r>
            <w:r>
              <w:rPr>
                <w:noProof/>
                <w:webHidden/>
              </w:rPr>
              <w:fldChar w:fldCharType="separate"/>
            </w:r>
            <w:r w:rsidR="002933C1">
              <w:rPr>
                <w:noProof/>
                <w:webHidden/>
              </w:rPr>
              <w:t>164</w:t>
            </w:r>
            <w:r>
              <w:rPr>
                <w:noProof/>
                <w:webHidden/>
              </w:rPr>
              <w:fldChar w:fldCharType="end"/>
            </w:r>
          </w:hyperlink>
        </w:p>
        <w:p w14:paraId="2D0575DB" w14:textId="647B5723" w:rsidR="005645DE" w:rsidRDefault="005645DE">
          <w:pPr>
            <w:pStyle w:val="TDC1"/>
            <w:rPr>
              <w:rFonts w:asciiTheme="minorHAnsi" w:eastAsiaTheme="minorEastAsia" w:hAnsiTheme="minorHAnsi" w:cstheme="minorBidi"/>
              <w:noProof/>
              <w:kern w:val="2"/>
              <w:lang w:eastAsia="es-CO"/>
              <w14:ligatures w14:val="standardContextual"/>
            </w:rPr>
          </w:pPr>
          <w:hyperlink w:anchor="_Toc231368622" w:history="1">
            <w:r w:rsidRPr="00D06892">
              <w:rPr>
                <w:rStyle w:val="Hipervnculo"/>
                <w:rFonts w:ascii="Verdana" w:hAnsi="Verdana" w:cs="Arial"/>
                <w:noProof/>
              </w:rPr>
              <w:t>VI.</w:t>
            </w:r>
            <w:r>
              <w:rPr>
                <w:rFonts w:asciiTheme="minorHAnsi" w:eastAsiaTheme="minorEastAsia" w:hAnsiTheme="minorHAnsi" w:cstheme="minorBidi"/>
                <w:noProof/>
                <w:kern w:val="2"/>
                <w:lang w:eastAsia="es-CO"/>
                <w14:ligatures w14:val="standardContextual"/>
              </w:rPr>
              <w:tab/>
            </w:r>
            <w:r w:rsidRPr="00D06892">
              <w:rPr>
                <w:rStyle w:val="Hipervnculo"/>
                <w:rFonts w:ascii="Verdana" w:hAnsi="Verdana" w:cs="Arial"/>
                <w:noProof/>
              </w:rPr>
              <w:t>IMPACTO DE LAS MODIFICACIONES DE LOS DOCUMENTOS TIPO DE INFRAESTRUCTURA DE AGUA POTABLE Y SANEAMIENTO BÁSICO EN LA MODALIDAD DE LICITACIÓN PÚBLICA.</w:t>
            </w:r>
            <w:r>
              <w:rPr>
                <w:noProof/>
                <w:webHidden/>
              </w:rPr>
              <w:tab/>
            </w:r>
            <w:r>
              <w:rPr>
                <w:noProof/>
                <w:webHidden/>
              </w:rPr>
              <w:fldChar w:fldCharType="begin"/>
            </w:r>
            <w:r>
              <w:rPr>
                <w:noProof/>
                <w:webHidden/>
              </w:rPr>
              <w:instrText xml:space="preserve"> PAGEREF _Toc231368622 \h </w:instrText>
            </w:r>
            <w:r>
              <w:rPr>
                <w:noProof/>
                <w:webHidden/>
              </w:rPr>
            </w:r>
            <w:r>
              <w:rPr>
                <w:noProof/>
                <w:webHidden/>
              </w:rPr>
              <w:fldChar w:fldCharType="separate"/>
            </w:r>
            <w:r w:rsidR="002933C1">
              <w:rPr>
                <w:noProof/>
                <w:webHidden/>
              </w:rPr>
              <w:t>167</w:t>
            </w:r>
            <w:r>
              <w:rPr>
                <w:noProof/>
                <w:webHidden/>
              </w:rPr>
              <w:fldChar w:fldCharType="end"/>
            </w:r>
          </w:hyperlink>
        </w:p>
        <w:p w14:paraId="324E6A9F" w14:textId="45872667" w:rsidR="003B49F9" w:rsidRPr="00611315" w:rsidRDefault="003B49F9" w:rsidP="449377F1">
          <w:pPr>
            <w:rPr>
              <w:rFonts w:ascii="Verdana" w:eastAsia="Verdana Pro" w:hAnsi="Verdana" w:cs="Verdana Pro"/>
              <w:sz w:val="22"/>
              <w:szCs w:val="22"/>
            </w:rPr>
          </w:pPr>
          <w:r w:rsidRPr="00611315">
            <w:rPr>
              <w:rFonts w:ascii="Verdana" w:hAnsi="Verdana" w:cs="Arial"/>
              <w:b/>
              <w:bCs/>
              <w:sz w:val="22"/>
              <w:szCs w:val="22"/>
              <w:lang w:val="es-ES"/>
            </w:rPr>
            <w:fldChar w:fldCharType="end"/>
          </w:r>
        </w:p>
      </w:sdtContent>
    </w:sdt>
    <w:p w14:paraId="0146EA1D" w14:textId="77777777" w:rsidR="00296099" w:rsidRPr="00611315" w:rsidRDefault="00296099" w:rsidP="6EDC65D9">
      <w:pPr>
        <w:rPr>
          <w:rFonts w:ascii="Verdana" w:hAnsi="Verdana"/>
        </w:rPr>
      </w:pPr>
    </w:p>
    <w:p w14:paraId="7156E226" w14:textId="04054CCB" w:rsidR="00D95E6D" w:rsidRPr="00611315" w:rsidRDefault="00D95E6D" w:rsidP="00E36BE1">
      <w:pPr>
        <w:jc w:val="center"/>
        <w:rPr>
          <w:rFonts w:ascii="Verdana" w:hAnsi="Verdana"/>
          <w:b/>
          <w:bCs/>
          <w:sz w:val="22"/>
          <w:szCs w:val="22"/>
        </w:rPr>
      </w:pPr>
      <w:r w:rsidRPr="00611315">
        <w:rPr>
          <w:rFonts w:ascii="Verdana" w:hAnsi="Verdana"/>
          <w:b/>
          <w:bCs/>
          <w:sz w:val="22"/>
          <w:szCs w:val="22"/>
        </w:rPr>
        <w:t>LISTA TABLAS</w:t>
      </w:r>
    </w:p>
    <w:p w14:paraId="47D7B12F" w14:textId="77777777" w:rsidR="00D95E6D" w:rsidRPr="00611315" w:rsidRDefault="00D95E6D" w:rsidP="6EDC65D9">
      <w:pPr>
        <w:rPr>
          <w:rFonts w:ascii="Verdana" w:hAnsi="Verdana"/>
        </w:rPr>
      </w:pPr>
    </w:p>
    <w:p w14:paraId="2D5259C6" w14:textId="7EC943E5" w:rsidR="002933C1" w:rsidRDefault="00D95E6D">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r w:rsidRPr="00611315">
        <w:fldChar w:fldCharType="begin"/>
      </w:r>
      <w:r w:rsidRPr="00611315">
        <w:instrText xml:space="preserve"> TOC \h \z \c "Tabla" </w:instrText>
      </w:r>
      <w:r w:rsidRPr="00611315">
        <w:fldChar w:fldCharType="separate"/>
      </w:r>
      <w:hyperlink w:anchor="_Toc231368668" w:history="1">
        <w:r w:rsidR="002933C1" w:rsidRPr="002C7EFF">
          <w:rPr>
            <w:rStyle w:val="Hipervnculo"/>
            <w:noProof/>
          </w:rPr>
          <w:t>Tabla 1. Actividad económica- Código CIIU principal</w:t>
        </w:r>
        <w:r w:rsidR="002933C1">
          <w:rPr>
            <w:noProof/>
            <w:webHidden/>
          </w:rPr>
          <w:tab/>
        </w:r>
        <w:r w:rsidR="002933C1">
          <w:rPr>
            <w:noProof/>
            <w:webHidden/>
          </w:rPr>
          <w:fldChar w:fldCharType="begin"/>
        </w:r>
        <w:r w:rsidR="002933C1">
          <w:rPr>
            <w:noProof/>
            <w:webHidden/>
          </w:rPr>
          <w:instrText xml:space="preserve"> PAGEREF _Toc231368668 \h </w:instrText>
        </w:r>
        <w:r w:rsidR="002933C1">
          <w:rPr>
            <w:noProof/>
            <w:webHidden/>
          </w:rPr>
        </w:r>
        <w:r w:rsidR="002933C1">
          <w:rPr>
            <w:noProof/>
            <w:webHidden/>
          </w:rPr>
          <w:fldChar w:fldCharType="separate"/>
        </w:r>
        <w:r w:rsidR="002933C1">
          <w:rPr>
            <w:noProof/>
            <w:webHidden/>
          </w:rPr>
          <w:t>7</w:t>
        </w:r>
        <w:r w:rsidR="002933C1">
          <w:rPr>
            <w:noProof/>
            <w:webHidden/>
          </w:rPr>
          <w:fldChar w:fldCharType="end"/>
        </w:r>
      </w:hyperlink>
    </w:p>
    <w:p w14:paraId="4B4ADB11" w14:textId="1E7077A7"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69" w:history="1">
        <w:r w:rsidRPr="002C7EFF">
          <w:rPr>
            <w:rStyle w:val="Hipervnculo"/>
            <w:noProof/>
          </w:rPr>
          <w:t>Tabla 2. Actividad económica – Código CIIU secundarios</w:t>
        </w:r>
        <w:r>
          <w:rPr>
            <w:noProof/>
            <w:webHidden/>
          </w:rPr>
          <w:tab/>
        </w:r>
        <w:r>
          <w:rPr>
            <w:noProof/>
            <w:webHidden/>
          </w:rPr>
          <w:fldChar w:fldCharType="begin"/>
        </w:r>
        <w:r>
          <w:rPr>
            <w:noProof/>
            <w:webHidden/>
          </w:rPr>
          <w:instrText xml:space="preserve"> PAGEREF _Toc231368669 \h </w:instrText>
        </w:r>
        <w:r>
          <w:rPr>
            <w:noProof/>
            <w:webHidden/>
          </w:rPr>
        </w:r>
        <w:r>
          <w:rPr>
            <w:noProof/>
            <w:webHidden/>
          </w:rPr>
          <w:fldChar w:fldCharType="separate"/>
        </w:r>
        <w:r>
          <w:rPr>
            <w:noProof/>
            <w:webHidden/>
          </w:rPr>
          <w:t>8</w:t>
        </w:r>
        <w:r>
          <w:rPr>
            <w:noProof/>
            <w:webHidden/>
          </w:rPr>
          <w:fldChar w:fldCharType="end"/>
        </w:r>
      </w:hyperlink>
    </w:p>
    <w:p w14:paraId="11C308B9" w14:textId="4C4E52CA"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0" w:history="1">
        <w:r w:rsidRPr="002C7EFF">
          <w:rPr>
            <w:rStyle w:val="Hipervnculo"/>
            <w:noProof/>
          </w:rPr>
          <w:t>Tabla 3. Oferentes Procesos de Selección APYSB SECOP II</w:t>
        </w:r>
        <w:r>
          <w:rPr>
            <w:noProof/>
            <w:webHidden/>
          </w:rPr>
          <w:tab/>
        </w:r>
        <w:r>
          <w:rPr>
            <w:noProof/>
            <w:webHidden/>
          </w:rPr>
          <w:fldChar w:fldCharType="begin"/>
        </w:r>
        <w:r>
          <w:rPr>
            <w:noProof/>
            <w:webHidden/>
          </w:rPr>
          <w:instrText xml:space="preserve"> PAGEREF _Toc231368670 \h </w:instrText>
        </w:r>
        <w:r>
          <w:rPr>
            <w:noProof/>
            <w:webHidden/>
          </w:rPr>
        </w:r>
        <w:r>
          <w:rPr>
            <w:noProof/>
            <w:webHidden/>
          </w:rPr>
          <w:fldChar w:fldCharType="separate"/>
        </w:r>
        <w:r>
          <w:rPr>
            <w:noProof/>
            <w:webHidden/>
          </w:rPr>
          <w:t>29</w:t>
        </w:r>
        <w:r>
          <w:rPr>
            <w:noProof/>
            <w:webHidden/>
          </w:rPr>
          <w:fldChar w:fldCharType="end"/>
        </w:r>
      </w:hyperlink>
    </w:p>
    <w:p w14:paraId="02326A1E" w14:textId="4A64E140"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1" w:history="1">
        <w:r w:rsidRPr="002C7EFF">
          <w:rPr>
            <w:rStyle w:val="Hipervnculo"/>
            <w:noProof/>
          </w:rPr>
          <w:t>Tabla 4. Proveedores identificados en Internet</w:t>
        </w:r>
        <w:r>
          <w:rPr>
            <w:noProof/>
            <w:webHidden/>
          </w:rPr>
          <w:tab/>
        </w:r>
        <w:r>
          <w:rPr>
            <w:noProof/>
            <w:webHidden/>
          </w:rPr>
          <w:fldChar w:fldCharType="begin"/>
        </w:r>
        <w:r>
          <w:rPr>
            <w:noProof/>
            <w:webHidden/>
          </w:rPr>
          <w:instrText xml:space="preserve"> PAGEREF _Toc231368671 \h </w:instrText>
        </w:r>
        <w:r>
          <w:rPr>
            <w:noProof/>
            <w:webHidden/>
          </w:rPr>
        </w:r>
        <w:r>
          <w:rPr>
            <w:noProof/>
            <w:webHidden/>
          </w:rPr>
          <w:fldChar w:fldCharType="separate"/>
        </w:r>
        <w:r>
          <w:rPr>
            <w:noProof/>
            <w:webHidden/>
          </w:rPr>
          <w:t>33</w:t>
        </w:r>
        <w:r>
          <w:rPr>
            <w:noProof/>
            <w:webHidden/>
          </w:rPr>
          <w:fldChar w:fldCharType="end"/>
        </w:r>
      </w:hyperlink>
    </w:p>
    <w:p w14:paraId="631DAA42" w14:textId="08A281CA"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2" w:history="1">
        <w:r w:rsidRPr="002C7EFF">
          <w:rPr>
            <w:rStyle w:val="Hipervnculo"/>
            <w:noProof/>
          </w:rPr>
          <w:t>Tabla 5. Mesas de trabajo adelantadas durante la vigencia 2025</w:t>
        </w:r>
        <w:r>
          <w:rPr>
            <w:noProof/>
            <w:webHidden/>
          </w:rPr>
          <w:tab/>
        </w:r>
        <w:r>
          <w:rPr>
            <w:noProof/>
            <w:webHidden/>
          </w:rPr>
          <w:fldChar w:fldCharType="begin"/>
        </w:r>
        <w:r>
          <w:rPr>
            <w:noProof/>
            <w:webHidden/>
          </w:rPr>
          <w:instrText xml:space="preserve"> PAGEREF _Toc231368672 \h </w:instrText>
        </w:r>
        <w:r>
          <w:rPr>
            <w:noProof/>
            <w:webHidden/>
          </w:rPr>
        </w:r>
        <w:r>
          <w:rPr>
            <w:noProof/>
            <w:webHidden/>
          </w:rPr>
          <w:fldChar w:fldCharType="separate"/>
        </w:r>
        <w:r>
          <w:rPr>
            <w:noProof/>
            <w:webHidden/>
          </w:rPr>
          <w:t>56</w:t>
        </w:r>
        <w:r>
          <w:rPr>
            <w:noProof/>
            <w:webHidden/>
          </w:rPr>
          <w:fldChar w:fldCharType="end"/>
        </w:r>
      </w:hyperlink>
    </w:p>
    <w:p w14:paraId="04198A03" w14:textId="5CEC4DE2"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3" w:history="1">
        <w:r w:rsidRPr="002C7EFF">
          <w:rPr>
            <w:rStyle w:val="Hipervnculo"/>
            <w:noProof/>
          </w:rPr>
          <w:t>Tabla 6. Detalle de mesas de trabajo vigencia 2026</w:t>
        </w:r>
        <w:r>
          <w:rPr>
            <w:noProof/>
            <w:webHidden/>
          </w:rPr>
          <w:tab/>
        </w:r>
        <w:r>
          <w:rPr>
            <w:noProof/>
            <w:webHidden/>
          </w:rPr>
          <w:fldChar w:fldCharType="begin"/>
        </w:r>
        <w:r>
          <w:rPr>
            <w:noProof/>
            <w:webHidden/>
          </w:rPr>
          <w:instrText xml:space="preserve"> PAGEREF _Toc231368673 \h </w:instrText>
        </w:r>
        <w:r>
          <w:rPr>
            <w:noProof/>
            <w:webHidden/>
          </w:rPr>
        </w:r>
        <w:r>
          <w:rPr>
            <w:noProof/>
            <w:webHidden/>
          </w:rPr>
          <w:fldChar w:fldCharType="separate"/>
        </w:r>
        <w:r>
          <w:rPr>
            <w:noProof/>
            <w:webHidden/>
          </w:rPr>
          <w:t>57</w:t>
        </w:r>
        <w:r>
          <w:rPr>
            <w:noProof/>
            <w:webHidden/>
          </w:rPr>
          <w:fldChar w:fldCharType="end"/>
        </w:r>
      </w:hyperlink>
    </w:p>
    <w:p w14:paraId="62D04C03" w14:textId="4883D5E9"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4" w:history="1">
        <w:r w:rsidRPr="002C7EFF">
          <w:rPr>
            <w:rStyle w:val="Hipervnculo"/>
            <w:noProof/>
          </w:rPr>
          <w:t>Tabla 7. Detalle de las sugerencias u observaciones recibidas durante las mesas de trabajo y las tomadas en cuenta de las peticiones atendidas</w:t>
        </w:r>
        <w:r>
          <w:rPr>
            <w:noProof/>
            <w:webHidden/>
          </w:rPr>
          <w:tab/>
        </w:r>
        <w:r>
          <w:rPr>
            <w:noProof/>
            <w:webHidden/>
          </w:rPr>
          <w:fldChar w:fldCharType="begin"/>
        </w:r>
        <w:r>
          <w:rPr>
            <w:noProof/>
            <w:webHidden/>
          </w:rPr>
          <w:instrText xml:space="preserve"> PAGEREF _Toc231368674 \h </w:instrText>
        </w:r>
        <w:r>
          <w:rPr>
            <w:noProof/>
            <w:webHidden/>
          </w:rPr>
        </w:r>
        <w:r>
          <w:rPr>
            <w:noProof/>
            <w:webHidden/>
          </w:rPr>
          <w:fldChar w:fldCharType="separate"/>
        </w:r>
        <w:r>
          <w:rPr>
            <w:noProof/>
            <w:webHidden/>
          </w:rPr>
          <w:t>58</w:t>
        </w:r>
        <w:r>
          <w:rPr>
            <w:noProof/>
            <w:webHidden/>
          </w:rPr>
          <w:fldChar w:fldCharType="end"/>
        </w:r>
      </w:hyperlink>
    </w:p>
    <w:p w14:paraId="6C00EE65" w14:textId="42D046A6"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5" w:history="1">
        <w:r w:rsidRPr="002C7EFF">
          <w:rPr>
            <w:rStyle w:val="Hipervnculo"/>
            <w:noProof/>
          </w:rPr>
          <w:t>Tabla 8. Presupuesto en SMMLV</w:t>
        </w:r>
        <w:r>
          <w:rPr>
            <w:noProof/>
            <w:webHidden/>
          </w:rPr>
          <w:tab/>
        </w:r>
        <w:r>
          <w:rPr>
            <w:noProof/>
            <w:webHidden/>
          </w:rPr>
          <w:fldChar w:fldCharType="begin"/>
        </w:r>
        <w:r>
          <w:rPr>
            <w:noProof/>
            <w:webHidden/>
          </w:rPr>
          <w:instrText xml:space="preserve"> PAGEREF _Toc231368675 \h </w:instrText>
        </w:r>
        <w:r>
          <w:rPr>
            <w:noProof/>
            <w:webHidden/>
          </w:rPr>
        </w:r>
        <w:r>
          <w:rPr>
            <w:noProof/>
            <w:webHidden/>
          </w:rPr>
          <w:fldChar w:fldCharType="separate"/>
        </w:r>
        <w:r>
          <w:rPr>
            <w:noProof/>
            <w:webHidden/>
          </w:rPr>
          <w:t>76</w:t>
        </w:r>
        <w:r>
          <w:rPr>
            <w:noProof/>
            <w:webHidden/>
          </w:rPr>
          <w:fldChar w:fldCharType="end"/>
        </w:r>
      </w:hyperlink>
    </w:p>
    <w:p w14:paraId="7AC69AB0" w14:textId="037E31CB"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6" w:history="1">
        <w:r w:rsidRPr="002C7EFF">
          <w:rPr>
            <w:rStyle w:val="Hipervnculo"/>
            <w:noProof/>
          </w:rPr>
          <w:t>Tabla 9. Indicadores de capacidad financiera y organizacional promedio del sector. Promedio de la muestra normalizada utilizando el criterio del rango intercuartílico</w:t>
        </w:r>
        <w:r>
          <w:rPr>
            <w:noProof/>
            <w:webHidden/>
          </w:rPr>
          <w:tab/>
        </w:r>
        <w:r>
          <w:rPr>
            <w:noProof/>
            <w:webHidden/>
          </w:rPr>
          <w:fldChar w:fldCharType="begin"/>
        </w:r>
        <w:r>
          <w:rPr>
            <w:noProof/>
            <w:webHidden/>
          </w:rPr>
          <w:instrText xml:space="preserve"> PAGEREF _Toc231368676 \h </w:instrText>
        </w:r>
        <w:r>
          <w:rPr>
            <w:noProof/>
            <w:webHidden/>
          </w:rPr>
        </w:r>
        <w:r>
          <w:rPr>
            <w:noProof/>
            <w:webHidden/>
          </w:rPr>
          <w:fldChar w:fldCharType="separate"/>
        </w:r>
        <w:r>
          <w:rPr>
            <w:noProof/>
            <w:webHidden/>
          </w:rPr>
          <w:t>80</w:t>
        </w:r>
        <w:r>
          <w:rPr>
            <w:noProof/>
            <w:webHidden/>
          </w:rPr>
          <w:fldChar w:fldCharType="end"/>
        </w:r>
      </w:hyperlink>
    </w:p>
    <w:p w14:paraId="302957D6" w14:textId="54D23873"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7" w:history="1">
        <w:r w:rsidRPr="002C7EFF">
          <w:rPr>
            <w:rStyle w:val="Hipervnculo"/>
            <w:noProof/>
          </w:rPr>
          <w:t>Tabla 10. Indicadores de capacidad financiera y organizacional promedio del sector segmentado por tamaño empresarial. Promedio de la muestra normalizada utilizando el criterio del rango intercuartílico</w:t>
        </w:r>
        <w:r>
          <w:rPr>
            <w:noProof/>
            <w:webHidden/>
          </w:rPr>
          <w:tab/>
        </w:r>
        <w:r>
          <w:rPr>
            <w:noProof/>
            <w:webHidden/>
          </w:rPr>
          <w:fldChar w:fldCharType="begin"/>
        </w:r>
        <w:r>
          <w:rPr>
            <w:noProof/>
            <w:webHidden/>
          </w:rPr>
          <w:instrText xml:space="preserve"> PAGEREF _Toc231368677 \h </w:instrText>
        </w:r>
        <w:r>
          <w:rPr>
            <w:noProof/>
            <w:webHidden/>
          </w:rPr>
        </w:r>
        <w:r>
          <w:rPr>
            <w:noProof/>
            <w:webHidden/>
          </w:rPr>
          <w:fldChar w:fldCharType="separate"/>
        </w:r>
        <w:r>
          <w:rPr>
            <w:noProof/>
            <w:webHidden/>
          </w:rPr>
          <w:t>80</w:t>
        </w:r>
        <w:r>
          <w:rPr>
            <w:noProof/>
            <w:webHidden/>
          </w:rPr>
          <w:fldChar w:fldCharType="end"/>
        </w:r>
      </w:hyperlink>
    </w:p>
    <w:p w14:paraId="3D1B76FF" w14:textId="0433AE6E"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8" w:history="1">
        <w:r w:rsidRPr="002C7EFF">
          <w:rPr>
            <w:rStyle w:val="Hipervnculo"/>
            <w:rFonts w:eastAsia="Verdana Pro" w:cs="Verdana Pro"/>
            <w:noProof/>
          </w:rPr>
          <w:t xml:space="preserve">Tabla </w:t>
        </w:r>
        <w:r w:rsidRPr="002C7EFF">
          <w:rPr>
            <w:rStyle w:val="Hipervnculo"/>
            <w:noProof/>
          </w:rPr>
          <w:t>11</w:t>
        </w:r>
        <w:r w:rsidRPr="002C7EFF">
          <w:rPr>
            <w:rStyle w:val="Hipervnculo"/>
            <w:rFonts w:eastAsia="Verdana Pro" w:cs="Verdana Pro"/>
            <w:noProof/>
          </w:rPr>
          <w:t>. Rangos SMMLV</w:t>
        </w:r>
        <w:r>
          <w:rPr>
            <w:noProof/>
            <w:webHidden/>
          </w:rPr>
          <w:tab/>
        </w:r>
        <w:r>
          <w:rPr>
            <w:noProof/>
            <w:webHidden/>
          </w:rPr>
          <w:fldChar w:fldCharType="begin"/>
        </w:r>
        <w:r>
          <w:rPr>
            <w:noProof/>
            <w:webHidden/>
          </w:rPr>
          <w:instrText xml:space="preserve"> PAGEREF _Toc231368678 \h </w:instrText>
        </w:r>
        <w:r>
          <w:rPr>
            <w:noProof/>
            <w:webHidden/>
          </w:rPr>
        </w:r>
        <w:r>
          <w:rPr>
            <w:noProof/>
            <w:webHidden/>
          </w:rPr>
          <w:fldChar w:fldCharType="separate"/>
        </w:r>
        <w:r>
          <w:rPr>
            <w:noProof/>
            <w:webHidden/>
          </w:rPr>
          <w:t>85</w:t>
        </w:r>
        <w:r>
          <w:rPr>
            <w:noProof/>
            <w:webHidden/>
          </w:rPr>
          <w:fldChar w:fldCharType="end"/>
        </w:r>
      </w:hyperlink>
    </w:p>
    <w:p w14:paraId="61B0EEB3" w14:textId="1205B0FB"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79" w:history="1">
        <w:r w:rsidRPr="002C7EFF">
          <w:rPr>
            <w:rStyle w:val="Hipervnculo"/>
            <w:noProof/>
          </w:rPr>
          <w:t>Tabla 12. Indicadores por Rangos</w:t>
        </w:r>
        <w:r>
          <w:rPr>
            <w:noProof/>
            <w:webHidden/>
          </w:rPr>
          <w:tab/>
        </w:r>
        <w:r>
          <w:rPr>
            <w:noProof/>
            <w:webHidden/>
          </w:rPr>
          <w:fldChar w:fldCharType="begin"/>
        </w:r>
        <w:r>
          <w:rPr>
            <w:noProof/>
            <w:webHidden/>
          </w:rPr>
          <w:instrText xml:space="preserve"> PAGEREF _Toc231368679 \h </w:instrText>
        </w:r>
        <w:r>
          <w:rPr>
            <w:noProof/>
            <w:webHidden/>
          </w:rPr>
        </w:r>
        <w:r>
          <w:rPr>
            <w:noProof/>
            <w:webHidden/>
          </w:rPr>
          <w:fldChar w:fldCharType="separate"/>
        </w:r>
        <w:r>
          <w:rPr>
            <w:noProof/>
            <w:webHidden/>
          </w:rPr>
          <w:t>86</w:t>
        </w:r>
        <w:r>
          <w:rPr>
            <w:noProof/>
            <w:webHidden/>
          </w:rPr>
          <w:fldChar w:fldCharType="end"/>
        </w:r>
      </w:hyperlink>
    </w:p>
    <w:p w14:paraId="5BC22F9A" w14:textId="1E21A028"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0" w:history="1">
        <w:r w:rsidRPr="002C7EFF">
          <w:rPr>
            <w:rStyle w:val="Hipervnculo"/>
            <w:noProof/>
          </w:rPr>
          <w:t>Tabla 13. Apalancamiento Capital de trabajo</w:t>
        </w:r>
        <w:r>
          <w:rPr>
            <w:noProof/>
            <w:webHidden/>
          </w:rPr>
          <w:tab/>
        </w:r>
        <w:r>
          <w:rPr>
            <w:noProof/>
            <w:webHidden/>
          </w:rPr>
          <w:fldChar w:fldCharType="begin"/>
        </w:r>
        <w:r>
          <w:rPr>
            <w:noProof/>
            <w:webHidden/>
          </w:rPr>
          <w:instrText xml:space="preserve"> PAGEREF _Toc231368680 \h </w:instrText>
        </w:r>
        <w:r>
          <w:rPr>
            <w:noProof/>
            <w:webHidden/>
          </w:rPr>
        </w:r>
        <w:r>
          <w:rPr>
            <w:noProof/>
            <w:webHidden/>
          </w:rPr>
          <w:fldChar w:fldCharType="separate"/>
        </w:r>
        <w:r>
          <w:rPr>
            <w:noProof/>
            <w:webHidden/>
          </w:rPr>
          <w:t>90</w:t>
        </w:r>
        <w:r>
          <w:rPr>
            <w:noProof/>
            <w:webHidden/>
          </w:rPr>
          <w:fldChar w:fldCharType="end"/>
        </w:r>
      </w:hyperlink>
    </w:p>
    <w:p w14:paraId="43A91A56" w14:textId="12406E9C"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1" w:history="1">
        <w:r w:rsidRPr="002C7EFF">
          <w:rPr>
            <w:rStyle w:val="Hipervnculo"/>
            <w:noProof/>
          </w:rPr>
          <w:t>Tabla 14. Rangos SMMLV</w:t>
        </w:r>
        <w:r>
          <w:rPr>
            <w:noProof/>
            <w:webHidden/>
          </w:rPr>
          <w:tab/>
        </w:r>
        <w:r>
          <w:rPr>
            <w:noProof/>
            <w:webHidden/>
          </w:rPr>
          <w:fldChar w:fldCharType="begin"/>
        </w:r>
        <w:r>
          <w:rPr>
            <w:noProof/>
            <w:webHidden/>
          </w:rPr>
          <w:instrText xml:space="preserve"> PAGEREF _Toc231368681 \h </w:instrText>
        </w:r>
        <w:r>
          <w:rPr>
            <w:noProof/>
            <w:webHidden/>
          </w:rPr>
        </w:r>
        <w:r>
          <w:rPr>
            <w:noProof/>
            <w:webHidden/>
          </w:rPr>
          <w:fldChar w:fldCharType="separate"/>
        </w:r>
        <w:r>
          <w:rPr>
            <w:noProof/>
            <w:webHidden/>
          </w:rPr>
          <w:t>94</w:t>
        </w:r>
        <w:r>
          <w:rPr>
            <w:noProof/>
            <w:webHidden/>
          </w:rPr>
          <w:fldChar w:fldCharType="end"/>
        </w:r>
      </w:hyperlink>
    </w:p>
    <w:p w14:paraId="49642497" w14:textId="4AC6DBE8"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2" w:history="1">
        <w:r w:rsidRPr="002C7EFF">
          <w:rPr>
            <w:rStyle w:val="Hipervnculo"/>
            <w:noProof/>
          </w:rPr>
          <w:t>Tabla 15. Porcentajes de cumplimiento No MiPymes (&gt;=13.000 Smmlv)</w:t>
        </w:r>
        <w:r>
          <w:rPr>
            <w:noProof/>
            <w:webHidden/>
          </w:rPr>
          <w:tab/>
        </w:r>
        <w:r>
          <w:rPr>
            <w:noProof/>
            <w:webHidden/>
          </w:rPr>
          <w:fldChar w:fldCharType="begin"/>
        </w:r>
        <w:r>
          <w:rPr>
            <w:noProof/>
            <w:webHidden/>
          </w:rPr>
          <w:instrText xml:space="preserve"> PAGEREF _Toc231368682 \h </w:instrText>
        </w:r>
        <w:r>
          <w:rPr>
            <w:noProof/>
            <w:webHidden/>
          </w:rPr>
        </w:r>
        <w:r>
          <w:rPr>
            <w:noProof/>
            <w:webHidden/>
          </w:rPr>
          <w:fldChar w:fldCharType="separate"/>
        </w:r>
        <w:r>
          <w:rPr>
            <w:noProof/>
            <w:webHidden/>
          </w:rPr>
          <w:t>94</w:t>
        </w:r>
        <w:r>
          <w:rPr>
            <w:noProof/>
            <w:webHidden/>
          </w:rPr>
          <w:fldChar w:fldCharType="end"/>
        </w:r>
      </w:hyperlink>
    </w:p>
    <w:p w14:paraId="21DC9C69" w14:textId="77DC4D58"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3" w:history="1">
        <w:r w:rsidRPr="002C7EFF">
          <w:rPr>
            <w:rStyle w:val="Hipervnculo"/>
            <w:noProof/>
          </w:rPr>
          <w:t>Tabla 16. Porcentajes de cumplimiento No MiPymes (&lt;13.000 Smmlv)</w:t>
        </w:r>
        <w:r>
          <w:rPr>
            <w:noProof/>
            <w:webHidden/>
          </w:rPr>
          <w:tab/>
        </w:r>
        <w:r>
          <w:rPr>
            <w:noProof/>
            <w:webHidden/>
          </w:rPr>
          <w:fldChar w:fldCharType="begin"/>
        </w:r>
        <w:r>
          <w:rPr>
            <w:noProof/>
            <w:webHidden/>
          </w:rPr>
          <w:instrText xml:space="preserve"> PAGEREF _Toc231368683 \h </w:instrText>
        </w:r>
        <w:r>
          <w:rPr>
            <w:noProof/>
            <w:webHidden/>
          </w:rPr>
        </w:r>
        <w:r>
          <w:rPr>
            <w:noProof/>
            <w:webHidden/>
          </w:rPr>
          <w:fldChar w:fldCharType="separate"/>
        </w:r>
        <w:r>
          <w:rPr>
            <w:noProof/>
            <w:webHidden/>
          </w:rPr>
          <w:t>95</w:t>
        </w:r>
        <w:r>
          <w:rPr>
            <w:noProof/>
            <w:webHidden/>
          </w:rPr>
          <w:fldChar w:fldCharType="end"/>
        </w:r>
      </w:hyperlink>
    </w:p>
    <w:p w14:paraId="27691CAC" w14:textId="099C9957"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4" w:history="1">
        <w:r w:rsidRPr="002C7EFF">
          <w:rPr>
            <w:rStyle w:val="Hipervnculo"/>
            <w:noProof/>
          </w:rPr>
          <w:t>Tabla 17. Requisitos escenario 1</w:t>
        </w:r>
        <w:r>
          <w:rPr>
            <w:noProof/>
            <w:webHidden/>
          </w:rPr>
          <w:tab/>
        </w:r>
        <w:r>
          <w:rPr>
            <w:noProof/>
            <w:webHidden/>
          </w:rPr>
          <w:fldChar w:fldCharType="begin"/>
        </w:r>
        <w:r>
          <w:rPr>
            <w:noProof/>
            <w:webHidden/>
          </w:rPr>
          <w:instrText xml:space="preserve"> PAGEREF _Toc231368684 \h </w:instrText>
        </w:r>
        <w:r>
          <w:rPr>
            <w:noProof/>
            <w:webHidden/>
          </w:rPr>
        </w:r>
        <w:r>
          <w:rPr>
            <w:noProof/>
            <w:webHidden/>
          </w:rPr>
          <w:fldChar w:fldCharType="separate"/>
        </w:r>
        <w:r>
          <w:rPr>
            <w:noProof/>
            <w:webHidden/>
          </w:rPr>
          <w:t>96</w:t>
        </w:r>
        <w:r>
          <w:rPr>
            <w:noProof/>
            <w:webHidden/>
          </w:rPr>
          <w:fldChar w:fldCharType="end"/>
        </w:r>
      </w:hyperlink>
    </w:p>
    <w:p w14:paraId="067DB2A0" w14:textId="154122BA"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5" w:history="1">
        <w:r w:rsidRPr="002C7EFF">
          <w:rPr>
            <w:rStyle w:val="Hipervnculo"/>
            <w:noProof/>
          </w:rPr>
          <w:t>Tabla 18. Requisitos escenario 2</w:t>
        </w:r>
        <w:r>
          <w:rPr>
            <w:noProof/>
            <w:webHidden/>
          </w:rPr>
          <w:tab/>
        </w:r>
        <w:r>
          <w:rPr>
            <w:noProof/>
            <w:webHidden/>
          </w:rPr>
          <w:fldChar w:fldCharType="begin"/>
        </w:r>
        <w:r>
          <w:rPr>
            <w:noProof/>
            <w:webHidden/>
          </w:rPr>
          <w:instrText xml:space="preserve"> PAGEREF _Toc231368685 \h </w:instrText>
        </w:r>
        <w:r>
          <w:rPr>
            <w:noProof/>
            <w:webHidden/>
          </w:rPr>
        </w:r>
        <w:r>
          <w:rPr>
            <w:noProof/>
            <w:webHidden/>
          </w:rPr>
          <w:fldChar w:fldCharType="separate"/>
        </w:r>
        <w:r>
          <w:rPr>
            <w:noProof/>
            <w:webHidden/>
          </w:rPr>
          <w:t>96</w:t>
        </w:r>
        <w:r>
          <w:rPr>
            <w:noProof/>
            <w:webHidden/>
          </w:rPr>
          <w:fldChar w:fldCharType="end"/>
        </w:r>
      </w:hyperlink>
    </w:p>
    <w:p w14:paraId="1F3A6A2F" w14:textId="23D5CBC8"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6" w:history="1">
        <w:r w:rsidRPr="002C7EFF">
          <w:rPr>
            <w:rStyle w:val="Hipervnculo"/>
            <w:noProof/>
          </w:rPr>
          <w:t>Tabla 19. Requisitos escenario 3</w:t>
        </w:r>
        <w:r>
          <w:rPr>
            <w:noProof/>
            <w:webHidden/>
          </w:rPr>
          <w:tab/>
        </w:r>
        <w:r>
          <w:rPr>
            <w:noProof/>
            <w:webHidden/>
          </w:rPr>
          <w:fldChar w:fldCharType="begin"/>
        </w:r>
        <w:r>
          <w:rPr>
            <w:noProof/>
            <w:webHidden/>
          </w:rPr>
          <w:instrText xml:space="preserve"> PAGEREF _Toc231368686 \h </w:instrText>
        </w:r>
        <w:r>
          <w:rPr>
            <w:noProof/>
            <w:webHidden/>
          </w:rPr>
        </w:r>
        <w:r>
          <w:rPr>
            <w:noProof/>
            <w:webHidden/>
          </w:rPr>
          <w:fldChar w:fldCharType="separate"/>
        </w:r>
        <w:r>
          <w:rPr>
            <w:noProof/>
            <w:webHidden/>
          </w:rPr>
          <w:t>97</w:t>
        </w:r>
        <w:r>
          <w:rPr>
            <w:noProof/>
            <w:webHidden/>
          </w:rPr>
          <w:fldChar w:fldCharType="end"/>
        </w:r>
      </w:hyperlink>
    </w:p>
    <w:p w14:paraId="1F08608C" w14:textId="418A5E59"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7" w:history="1">
        <w:r w:rsidRPr="002C7EFF">
          <w:rPr>
            <w:rStyle w:val="Hipervnculo"/>
            <w:noProof/>
          </w:rPr>
          <w:t>Tabla 20. Requisitos escenario 4</w:t>
        </w:r>
        <w:r>
          <w:rPr>
            <w:noProof/>
            <w:webHidden/>
          </w:rPr>
          <w:tab/>
        </w:r>
        <w:r>
          <w:rPr>
            <w:noProof/>
            <w:webHidden/>
          </w:rPr>
          <w:fldChar w:fldCharType="begin"/>
        </w:r>
        <w:r>
          <w:rPr>
            <w:noProof/>
            <w:webHidden/>
          </w:rPr>
          <w:instrText xml:space="preserve"> PAGEREF _Toc231368687 \h </w:instrText>
        </w:r>
        <w:r>
          <w:rPr>
            <w:noProof/>
            <w:webHidden/>
          </w:rPr>
        </w:r>
        <w:r>
          <w:rPr>
            <w:noProof/>
            <w:webHidden/>
          </w:rPr>
          <w:fldChar w:fldCharType="separate"/>
        </w:r>
        <w:r>
          <w:rPr>
            <w:noProof/>
            <w:webHidden/>
          </w:rPr>
          <w:t>98</w:t>
        </w:r>
        <w:r>
          <w:rPr>
            <w:noProof/>
            <w:webHidden/>
          </w:rPr>
          <w:fldChar w:fldCharType="end"/>
        </w:r>
      </w:hyperlink>
    </w:p>
    <w:p w14:paraId="1F6C9BAD" w14:textId="131A462E"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8" w:history="1">
        <w:r w:rsidRPr="002C7EFF">
          <w:rPr>
            <w:rStyle w:val="Hipervnculo"/>
            <w:noProof/>
          </w:rPr>
          <w:t>Tabla 21.Requisitos escenario 5</w:t>
        </w:r>
        <w:r>
          <w:rPr>
            <w:noProof/>
            <w:webHidden/>
          </w:rPr>
          <w:tab/>
        </w:r>
        <w:r>
          <w:rPr>
            <w:noProof/>
            <w:webHidden/>
          </w:rPr>
          <w:fldChar w:fldCharType="begin"/>
        </w:r>
        <w:r>
          <w:rPr>
            <w:noProof/>
            <w:webHidden/>
          </w:rPr>
          <w:instrText xml:space="preserve"> PAGEREF _Toc231368688 \h </w:instrText>
        </w:r>
        <w:r>
          <w:rPr>
            <w:noProof/>
            <w:webHidden/>
          </w:rPr>
        </w:r>
        <w:r>
          <w:rPr>
            <w:noProof/>
            <w:webHidden/>
          </w:rPr>
          <w:fldChar w:fldCharType="separate"/>
        </w:r>
        <w:r>
          <w:rPr>
            <w:noProof/>
            <w:webHidden/>
          </w:rPr>
          <w:t>99</w:t>
        </w:r>
        <w:r>
          <w:rPr>
            <w:noProof/>
            <w:webHidden/>
          </w:rPr>
          <w:fldChar w:fldCharType="end"/>
        </w:r>
      </w:hyperlink>
    </w:p>
    <w:p w14:paraId="249CF3E5" w14:textId="7B0B1A58"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89" w:history="1">
        <w:r w:rsidRPr="002C7EFF">
          <w:rPr>
            <w:rStyle w:val="Hipervnculo"/>
            <w:noProof/>
          </w:rPr>
          <w:t>Tabla 22. Requisitos escenario 6</w:t>
        </w:r>
        <w:r>
          <w:rPr>
            <w:noProof/>
            <w:webHidden/>
          </w:rPr>
          <w:tab/>
        </w:r>
        <w:r>
          <w:rPr>
            <w:noProof/>
            <w:webHidden/>
          </w:rPr>
          <w:fldChar w:fldCharType="begin"/>
        </w:r>
        <w:r>
          <w:rPr>
            <w:noProof/>
            <w:webHidden/>
          </w:rPr>
          <w:instrText xml:space="preserve"> PAGEREF _Toc231368689 \h </w:instrText>
        </w:r>
        <w:r>
          <w:rPr>
            <w:noProof/>
            <w:webHidden/>
          </w:rPr>
        </w:r>
        <w:r>
          <w:rPr>
            <w:noProof/>
            <w:webHidden/>
          </w:rPr>
          <w:fldChar w:fldCharType="separate"/>
        </w:r>
        <w:r>
          <w:rPr>
            <w:noProof/>
            <w:webHidden/>
          </w:rPr>
          <w:t>100</w:t>
        </w:r>
        <w:r>
          <w:rPr>
            <w:noProof/>
            <w:webHidden/>
          </w:rPr>
          <w:fldChar w:fldCharType="end"/>
        </w:r>
      </w:hyperlink>
    </w:p>
    <w:p w14:paraId="34456CF0" w14:textId="0B1EBE0B"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0" w:history="1">
        <w:r w:rsidRPr="002C7EFF">
          <w:rPr>
            <w:rStyle w:val="Hipervnculo"/>
            <w:noProof/>
          </w:rPr>
          <w:t>Tabla 23. Comparativo convocatorias no limitadas a MiPymes</w:t>
        </w:r>
        <w:r>
          <w:rPr>
            <w:noProof/>
            <w:webHidden/>
          </w:rPr>
          <w:tab/>
        </w:r>
        <w:r>
          <w:rPr>
            <w:noProof/>
            <w:webHidden/>
          </w:rPr>
          <w:fldChar w:fldCharType="begin"/>
        </w:r>
        <w:r>
          <w:rPr>
            <w:noProof/>
            <w:webHidden/>
          </w:rPr>
          <w:instrText xml:space="preserve"> PAGEREF _Toc231368690 \h </w:instrText>
        </w:r>
        <w:r>
          <w:rPr>
            <w:noProof/>
            <w:webHidden/>
          </w:rPr>
        </w:r>
        <w:r>
          <w:rPr>
            <w:noProof/>
            <w:webHidden/>
          </w:rPr>
          <w:fldChar w:fldCharType="separate"/>
        </w:r>
        <w:r>
          <w:rPr>
            <w:noProof/>
            <w:webHidden/>
          </w:rPr>
          <w:t>102</w:t>
        </w:r>
        <w:r>
          <w:rPr>
            <w:noProof/>
            <w:webHidden/>
          </w:rPr>
          <w:fldChar w:fldCharType="end"/>
        </w:r>
      </w:hyperlink>
    </w:p>
    <w:p w14:paraId="6670F75F" w14:textId="4283D925"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1" w:history="1">
        <w:r w:rsidRPr="002C7EFF">
          <w:rPr>
            <w:rStyle w:val="Hipervnculo"/>
            <w:noProof/>
          </w:rPr>
          <w:t>Tabla 24. Comparativo convocatorias limitadas a MiPymes</w:t>
        </w:r>
        <w:r>
          <w:rPr>
            <w:noProof/>
            <w:webHidden/>
          </w:rPr>
          <w:tab/>
        </w:r>
        <w:r>
          <w:rPr>
            <w:noProof/>
            <w:webHidden/>
          </w:rPr>
          <w:fldChar w:fldCharType="begin"/>
        </w:r>
        <w:r>
          <w:rPr>
            <w:noProof/>
            <w:webHidden/>
          </w:rPr>
          <w:instrText xml:space="preserve"> PAGEREF _Toc231368691 \h </w:instrText>
        </w:r>
        <w:r>
          <w:rPr>
            <w:noProof/>
            <w:webHidden/>
          </w:rPr>
        </w:r>
        <w:r>
          <w:rPr>
            <w:noProof/>
            <w:webHidden/>
          </w:rPr>
          <w:fldChar w:fldCharType="separate"/>
        </w:r>
        <w:r>
          <w:rPr>
            <w:noProof/>
            <w:webHidden/>
          </w:rPr>
          <w:t>102</w:t>
        </w:r>
        <w:r>
          <w:rPr>
            <w:noProof/>
            <w:webHidden/>
          </w:rPr>
          <w:fldChar w:fldCharType="end"/>
        </w:r>
      </w:hyperlink>
    </w:p>
    <w:p w14:paraId="16CEDC98" w14:textId="20990F32"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2" w:history="1">
        <w:r w:rsidRPr="002C7EFF">
          <w:rPr>
            <w:rStyle w:val="Hipervnculo"/>
            <w:noProof/>
          </w:rPr>
          <w:t>Tabla 25. Ponderación Modalidad Licitación Pública</w:t>
        </w:r>
        <w:r>
          <w:rPr>
            <w:noProof/>
            <w:webHidden/>
          </w:rPr>
          <w:tab/>
        </w:r>
        <w:r>
          <w:rPr>
            <w:noProof/>
            <w:webHidden/>
          </w:rPr>
          <w:fldChar w:fldCharType="begin"/>
        </w:r>
        <w:r>
          <w:rPr>
            <w:noProof/>
            <w:webHidden/>
          </w:rPr>
          <w:instrText xml:space="preserve"> PAGEREF _Toc231368692 \h </w:instrText>
        </w:r>
        <w:r>
          <w:rPr>
            <w:noProof/>
            <w:webHidden/>
          </w:rPr>
        </w:r>
        <w:r>
          <w:rPr>
            <w:noProof/>
            <w:webHidden/>
          </w:rPr>
          <w:fldChar w:fldCharType="separate"/>
        </w:r>
        <w:r>
          <w:rPr>
            <w:noProof/>
            <w:webHidden/>
          </w:rPr>
          <w:t>104</w:t>
        </w:r>
        <w:r>
          <w:rPr>
            <w:noProof/>
            <w:webHidden/>
          </w:rPr>
          <w:fldChar w:fldCharType="end"/>
        </w:r>
      </w:hyperlink>
    </w:p>
    <w:p w14:paraId="18F167F9" w14:textId="3E0BCAB1"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3" w:history="1">
        <w:r w:rsidRPr="002C7EFF">
          <w:rPr>
            <w:rStyle w:val="Hipervnculo"/>
            <w:noProof/>
          </w:rPr>
          <w:t>Tabla 26. Factores de calidad actuales</w:t>
        </w:r>
        <w:r>
          <w:rPr>
            <w:noProof/>
            <w:webHidden/>
          </w:rPr>
          <w:tab/>
        </w:r>
        <w:r>
          <w:rPr>
            <w:noProof/>
            <w:webHidden/>
          </w:rPr>
          <w:fldChar w:fldCharType="begin"/>
        </w:r>
        <w:r>
          <w:rPr>
            <w:noProof/>
            <w:webHidden/>
          </w:rPr>
          <w:instrText xml:space="preserve"> PAGEREF _Toc231368693 \h </w:instrText>
        </w:r>
        <w:r>
          <w:rPr>
            <w:noProof/>
            <w:webHidden/>
          </w:rPr>
        </w:r>
        <w:r>
          <w:rPr>
            <w:noProof/>
            <w:webHidden/>
          </w:rPr>
          <w:fldChar w:fldCharType="separate"/>
        </w:r>
        <w:r>
          <w:rPr>
            <w:noProof/>
            <w:webHidden/>
          </w:rPr>
          <w:t>107</w:t>
        </w:r>
        <w:r>
          <w:rPr>
            <w:noProof/>
            <w:webHidden/>
          </w:rPr>
          <w:fldChar w:fldCharType="end"/>
        </w:r>
      </w:hyperlink>
    </w:p>
    <w:p w14:paraId="002E6A24" w14:textId="73D55BCC"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4" w:history="1">
        <w:r w:rsidRPr="002C7EFF">
          <w:rPr>
            <w:rStyle w:val="Hipervnculo"/>
            <w:noProof/>
          </w:rPr>
          <w:t>Tabla 27. Factores de calidad propuesta actual</w:t>
        </w:r>
        <w:r>
          <w:rPr>
            <w:noProof/>
            <w:webHidden/>
          </w:rPr>
          <w:tab/>
        </w:r>
        <w:r>
          <w:rPr>
            <w:noProof/>
            <w:webHidden/>
          </w:rPr>
          <w:fldChar w:fldCharType="begin"/>
        </w:r>
        <w:r>
          <w:rPr>
            <w:noProof/>
            <w:webHidden/>
          </w:rPr>
          <w:instrText xml:space="preserve"> PAGEREF _Toc231368694 \h </w:instrText>
        </w:r>
        <w:r>
          <w:rPr>
            <w:noProof/>
            <w:webHidden/>
          </w:rPr>
        </w:r>
        <w:r>
          <w:rPr>
            <w:noProof/>
            <w:webHidden/>
          </w:rPr>
          <w:fldChar w:fldCharType="separate"/>
        </w:r>
        <w:r>
          <w:rPr>
            <w:noProof/>
            <w:webHidden/>
          </w:rPr>
          <w:t>108</w:t>
        </w:r>
        <w:r>
          <w:rPr>
            <w:noProof/>
            <w:webHidden/>
          </w:rPr>
          <w:fldChar w:fldCharType="end"/>
        </w:r>
      </w:hyperlink>
    </w:p>
    <w:p w14:paraId="0FAAA0C7" w14:textId="4AEAE73A"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5" w:history="1">
        <w:r w:rsidRPr="002C7EFF">
          <w:rPr>
            <w:rStyle w:val="Hipervnculo"/>
            <w:noProof/>
          </w:rPr>
          <w:t>Tabla 28. Opciones aplicables en función de los Rangos de SMMLV</w:t>
        </w:r>
        <w:r>
          <w:rPr>
            <w:noProof/>
            <w:webHidden/>
          </w:rPr>
          <w:tab/>
        </w:r>
        <w:r>
          <w:rPr>
            <w:noProof/>
            <w:webHidden/>
          </w:rPr>
          <w:fldChar w:fldCharType="begin"/>
        </w:r>
        <w:r>
          <w:rPr>
            <w:noProof/>
            <w:webHidden/>
          </w:rPr>
          <w:instrText xml:space="preserve"> PAGEREF _Toc231368695 \h </w:instrText>
        </w:r>
        <w:r>
          <w:rPr>
            <w:noProof/>
            <w:webHidden/>
          </w:rPr>
        </w:r>
        <w:r>
          <w:rPr>
            <w:noProof/>
            <w:webHidden/>
          </w:rPr>
          <w:fldChar w:fldCharType="separate"/>
        </w:r>
        <w:r>
          <w:rPr>
            <w:noProof/>
            <w:webHidden/>
          </w:rPr>
          <w:t>109</w:t>
        </w:r>
        <w:r>
          <w:rPr>
            <w:noProof/>
            <w:webHidden/>
          </w:rPr>
          <w:fldChar w:fldCharType="end"/>
        </w:r>
      </w:hyperlink>
    </w:p>
    <w:p w14:paraId="1FE6A087" w14:textId="3C25E111"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6" w:history="1">
        <w:r w:rsidRPr="002C7EFF">
          <w:rPr>
            <w:rStyle w:val="Hipervnculo"/>
            <w:noProof/>
          </w:rPr>
          <w:t>Tabla 29. Opciones factor social</w:t>
        </w:r>
        <w:r>
          <w:rPr>
            <w:noProof/>
            <w:webHidden/>
          </w:rPr>
          <w:tab/>
        </w:r>
        <w:r>
          <w:rPr>
            <w:noProof/>
            <w:webHidden/>
          </w:rPr>
          <w:fldChar w:fldCharType="begin"/>
        </w:r>
        <w:r>
          <w:rPr>
            <w:noProof/>
            <w:webHidden/>
          </w:rPr>
          <w:instrText xml:space="preserve"> PAGEREF _Toc231368696 \h </w:instrText>
        </w:r>
        <w:r>
          <w:rPr>
            <w:noProof/>
            <w:webHidden/>
          </w:rPr>
        </w:r>
        <w:r>
          <w:rPr>
            <w:noProof/>
            <w:webHidden/>
          </w:rPr>
          <w:fldChar w:fldCharType="separate"/>
        </w:r>
        <w:r>
          <w:rPr>
            <w:noProof/>
            <w:webHidden/>
          </w:rPr>
          <w:t>123</w:t>
        </w:r>
        <w:r>
          <w:rPr>
            <w:noProof/>
            <w:webHidden/>
          </w:rPr>
          <w:fldChar w:fldCharType="end"/>
        </w:r>
      </w:hyperlink>
    </w:p>
    <w:p w14:paraId="6DA91FA8" w14:textId="493C7B45"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7" w:history="1">
        <w:r w:rsidRPr="002C7EFF">
          <w:rPr>
            <w:rStyle w:val="Hipervnculo"/>
            <w:noProof/>
          </w:rPr>
          <w:t>Tabla 30. Participación MiPymes por sectores - valor contratado y cantidad de contratos</w:t>
        </w:r>
        <w:r>
          <w:rPr>
            <w:noProof/>
            <w:webHidden/>
          </w:rPr>
          <w:tab/>
        </w:r>
        <w:r>
          <w:rPr>
            <w:noProof/>
            <w:webHidden/>
          </w:rPr>
          <w:fldChar w:fldCharType="begin"/>
        </w:r>
        <w:r>
          <w:rPr>
            <w:noProof/>
            <w:webHidden/>
          </w:rPr>
          <w:instrText xml:space="preserve"> PAGEREF _Toc231368697 \h </w:instrText>
        </w:r>
        <w:r>
          <w:rPr>
            <w:noProof/>
            <w:webHidden/>
          </w:rPr>
        </w:r>
        <w:r>
          <w:rPr>
            <w:noProof/>
            <w:webHidden/>
          </w:rPr>
          <w:fldChar w:fldCharType="separate"/>
        </w:r>
        <w:r>
          <w:rPr>
            <w:noProof/>
            <w:webHidden/>
          </w:rPr>
          <w:t>133</w:t>
        </w:r>
        <w:r>
          <w:rPr>
            <w:noProof/>
            <w:webHidden/>
          </w:rPr>
          <w:fldChar w:fldCharType="end"/>
        </w:r>
      </w:hyperlink>
    </w:p>
    <w:p w14:paraId="0C30606D" w14:textId="51B9A56D"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8" w:history="1">
        <w:r w:rsidRPr="002C7EFF">
          <w:rPr>
            <w:rStyle w:val="Hipervnculo"/>
            <w:noProof/>
          </w:rPr>
          <w:t>Tabla 31. Participación de la mujer por sectores - valor contratado y cantidad de contratos</w:t>
        </w:r>
        <w:r>
          <w:rPr>
            <w:noProof/>
            <w:webHidden/>
          </w:rPr>
          <w:tab/>
        </w:r>
        <w:r>
          <w:rPr>
            <w:noProof/>
            <w:webHidden/>
          </w:rPr>
          <w:fldChar w:fldCharType="begin"/>
        </w:r>
        <w:r>
          <w:rPr>
            <w:noProof/>
            <w:webHidden/>
          </w:rPr>
          <w:instrText xml:space="preserve"> PAGEREF _Toc231368698 \h </w:instrText>
        </w:r>
        <w:r>
          <w:rPr>
            <w:noProof/>
            <w:webHidden/>
          </w:rPr>
        </w:r>
        <w:r>
          <w:rPr>
            <w:noProof/>
            <w:webHidden/>
          </w:rPr>
          <w:fldChar w:fldCharType="separate"/>
        </w:r>
        <w:r>
          <w:rPr>
            <w:noProof/>
            <w:webHidden/>
          </w:rPr>
          <w:t>140</w:t>
        </w:r>
        <w:r>
          <w:rPr>
            <w:noProof/>
            <w:webHidden/>
          </w:rPr>
          <w:fldChar w:fldCharType="end"/>
        </w:r>
      </w:hyperlink>
    </w:p>
    <w:p w14:paraId="36EFFAC2" w14:textId="1CEF29C0"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699" w:history="1">
        <w:r w:rsidRPr="002C7EFF">
          <w:rPr>
            <w:rStyle w:val="Hipervnculo"/>
            <w:noProof/>
          </w:rPr>
          <w:t>Tabla 32. Número de contratos para acreditación de experiencia</w:t>
        </w:r>
        <w:r>
          <w:rPr>
            <w:noProof/>
            <w:webHidden/>
          </w:rPr>
          <w:tab/>
        </w:r>
        <w:r>
          <w:rPr>
            <w:noProof/>
            <w:webHidden/>
          </w:rPr>
          <w:fldChar w:fldCharType="begin"/>
        </w:r>
        <w:r>
          <w:rPr>
            <w:noProof/>
            <w:webHidden/>
          </w:rPr>
          <w:instrText xml:space="preserve"> PAGEREF _Toc231368699 \h </w:instrText>
        </w:r>
        <w:r>
          <w:rPr>
            <w:noProof/>
            <w:webHidden/>
          </w:rPr>
        </w:r>
        <w:r>
          <w:rPr>
            <w:noProof/>
            <w:webHidden/>
          </w:rPr>
          <w:fldChar w:fldCharType="separate"/>
        </w:r>
        <w:r>
          <w:rPr>
            <w:noProof/>
            <w:webHidden/>
          </w:rPr>
          <w:t>154</w:t>
        </w:r>
        <w:r>
          <w:rPr>
            <w:noProof/>
            <w:webHidden/>
          </w:rPr>
          <w:fldChar w:fldCharType="end"/>
        </w:r>
      </w:hyperlink>
    </w:p>
    <w:p w14:paraId="2F73B10E" w14:textId="059815AA"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0" w:history="1">
        <w:r w:rsidRPr="002C7EFF">
          <w:rPr>
            <w:rStyle w:val="Hipervnculo"/>
            <w:noProof/>
          </w:rPr>
          <w:t>Tabla 33. Indicadores de capacidad financiera y organizacional promedio del sector (MiPymes). Promedio de la muestra normalizada utilizando el criterio del rango intercuartílico</w:t>
        </w:r>
        <w:r>
          <w:rPr>
            <w:noProof/>
            <w:webHidden/>
          </w:rPr>
          <w:tab/>
        </w:r>
        <w:r>
          <w:rPr>
            <w:noProof/>
            <w:webHidden/>
          </w:rPr>
          <w:fldChar w:fldCharType="begin"/>
        </w:r>
        <w:r>
          <w:rPr>
            <w:noProof/>
            <w:webHidden/>
          </w:rPr>
          <w:instrText xml:space="preserve"> PAGEREF _Toc231368700 \h </w:instrText>
        </w:r>
        <w:r>
          <w:rPr>
            <w:noProof/>
            <w:webHidden/>
          </w:rPr>
        </w:r>
        <w:r>
          <w:rPr>
            <w:noProof/>
            <w:webHidden/>
          </w:rPr>
          <w:fldChar w:fldCharType="separate"/>
        </w:r>
        <w:r>
          <w:rPr>
            <w:noProof/>
            <w:webHidden/>
          </w:rPr>
          <w:t>156</w:t>
        </w:r>
        <w:r>
          <w:rPr>
            <w:noProof/>
            <w:webHidden/>
          </w:rPr>
          <w:fldChar w:fldCharType="end"/>
        </w:r>
      </w:hyperlink>
    </w:p>
    <w:p w14:paraId="045C31FE" w14:textId="76FF22D3"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1" w:history="1">
        <w:r w:rsidRPr="002C7EFF">
          <w:rPr>
            <w:rStyle w:val="Hipervnculo"/>
            <w:noProof/>
          </w:rPr>
          <w:t>Tabla 34. Indicadores de capacidad financiera y organizacional promedio segmentado (MiPymes).</w:t>
        </w:r>
        <w:r>
          <w:rPr>
            <w:noProof/>
            <w:webHidden/>
          </w:rPr>
          <w:tab/>
        </w:r>
        <w:r>
          <w:rPr>
            <w:noProof/>
            <w:webHidden/>
          </w:rPr>
          <w:fldChar w:fldCharType="begin"/>
        </w:r>
        <w:r>
          <w:rPr>
            <w:noProof/>
            <w:webHidden/>
          </w:rPr>
          <w:instrText xml:space="preserve"> PAGEREF _Toc231368701 \h </w:instrText>
        </w:r>
        <w:r>
          <w:rPr>
            <w:noProof/>
            <w:webHidden/>
          </w:rPr>
        </w:r>
        <w:r>
          <w:rPr>
            <w:noProof/>
            <w:webHidden/>
          </w:rPr>
          <w:fldChar w:fldCharType="separate"/>
        </w:r>
        <w:r>
          <w:rPr>
            <w:noProof/>
            <w:webHidden/>
          </w:rPr>
          <w:t>156</w:t>
        </w:r>
        <w:r>
          <w:rPr>
            <w:noProof/>
            <w:webHidden/>
          </w:rPr>
          <w:fldChar w:fldCharType="end"/>
        </w:r>
      </w:hyperlink>
    </w:p>
    <w:p w14:paraId="5FF690D3" w14:textId="3EA804E5"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2" w:history="1">
        <w:r w:rsidRPr="002C7EFF">
          <w:rPr>
            <w:rStyle w:val="Hipervnculo"/>
            <w:noProof/>
          </w:rPr>
          <w:t>Tabla 35. Variaciones indicadores</w:t>
        </w:r>
        <w:r>
          <w:rPr>
            <w:noProof/>
            <w:webHidden/>
          </w:rPr>
          <w:tab/>
        </w:r>
        <w:r>
          <w:rPr>
            <w:noProof/>
            <w:webHidden/>
          </w:rPr>
          <w:fldChar w:fldCharType="begin"/>
        </w:r>
        <w:r>
          <w:rPr>
            <w:noProof/>
            <w:webHidden/>
          </w:rPr>
          <w:instrText xml:space="preserve"> PAGEREF _Toc231368702 \h </w:instrText>
        </w:r>
        <w:r>
          <w:rPr>
            <w:noProof/>
            <w:webHidden/>
          </w:rPr>
        </w:r>
        <w:r>
          <w:rPr>
            <w:noProof/>
            <w:webHidden/>
          </w:rPr>
          <w:fldChar w:fldCharType="separate"/>
        </w:r>
        <w:r>
          <w:rPr>
            <w:noProof/>
            <w:webHidden/>
          </w:rPr>
          <w:t>157</w:t>
        </w:r>
        <w:r>
          <w:rPr>
            <w:noProof/>
            <w:webHidden/>
          </w:rPr>
          <w:fldChar w:fldCharType="end"/>
        </w:r>
      </w:hyperlink>
    </w:p>
    <w:p w14:paraId="111EC74C" w14:textId="337D7292"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3" w:history="1">
        <w:r w:rsidRPr="002C7EFF">
          <w:rPr>
            <w:rStyle w:val="Hipervnculo"/>
            <w:noProof/>
          </w:rPr>
          <w:t>Tabla 36. Indicadores MiPymes Capacidad Financiera</w:t>
        </w:r>
        <w:r>
          <w:rPr>
            <w:noProof/>
            <w:webHidden/>
          </w:rPr>
          <w:tab/>
        </w:r>
        <w:r>
          <w:rPr>
            <w:noProof/>
            <w:webHidden/>
          </w:rPr>
          <w:fldChar w:fldCharType="begin"/>
        </w:r>
        <w:r>
          <w:rPr>
            <w:noProof/>
            <w:webHidden/>
          </w:rPr>
          <w:instrText xml:space="preserve"> PAGEREF _Toc231368703 \h </w:instrText>
        </w:r>
        <w:r>
          <w:rPr>
            <w:noProof/>
            <w:webHidden/>
          </w:rPr>
        </w:r>
        <w:r>
          <w:rPr>
            <w:noProof/>
            <w:webHidden/>
          </w:rPr>
          <w:fldChar w:fldCharType="separate"/>
        </w:r>
        <w:r>
          <w:rPr>
            <w:noProof/>
            <w:webHidden/>
          </w:rPr>
          <w:t>158</w:t>
        </w:r>
        <w:r>
          <w:rPr>
            <w:noProof/>
            <w:webHidden/>
          </w:rPr>
          <w:fldChar w:fldCharType="end"/>
        </w:r>
      </w:hyperlink>
    </w:p>
    <w:p w14:paraId="64D05D83" w14:textId="37BFF586"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4" w:history="1">
        <w:r w:rsidRPr="002C7EFF">
          <w:rPr>
            <w:rStyle w:val="Hipervnculo"/>
            <w:noProof/>
          </w:rPr>
          <w:t>Tabla 37. Indicadores MiPymes Capacidad Organizacional</w:t>
        </w:r>
        <w:r>
          <w:rPr>
            <w:noProof/>
            <w:webHidden/>
          </w:rPr>
          <w:tab/>
        </w:r>
        <w:r>
          <w:rPr>
            <w:noProof/>
            <w:webHidden/>
          </w:rPr>
          <w:fldChar w:fldCharType="begin"/>
        </w:r>
        <w:r>
          <w:rPr>
            <w:noProof/>
            <w:webHidden/>
          </w:rPr>
          <w:instrText xml:space="preserve"> PAGEREF _Toc231368704 \h </w:instrText>
        </w:r>
        <w:r>
          <w:rPr>
            <w:noProof/>
            <w:webHidden/>
          </w:rPr>
        </w:r>
        <w:r>
          <w:rPr>
            <w:noProof/>
            <w:webHidden/>
          </w:rPr>
          <w:fldChar w:fldCharType="separate"/>
        </w:r>
        <w:r>
          <w:rPr>
            <w:noProof/>
            <w:webHidden/>
          </w:rPr>
          <w:t>159</w:t>
        </w:r>
        <w:r>
          <w:rPr>
            <w:noProof/>
            <w:webHidden/>
          </w:rPr>
          <w:fldChar w:fldCharType="end"/>
        </w:r>
      </w:hyperlink>
    </w:p>
    <w:p w14:paraId="28A05F8E" w14:textId="1EC7B83D"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5" w:history="1">
        <w:r w:rsidRPr="002C7EFF">
          <w:rPr>
            <w:rStyle w:val="Hipervnculo"/>
            <w:noProof/>
          </w:rPr>
          <w:t>Tabla 38. Porcentajes de cumplimiento MiPymes (&gt;=13.000 Smmlv)</w:t>
        </w:r>
        <w:r>
          <w:rPr>
            <w:noProof/>
            <w:webHidden/>
          </w:rPr>
          <w:tab/>
        </w:r>
        <w:r>
          <w:rPr>
            <w:noProof/>
            <w:webHidden/>
          </w:rPr>
          <w:fldChar w:fldCharType="begin"/>
        </w:r>
        <w:r>
          <w:rPr>
            <w:noProof/>
            <w:webHidden/>
          </w:rPr>
          <w:instrText xml:space="preserve"> PAGEREF _Toc231368705 \h </w:instrText>
        </w:r>
        <w:r>
          <w:rPr>
            <w:noProof/>
            <w:webHidden/>
          </w:rPr>
        </w:r>
        <w:r>
          <w:rPr>
            <w:noProof/>
            <w:webHidden/>
          </w:rPr>
          <w:fldChar w:fldCharType="separate"/>
        </w:r>
        <w:r>
          <w:rPr>
            <w:noProof/>
            <w:webHidden/>
          </w:rPr>
          <w:t>161</w:t>
        </w:r>
        <w:r>
          <w:rPr>
            <w:noProof/>
            <w:webHidden/>
          </w:rPr>
          <w:fldChar w:fldCharType="end"/>
        </w:r>
      </w:hyperlink>
    </w:p>
    <w:p w14:paraId="2B7E92D2" w14:textId="153896CE" w:rsidR="002933C1" w:rsidRDefault="002933C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06" w:history="1">
        <w:r w:rsidRPr="002C7EFF">
          <w:rPr>
            <w:rStyle w:val="Hipervnculo"/>
            <w:noProof/>
          </w:rPr>
          <w:t>Tabla 39. Porcentajes de cumplimiento MiPymes (&lt;13.000 Smmlv)</w:t>
        </w:r>
        <w:r>
          <w:rPr>
            <w:noProof/>
            <w:webHidden/>
          </w:rPr>
          <w:tab/>
        </w:r>
        <w:r>
          <w:rPr>
            <w:noProof/>
            <w:webHidden/>
          </w:rPr>
          <w:fldChar w:fldCharType="begin"/>
        </w:r>
        <w:r>
          <w:rPr>
            <w:noProof/>
            <w:webHidden/>
          </w:rPr>
          <w:instrText xml:space="preserve"> PAGEREF _Toc231368706 \h </w:instrText>
        </w:r>
        <w:r>
          <w:rPr>
            <w:noProof/>
            <w:webHidden/>
          </w:rPr>
        </w:r>
        <w:r>
          <w:rPr>
            <w:noProof/>
            <w:webHidden/>
          </w:rPr>
          <w:fldChar w:fldCharType="separate"/>
        </w:r>
        <w:r>
          <w:rPr>
            <w:noProof/>
            <w:webHidden/>
          </w:rPr>
          <w:t>161</w:t>
        </w:r>
        <w:r>
          <w:rPr>
            <w:noProof/>
            <w:webHidden/>
          </w:rPr>
          <w:fldChar w:fldCharType="end"/>
        </w:r>
      </w:hyperlink>
    </w:p>
    <w:p w14:paraId="51E6C125" w14:textId="31D339AA" w:rsidR="00296099" w:rsidRPr="00611315" w:rsidRDefault="00D95E6D" w:rsidP="6EDC65D9">
      <w:pPr>
        <w:rPr>
          <w:rFonts w:ascii="Verdana" w:hAnsi="Verdana"/>
        </w:rPr>
      </w:pPr>
      <w:r w:rsidRPr="00611315">
        <w:rPr>
          <w:rFonts w:ascii="Verdana" w:hAnsi="Verdana"/>
        </w:rPr>
        <w:fldChar w:fldCharType="end"/>
      </w:r>
    </w:p>
    <w:p w14:paraId="55FE9AC0" w14:textId="77777777" w:rsidR="00296099" w:rsidRPr="00611315" w:rsidRDefault="00296099" w:rsidP="6EDC65D9">
      <w:pPr>
        <w:rPr>
          <w:rFonts w:ascii="Verdana" w:hAnsi="Verdana"/>
        </w:rPr>
      </w:pPr>
    </w:p>
    <w:p w14:paraId="0FAD0F6D" w14:textId="500874C3" w:rsidR="000A3E7F" w:rsidRPr="00611315" w:rsidRDefault="000A3E7F" w:rsidP="000A3E7F">
      <w:pPr>
        <w:jc w:val="center"/>
        <w:rPr>
          <w:rFonts w:ascii="Verdana" w:hAnsi="Verdana"/>
          <w:b/>
          <w:bCs/>
          <w:sz w:val="22"/>
          <w:szCs w:val="22"/>
        </w:rPr>
      </w:pPr>
      <w:r w:rsidRPr="00611315">
        <w:rPr>
          <w:rFonts w:ascii="Verdana" w:hAnsi="Verdana"/>
          <w:b/>
          <w:bCs/>
          <w:sz w:val="22"/>
          <w:szCs w:val="22"/>
        </w:rPr>
        <w:t>LISTA GRÁFICAS</w:t>
      </w:r>
    </w:p>
    <w:p w14:paraId="29642B6F" w14:textId="77777777" w:rsidR="00296099" w:rsidRPr="00611315" w:rsidRDefault="00296099" w:rsidP="6EDC65D9">
      <w:pPr>
        <w:rPr>
          <w:rFonts w:ascii="Verdana" w:hAnsi="Verdana"/>
        </w:rPr>
      </w:pPr>
    </w:p>
    <w:p w14:paraId="25111805" w14:textId="7D70AE21" w:rsidR="00825C2B" w:rsidRDefault="00E36BE1">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r w:rsidRPr="00611315">
        <w:fldChar w:fldCharType="begin"/>
      </w:r>
      <w:r w:rsidRPr="00611315">
        <w:instrText xml:space="preserve"> TOC \h \z \c "Gráfica" </w:instrText>
      </w:r>
      <w:r w:rsidRPr="00611315">
        <w:fldChar w:fldCharType="separate"/>
      </w:r>
      <w:hyperlink w:anchor="_Toc231368776" w:history="1">
        <w:r w:rsidR="00825C2B" w:rsidRPr="00A22B5E">
          <w:rPr>
            <w:rStyle w:val="Hipervnculo"/>
            <w:rFonts w:eastAsia="Verdana Pro" w:cs="Verdana Pro"/>
            <w:noProof/>
          </w:rPr>
          <w:t>Gráfica 1. Composición sector de la construcción</w:t>
        </w:r>
        <w:r w:rsidR="00825C2B">
          <w:rPr>
            <w:noProof/>
            <w:webHidden/>
          </w:rPr>
          <w:tab/>
        </w:r>
        <w:r w:rsidR="00825C2B">
          <w:rPr>
            <w:noProof/>
            <w:webHidden/>
          </w:rPr>
          <w:fldChar w:fldCharType="begin"/>
        </w:r>
        <w:r w:rsidR="00825C2B">
          <w:rPr>
            <w:noProof/>
            <w:webHidden/>
          </w:rPr>
          <w:instrText xml:space="preserve"> PAGEREF _Toc231368776 \h </w:instrText>
        </w:r>
        <w:r w:rsidR="00825C2B">
          <w:rPr>
            <w:noProof/>
            <w:webHidden/>
          </w:rPr>
        </w:r>
        <w:r w:rsidR="00825C2B">
          <w:rPr>
            <w:noProof/>
            <w:webHidden/>
          </w:rPr>
          <w:fldChar w:fldCharType="separate"/>
        </w:r>
        <w:r w:rsidR="00825C2B">
          <w:rPr>
            <w:noProof/>
            <w:webHidden/>
          </w:rPr>
          <w:t>11</w:t>
        </w:r>
        <w:r w:rsidR="00825C2B">
          <w:rPr>
            <w:noProof/>
            <w:webHidden/>
          </w:rPr>
          <w:fldChar w:fldCharType="end"/>
        </w:r>
      </w:hyperlink>
    </w:p>
    <w:p w14:paraId="1BD34FC9" w14:textId="1A655246"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77" w:history="1">
        <w:r w:rsidRPr="00A22B5E">
          <w:rPr>
            <w:rStyle w:val="Hipervnculo"/>
            <w:rFonts w:eastAsia="Verdana Pro" w:cs="Verdana Pro"/>
            <w:noProof/>
          </w:rPr>
          <w:t>Gráfica 2. Subsectores Sector Infraestructura</w:t>
        </w:r>
        <w:r>
          <w:rPr>
            <w:noProof/>
            <w:webHidden/>
          </w:rPr>
          <w:tab/>
        </w:r>
        <w:r>
          <w:rPr>
            <w:noProof/>
            <w:webHidden/>
          </w:rPr>
          <w:fldChar w:fldCharType="begin"/>
        </w:r>
        <w:r>
          <w:rPr>
            <w:noProof/>
            <w:webHidden/>
          </w:rPr>
          <w:instrText xml:space="preserve"> PAGEREF _Toc231368777 \h </w:instrText>
        </w:r>
        <w:r>
          <w:rPr>
            <w:noProof/>
            <w:webHidden/>
          </w:rPr>
        </w:r>
        <w:r>
          <w:rPr>
            <w:noProof/>
            <w:webHidden/>
          </w:rPr>
          <w:fldChar w:fldCharType="separate"/>
        </w:r>
        <w:r>
          <w:rPr>
            <w:noProof/>
            <w:webHidden/>
          </w:rPr>
          <w:t>12</w:t>
        </w:r>
        <w:r>
          <w:rPr>
            <w:noProof/>
            <w:webHidden/>
          </w:rPr>
          <w:fldChar w:fldCharType="end"/>
        </w:r>
      </w:hyperlink>
    </w:p>
    <w:p w14:paraId="14A88EF0" w14:textId="182F8F5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78" w:history="1">
        <w:r w:rsidRPr="00A22B5E">
          <w:rPr>
            <w:rStyle w:val="Hipervnculo"/>
            <w:rFonts w:eastAsia="Verdana Pro" w:cs="Verdana Pro"/>
            <w:noProof/>
          </w:rPr>
          <w:t>Gráfica 3. Valor agregado de obras civiles</w:t>
        </w:r>
        <w:r>
          <w:rPr>
            <w:noProof/>
            <w:webHidden/>
          </w:rPr>
          <w:tab/>
        </w:r>
        <w:r>
          <w:rPr>
            <w:noProof/>
            <w:webHidden/>
          </w:rPr>
          <w:fldChar w:fldCharType="begin"/>
        </w:r>
        <w:r>
          <w:rPr>
            <w:noProof/>
            <w:webHidden/>
          </w:rPr>
          <w:instrText xml:space="preserve"> PAGEREF _Toc231368778 \h </w:instrText>
        </w:r>
        <w:r>
          <w:rPr>
            <w:noProof/>
            <w:webHidden/>
          </w:rPr>
        </w:r>
        <w:r>
          <w:rPr>
            <w:noProof/>
            <w:webHidden/>
          </w:rPr>
          <w:fldChar w:fldCharType="separate"/>
        </w:r>
        <w:r>
          <w:rPr>
            <w:noProof/>
            <w:webHidden/>
          </w:rPr>
          <w:t>13</w:t>
        </w:r>
        <w:r>
          <w:rPr>
            <w:noProof/>
            <w:webHidden/>
          </w:rPr>
          <w:fldChar w:fldCharType="end"/>
        </w:r>
      </w:hyperlink>
    </w:p>
    <w:p w14:paraId="21805A84" w14:textId="7FC6869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79" w:history="1">
        <w:r w:rsidRPr="00A22B5E">
          <w:rPr>
            <w:rStyle w:val="Hipervnculo"/>
            <w:rFonts w:eastAsia="Verdana Pro" w:cs="Verdana Pro"/>
            <w:noProof/>
          </w:rPr>
          <w:t>Gráfica 4. Construcción de obras civiles (IPOC)</w:t>
        </w:r>
        <w:r>
          <w:rPr>
            <w:noProof/>
            <w:webHidden/>
          </w:rPr>
          <w:tab/>
        </w:r>
        <w:r>
          <w:rPr>
            <w:noProof/>
            <w:webHidden/>
          </w:rPr>
          <w:fldChar w:fldCharType="begin"/>
        </w:r>
        <w:r>
          <w:rPr>
            <w:noProof/>
            <w:webHidden/>
          </w:rPr>
          <w:instrText xml:space="preserve"> PAGEREF _Toc231368779 \h </w:instrText>
        </w:r>
        <w:r>
          <w:rPr>
            <w:noProof/>
            <w:webHidden/>
          </w:rPr>
        </w:r>
        <w:r>
          <w:rPr>
            <w:noProof/>
            <w:webHidden/>
          </w:rPr>
          <w:fldChar w:fldCharType="separate"/>
        </w:r>
        <w:r>
          <w:rPr>
            <w:noProof/>
            <w:webHidden/>
          </w:rPr>
          <w:t>14</w:t>
        </w:r>
        <w:r>
          <w:rPr>
            <w:noProof/>
            <w:webHidden/>
          </w:rPr>
          <w:fldChar w:fldCharType="end"/>
        </w:r>
      </w:hyperlink>
    </w:p>
    <w:p w14:paraId="541D3ED0" w14:textId="0131981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0" w:history="1">
        <w:r w:rsidRPr="00A22B5E">
          <w:rPr>
            <w:rStyle w:val="Hipervnculo"/>
            <w:rFonts w:eastAsia="Verdana Pro" w:cs="Verdana Pro"/>
            <w:noProof/>
          </w:rPr>
          <w:t>Gráfica 5. Variación anual I-trim 2025 vs I-trim 2026 (IPOC)</w:t>
        </w:r>
        <w:r>
          <w:rPr>
            <w:noProof/>
            <w:webHidden/>
          </w:rPr>
          <w:tab/>
        </w:r>
        <w:r>
          <w:rPr>
            <w:noProof/>
            <w:webHidden/>
          </w:rPr>
          <w:fldChar w:fldCharType="begin"/>
        </w:r>
        <w:r>
          <w:rPr>
            <w:noProof/>
            <w:webHidden/>
          </w:rPr>
          <w:instrText xml:space="preserve"> PAGEREF _Toc231368780 \h </w:instrText>
        </w:r>
        <w:r>
          <w:rPr>
            <w:noProof/>
            <w:webHidden/>
          </w:rPr>
        </w:r>
        <w:r>
          <w:rPr>
            <w:noProof/>
            <w:webHidden/>
          </w:rPr>
          <w:fldChar w:fldCharType="separate"/>
        </w:r>
        <w:r>
          <w:rPr>
            <w:noProof/>
            <w:webHidden/>
          </w:rPr>
          <w:t>15</w:t>
        </w:r>
        <w:r>
          <w:rPr>
            <w:noProof/>
            <w:webHidden/>
          </w:rPr>
          <w:fldChar w:fldCharType="end"/>
        </w:r>
      </w:hyperlink>
    </w:p>
    <w:p w14:paraId="00FF88A2" w14:textId="2AEF73C9"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1" w:history="1">
        <w:r w:rsidRPr="00A22B5E">
          <w:rPr>
            <w:rStyle w:val="Hipervnculo"/>
            <w:rFonts w:eastAsia="Verdana Pro" w:cs="Verdana Pro"/>
            <w:noProof/>
          </w:rPr>
          <w:t>Gráfica 6. Valor agregado por actividad económica Tasas de crecimiento en volumen1 Primer trimestre 2026pr</w:t>
        </w:r>
        <w:r>
          <w:rPr>
            <w:noProof/>
            <w:webHidden/>
          </w:rPr>
          <w:tab/>
        </w:r>
        <w:r>
          <w:rPr>
            <w:noProof/>
            <w:webHidden/>
          </w:rPr>
          <w:fldChar w:fldCharType="begin"/>
        </w:r>
        <w:r>
          <w:rPr>
            <w:noProof/>
            <w:webHidden/>
          </w:rPr>
          <w:instrText xml:space="preserve"> PAGEREF _Toc231368781 \h </w:instrText>
        </w:r>
        <w:r>
          <w:rPr>
            <w:noProof/>
            <w:webHidden/>
          </w:rPr>
        </w:r>
        <w:r>
          <w:rPr>
            <w:noProof/>
            <w:webHidden/>
          </w:rPr>
          <w:fldChar w:fldCharType="separate"/>
        </w:r>
        <w:r>
          <w:rPr>
            <w:noProof/>
            <w:webHidden/>
          </w:rPr>
          <w:t>16</w:t>
        </w:r>
        <w:r>
          <w:rPr>
            <w:noProof/>
            <w:webHidden/>
          </w:rPr>
          <w:fldChar w:fldCharType="end"/>
        </w:r>
      </w:hyperlink>
    </w:p>
    <w:p w14:paraId="662964DF" w14:textId="25F2478D"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2" w:history="1">
        <w:r w:rsidRPr="00A22B5E">
          <w:rPr>
            <w:rStyle w:val="Hipervnculo"/>
            <w:rFonts w:eastAsia="Verdana Pro" w:cs="Verdana Pro"/>
            <w:noProof/>
          </w:rPr>
          <w:t>Gráfica 7. Construcción Tasas de crecimiento en volumen Primer trimestre 2026pr</w:t>
        </w:r>
        <w:r>
          <w:rPr>
            <w:noProof/>
            <w:webHidden/>
          </w:rPr>
          <w:tab/>
        </w:r>
        <w:r>
          <w:rPr>
            <w:noProof/>
            <w:webHidden/>
          </w:rPr>
          <w:fldChar w:fldCharType="begin"/>
        </w:r>
        <w:r>
          <w:rPr>
            <w:noProof/>
            <w:webHidden/>
          </w:rPr>
          <w:instrText xml:space="preserve"> PAGEREF _Toc231368782 \h </w:instrText>
        </w:r>
        <w:r>
          <w:rPr>
            <w:noProof/>
            <w:webHidden/>
          </w:rPr>
        </w:r>
        <w:r>
          <w:rPr>
            <w:noProof/>
            <w:webHidden/>
          </w:rPr>
          <w:fldChar w:fldCharType="separate"/>
        </w:r>
        <w:r>
          <w:rPr>
            <w:noProof/>
            <w:webHidden/>
          </w:rPr>
          <w:t>17</w:t>
        </w:r>
        <w:r>
          <w:rPr>
            <w:noProof/>
            <w:webHidden/>
          </w:rPr>
          <w:fldChar w:fldCharType="end"/>
        </w:r>
      </w:hyperlink>
    </w:p>
    <w:p w14:paraId="5D0FBDCA" w14:textId="232612CF"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3" w:history="1">
        <w:r w:rsidRPr="00A22B5E">
          <w:rPr>
            <w:rStyle w:val="Hipervnculo"/>
            <w:rFonts w:eastAsia="Verdana Pro" w:cs="Verdana Pro"/>
            <w:noProof/>
          </w:rPr>
          <w:t>Gráfica 8. ICOCIV. Variación y contribución mensual de las cinco agrupaciones de subclases CPC V 2.0 al total.</w:t>
        </w:r>
        <w:r>
          <w:rPr>
            <w:noProof/>
            <w:webHidden/>
          </w:rPr>
          <w:tab/>
        </w:r>
        <w:r>
          <w:rPr>
            <w:noProof/>
            <w:webHidden/>
          </w:rPr>
          <w:fldChar w:fldCharType="begin"/>
        </w:r>
        <w:r>
          <w:rPr>
            <w:noProof/>
            <w:webHidden/>
          </w:rPr>
          <w:instrText xml:space="preserve"> PAGEREF _Toc231368783 \h </w:instrText>
        </w:r>
        <w:r>
          <w:rPr>
            <w:noProof/>
            <w:webHidden/>
          </w:rPr>
        </w:r>
        <w:r>
          <w:rPr>
            <w:noProof/>
            <w:webHidden/>
          </w:rPr>
          <w:fldChar w:fldCharType="separate"/>
        </w:r>
        <w:r>
          <w:rPr>
            <w:noProof/>
            <w:webHidden/>
          </w:rPr>
          <w:t>18</w:t>
        </w:r>
        <w:r>
          <w:rPr>
            <w:noProof/>
            <w:webHidden/>
          </w:rPr>
          <w:fldChar w:fldCharType="end"/>
        </w:r>
      </w:hyperlink>
    </w:p>
    <w:p w14:paraId="3FF0E093" w14:textId="19D45508"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4" w:history="1">
        <w:r w:rsidRPr="00A22B5E">
          <w:rPr>
            <w:rStyle w:val="Hipervnculo"/>
            <w:rFonts w:eastAsia="Verdana Pro" w:cs="Verdana Pro"/>
            <w:noProof/>
          </w:rPr>
          <w:t>Gráfica 9. ICOCIV Variación y contribución del año corrido según 17 subclases CPC V 2.0 A.C. Total nacional Marzo 2026</w:t>
        </w:r>
        <w:r>
          <w:rPr>
            <w:noProof/>
            <w:webHidden/>
          </w:rPr>
          <w:tab/>
        </w:r>
        <w:r>
          <w:rPr>
            <w:noProof/>
            <w:webHidden/>
          </w:rPr>
          <w:fldChar w:fldCharType="begin"/>
        </w:r>
        <w:r>
          <w:rPr>
            <w:noProof/>
            <w:webHidden/>
          </w:rPr>
          <w:instrText xml:space="preserve"> PAGEREF _Toc231368784 \h </w:instrText>
        </w:r>
        <w:r>
          <w:rPr>
            <w:noProof/>
            <w:webHidden/>
          </w:rPr>
        </w:r>
        <w:r>
          <w:rPr>
            <w:noProof/>
            <w:webHidden/>
          </w:rPr>
          <w:fldChar w:fldCharType="separate"/>
        </w:r>
        <w:r>
          <w:rPr>
            <w:noProof/>
            <w:webHidden/>
          </w:rPr>
          <w:t>19</w:t>
        </w:r>
        <w:r>
          <w:rPr>
            <w:noProof/>
            <w:webHidden/>
          </w:rPr>
          <w:fldChar w:fldCharType="end"/>
        </w:r>
      </w:hyperlink>
    </w:p>
    <w:p w14:paraId="16E43A5A" w14:textId="75452673"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5" w:history="1">
        <w:r w:rsidRPr="00A22B5E">
          <w:rPr>
            <w:rStyle w:val="Hipervnculo"/>
            <w:noProof/>
          </w:rPr>
          <w:t>Gráfica 10. Índice y variación anual de la producción de obras civiles (precios constantes)   Total nacional - serie a precios constantes 2021 (I trimestre) – 2026 (I trimestre Pr)</w:t>
        </w:r>
        <w:r>
          <w:rPr>
            <w:noProof/>
            <w:webHidden/>
          </w:rPr>
          <w:tab/>
        </w:r>
        <w:r>
          <w:rPr>
            <w:noProof/>
            <w:webHidden/>
          </w:rPr>
          <w:fldChar w:fldCharType="begin"/>
        </w:r>
        <w:r>
          <w:rPr>
            <w:noProof/>
            <w:webHidden/>
          </w:rPr>
          <w:instrText xml:space="preserve"> PAGEREF _Toc231368785 \h </w:instrText>
        </w:r>
        <w:r>
          <w:rPr>
            <w:noProof/>
            <w:webHidden/>
          </w:rPr>
        </w:r>
        <w:r>
          <w:rPr>
            <w:noProof/>
            <w:webHidden/>
          </w:rPr>
          <w:fldChar w:fldCharType="separate"/>
        </w:r>
        <w:r>
          <w:rPr>
            <w:noProof/>
            <w:webHidden/>
          </w:rPr>
          <w:t>20</w:t>
        </w:r>
        <w:r>
          <w:rPr>
            <w:noProof/>
            <w:webHidden/>
          </w:rPr>
          <w:fldChar w:fldCharType="end"/>
        </w:r>
      </w:hyperlink>
    </w:p>
    <w:p w14:paraId="4C9F4518" w14:textId="6D2BE0B7"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6" w:history="1">
        <w:r w:rsidRPr="00A22B5E">
          <w:rPr>
            <w:rStyle w:val="Hipervnculo"/>
            <w:noProof/>
          </w:rPr>
          <w:t>Gráfica 11. Variación y contribución anual de la producción de obras civiles a precios constantes según tipo de construcción</w:t>
        </w:r>
        <w:r>
          <w:rPr>
            <w:noProof/>
            <w:webHidden/>
          </w:rPr>
          <w:tab/>
        </w:r>
        <w:r>
          <w:rPr>
            <w:noProof/>
            <w:webHidden/>
          </w:rPr>
          <w:fldChar w:fldCharType="begin"/>
        </w:r>
        <w:r>
          <w:rPr>
            <w:noProof/>
            <w:webHidden/>
          </w:rPr>
          <w:instrText xml:space="preserve"> PAGEREF _Toc231368786 \h </w:instrText>
        </w:r>
        <w:r>
          <w:rPr>
            <w:noProof/>
            <w:webHidden/>
          </w:rPr>
        </w:r>
        <w:r>
          <w:rPr>
            <w:noProof/>
            <w:webHidden/>
          </w:rPr>
          <w:fldChar w:fldCharType="separate"/>
        </w:r>
        <w:r>
          <w:rPr>
            <w:noProof/>
            <w:webHidden/>
          </w:rPr>
          <w:t>21</w:t>
        </w:r>
        <w:r>
          <w:rPr>
            <w:noProof/>
            <w:webHidden/>
          </w:rPr>
          <w:fldChar w:fldCharType="end"/>
        </w:r>
      </w:hyperlink>
    </w:p>
    <w:p w14:paraId="152A7E9E" w14:textId="31868BCB"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7" w:history="1">
        <w:r w:rsidRPr="00A22B5E">
          <w:rPr>
            <w:rStyle w:val="Hipervnculo"/>
            <w:noProof/>
          </w:rPr>
          <w:t>Gráfica 12. Variación anual y mensual del Índice de Precios al Consumidor (IPC) Total, nacional 2024-2025 (diciembre)</w:t>
        </w:r>
        <w:r w:rsidRPr="00A22B5E">
          <w:rPr>
            <w:rStyle w:val="Hipervnculo"/>
            <w:rFonts w:cstheme="majorBidi"/>
            <w:noProof/>
            <w:szCs w:val="22"/>
          </w:rPr>
          <w:drawing>
            <wp:inline distT="0" distB="0" distL="0" distR="0" wp14:anchorId="36671115" wp14:editId="2B072FFE">
              <wp:extent cx="3668790" cy="1351811"/>
              <wp:effectExtent l="0" t="0" r="8255" b="1270"/>
              <wp:docPr id="31867002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19661" name="Imagen 1" descr="Tabla&#10;&#10;El contenido generado por IA puede ser incorrecto."/>
                      <pic:cNvPicPr/>
                    </pic:nvPicPr>
                    <pic:blipFill rotWithShape="1">
                      <a:blip r:embed="rId12"/>
                      <a:srcRect l="2376" t="27116" r="4447"/>
                      <a:stretch>
                        <a:fillRect/>
                      </a:stretch>
                    </pic:blipFill>
                    <pic:spPr bwMode="auto">
                      <a:xfrm>
                        <a:off x="0" y="0"/>
                        <a:ext cx="3746229" cy="1380344"/>
                      </a:xfrm>
                      <a:prstGeom prst="rect">
                        <a:avLst/>
                      </a:prstGeom>
                      <a:ln>
                        <a:noFill/>
                      </a:ln>
                      <a:extLst>
                        <a:ext uri="{53640926-AAD7-44D8-BBD7-CCE9431645EC}">
                          <a14:shadowObscured xmlns:a14="http://schemas.microsoft.com/office/drawing/2010/main"/>
                        </a:ext>
                      </a:extLst>
                    </pic:spPr>
                  </pic:pic>
                </a:graphicData>
              </a:graphic>
            </wp:inline>
          </w:drawing>
        </w:r>
        <w:r>
          <w:rPr>
            <w:noProof/>
            <w:webHidden/>
          </w:rPr>
          <w:tab/>
        </w:r>
        <w:r>
          <w:rPr>
            <w:noProof/>
            <w:webHidden/>
          </w:rPr>
          <w:fldChar w:fldCharType="begin"/>
        </w:r>
        <w:r>
          <w:rPr>
            <w:noProof/>
            <w:webHidden/>
          </w:rPr>
          <w:instrText xml:space="preserve"> PAGEREF _Toc231368787 \h </w:instrText>
        </w:r>
        <w:r>
          <w:rPr>
            <w:noProof/>
            <w:webHidden/>
          </w:rPr>
        </w:r>
        <w:r>
          <w:rPr>
            <w:noProof/>
            <w:webHidden/>
          </w:rPr>
          <w:fldChar w:fldCharType="separate"/>
        </w:r>
        <w:r>
          <w:rPr>
            <w:noProof/>
            <w:webHidden/>
          </w:rPr>
          <w:t>23</w:t>
        </w:r>
        <w:r>
          <w:rPr>
            <w:noProof/>
            <w:webHidden/>
          </w:rPr>
          <w:fldChar w:fldCharType="end"/>
        </w:r>
      </w:hyperlink>
    </w:p>
    <w:p w14:paraId="1A481F29" w14:textId="4F4503B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8" w:history="1">
        <w:r w:rsidRPr="00A22B5E">
          <w:rPr>
            <w:rStyle w:val="Hipervnculo"/>
            <w:noProof/>
          </w:rPr>
          <w:t>Gráfica 13. IPC Variaciones Total Nacional Abril 2025 - 2026</w:t>
        </w:r>
        <w:r>
          <w:rPr>
            <w:noProof/>
            <w:webHidden/>
          </w:rPr>
          <w:tab/>
        </w:r>
        <w:r>
          <w:rPr>
            <w:noProof/>
            <w:webHidden/>
          </w:rPr>
          <w:fldChar w:fldCharType="begin"/>
        </w:r>
        <w:r>
          <w:rPr>
            <w:noProof/>
            <w:webHidden/>
          </w:rPr>
          <w:instrText xml:space="preserve"> PAGEREF _Toc231368788 \h </w:instrText>
        </w:r>
        <w:r>
          <w:rPr>
            <w:noProof/>
            <w:webHidden/>
          </w:rPr>
        </w:r>
        <w:r>
          <w:rPr>
            <w:noProof/>
            <w:webHidden/>
          </w:rPr>
          <w:fldChar w:fldCharType="separate"/>
        </w:r>
        <w:r>
          <w:rPr>
            <w:noProof/>
            <w:webHidden/>
          </w:rPr>
          <w:t>23</w:t>
        </w:r>
        <w:r>
          <w:rPr>
            <w:noProof/>
            <w:webHidden/>
          </w:rPr>
          <w:fldChar w:fldCharType="end"/>
        </w:r>
      </w:hyperlink>
    </w:p>
    <w:p w14:paraId="5BE01E5E" w14:textId="74CF1AC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89" w:history="1">
        <w:r w:rsidRPr="00A22B5E">
          <w:rPr>
            <w:rStyle w:val="Hipervnculo"/>
            <w:noProof/>
          </w:rPr>
          <w:t>Gráfica 14. Variación SMMLV 2026</w:t>
        </w:r>
        <w:r>
          <w:rPr>
            <w:noProof/>
            <w:webHidden/>
          </w:rPr>
          <w:tab/>
        </w:r>
        <w:r>
          <w:rPr>
            <w:noProof/>
            <w:webHidden/>
          </w:rPr>
          <w:fldChar w:fldCharType="begin"/>
        </w:r>
        <w:r>
          <w:rPr>
            <w:noProof/>
            <w:webHidden/>
          </w:rPr>
          <w:instrText xml:space="preserve"> PAGEREF _Toc231368789 \h </w:instrText>
        </w:r>
        <w:r>
          <w:rPr>
            <w:noProof/>
            <w:webHidden/>
          </w:rPr>
        </w:r>
        <w:r>
          <w:rPr>
            <w:noProof/>
            <w:webHidden/>
          </w:rPr>
          <w:fldChar w:fldCharType="separate"/>
        </w:r>
        <w:r>
          <w:rPr>
            <w:noProof/>
            <w:webHidden/>
          </w:rPr>
          <w:t>24</w:t>
        </w:r>
        <w:r>
          <w:rPr>
            <w:noProof/>
            <w:webHidden/>
          </w:rPr>
          <w:fldChar w:fldCharType="end"/>
        </w:r>
      </w:hyperlink>
    </w:p>
    <w:p w14:paraId="3FF9D803" w14:textId="45B33C9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0" w:history="1">
        <w:r w:rsidRPr="00A22B5E">
          <w:rPr>
            <w:rStyle w:val="Hipervnculo"/>
            <w:noProof/>
          </w:rPr>
          <w:t>Gráfica 15. Variación TRM</w:t>
        </w:r>
        <w:r>
          <w:rPr>
            <w:noProof/>
            <w:webHidden/>
          </w:rPr>
          <w:tab/>
        </w:r>
        <w:r>
          <w:rPr>
            <w:noProof/>
            <w:webHidden/>
          </w:rPr>
          <w:fldChar w:fldCharType="begin"/>
        </w:r>
        <w:r>
          <w:rPr>
            <w:noProof/>
            <w:webHidden/>
          </w:rPr>
          <w:instrText xml:space="preserve"> PAGEREF _Toc231368790 \h </w:instrText>
        </w:r>
        <w:r>
          <w:rPr>
            <w:noProof/>
            <w:webHidden/>
          </w:rPr>
        </w:r>
        <w:r>
          <w:rPr>
            <w:noProof/>
            <w:webHidden/>
          </w:rPr>
          <w:fldChar w:fldCharType="separate"/>
        </w:r>
        <w:r>
          <w:rPr>
            <w:noProof/>
            <w:webHidden/>
          </w:rPr>
          <w:t>26</w:t>
        </w:r>
        <w:r>
          <w:rPr>
            <w:noProof/>
            <w:webHidden/>
          </w:rPr>
          <w:fldChar w:fldCharType="end"/>
        </w:r>
      </w:hyperlink>
    </w:p>
    <w:p w14:paraId="6EE0B916" w14:textId="1C04D5D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1" w:history="1">
        <w:r w:rsidRPr="00A22B5E">
          <w:rPr>
            <w:rStyle w:val="Hipervnculo"/>
            <w:noProof/>
          </w:rPr>
          <w:t>Gráfica 16. Análisis Geovisor Directorio de Empresas - Construcción de proyectos de servicio público</w:t>
        </w:r>
        <w:r>
          <w:rPr>
            <w:noProof/>
            <w:webHidden/>
          </w:rPr>
          <w:tab/>
        </w:r>
        <w:r>
          <w:rPr>
            <w:noProof/>
            <w:webHidden/>
          </w:rPr>
          <w:fldChar w:fldCharType="begin"/>
        </w:r>
        <w:r>
          <w:rPr>
            <w:noProof/>
            <w:webHidden/>
          </w:rPr>
          <w:instrText xml:space="preserve"> PAGEREF _Toc231368791 \h </w:instrText>
        </w:r>
        <w:r>
          <w:rPr>
            <w:noProof/>
            <w:webHidden/>
          </w:rPr>
        </w:r>
        <w:r>
          <w:rPr>
            <w:noProof/>
            <w:webHidden/>
          </w:rPr>
          <w:fldChar w:fldCharType="separate"/>
        </w:r>
        <w:r>
          <w:rPr>
            <w:noProof/>
            <w:webHidden/>
          </w:rPr>
          <w:t>28</w:t>
        </w:r>
        <w:r>
          <w:rPr>
            <w:noProof/>
            <w:webHidden/>
          </w:rPr>
          <w:fldChar w:fldCharType="end"/>
        </w:r>
      </w:hyperlink>
    </w:p>
    <w:p w14:paraId="3E298491" w14:textId="4085BB2E"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2" w:history="1">
        <w:r w:rsidRPr="00A22B5E">
          <w:rPr>
            <w:rStyle w:val="Hipervnculo"/>
            <w:noProof/>
          </w:rPr>
          <w:t>Gráfica 17. Análisis Geovisor Directorio de Empresas - Construcción de otras obras de ingeniería civil</w:t>
        </w:r>
        <w:r>
          <w:rPr>
            <w:noProof/>
            <w:webHidden/>
          </w:rPr>
          <w:tab/>
        </w:r>
        <w:r>
          <w:rPr>
            <w:noProof/>
            <w:webHidden/>
          </w:rPr>
          <w:fldChar w:fldCharType="begin"/>
        </w:r>
        <w:r>
          <w:rPr>
            <w:noProof/>
            <w:webHidden/>
          </w:rPr>
          <w:instrText xml:space="preserve"> PAGEREF _Toc231368792 \h </w:instrText>
        </w:r>
        <w:r>
          <w:rPr>
            <w:noProof/>
            <w:webHidden/>
          </w:rPr>
        </w:r>
        <w:r>
          <w:rPr>
            <w:noProof/>
            <w:webHidden/>
          </w:rPr>
          <w:fldChar w:fldCharType="separate"/>
        </w:r>
        <w:r>
          <w:rPr>
            <w:noProof/>
            <w:webHidden/>
          </w:rPr>
          <w:t>29</w:t>
        </w:r>
        <w:r>
          <w:rPr>
            <w:noProof/>
            <w:webHidden/>
          </w:rPr>
          <w:fldChar w:fldCharType="end"/>
        </w:r>
      </w:hyperlink>
    </w:p>
    <w:p w14:paraId="59CF8704" w14:textId="492EF03F"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3" w:history="1">
        <w:r w:rsidRPr="00A22B5E">
          <w:rPr>
            <w:rStyle w:val="Hipervnculo"/>
            <w:noProof/>
          </w:rPr>
          <w:t>Gráfica 18. Uso de las plataformas en el sector de Agua Potable y Saneamiento Básico</w:t>
        </w:r>
        <w:r>
          <w:rPr>
            <w:noProof/>
            <w:webHidden/>
          </w:rPr>
          <w:tab/>
        </w:r>
        <w:r>
          <w:rPr>
            <w:noProof/>
            <w:webHidden/>
          </w:rPr>
          <w:fldChar w:fldCharType="begin"/>
        </w:r>
        <w:r>
          <w:rPr>
            <w:noProof/>
            <w:webHidden/>
          </w:rPr>
          <w:instrText xml:space="preserve"> PAGEREF _Toc231368793 \h </w:instrText>
        </w:r>
        <w:r>
          <w:rPr>
            <w:noProof/>
            <w:webHidden/>
          </w:rPr>
        </w:r>
        <w:r>
          <w:rPr>
            <w:noProof/>
            <w:webHidden/>
          </w:rPr>
          <w:fldChar w:fldCharType="separate"/>
        </w:r>
        <w:r>
          <w:rPr>
            <w:noProof/>
            <w:webHidden/>
          </w:rPr>
          <w:t>35</w:t>
        </w:r>
        <w:r>
          <w:rPr>
            <w:noProof/>
            <w:webHidden/>
          </w:rPr>
          <w:fldChar w:fldCharType="end"/>
        </w:r>
      </w:hyperlink>
    </w:p>
    <w:p w14:paraId="097B8437" w14:textId="6D8A4BC6"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4" w:history="1">
        <w:r w:rsidRPr="00A22B5E">
          <w:rPr>
            <w:rStyle w:val="Hipervnculo"/>
            <w:noProof/>
          </w:rPr>
          <w:t>Gráfica 19. Modalidades de selección usadas en el sector de Infraestructura de Agua Potable y Saneamiento Básico</w:t>
        </w:r>
        <w:r>
          <w:rPr>
            <w:noProof/>
            <w:webHidden/>
          </w:rPr>
          <w:tab/>
        </w:r>
        <w:r>
          <w:rPr>
            <w:noProof/>
            <w:webHidden/>
          </w:rPr>
          <w:fldChar w:fldCharType="begin"/>
        </w:r>
        <w:r>
          <w:rPr>
            <w:noProof/>
            <w:webHidden/>
          </w:rPr>
          <w:instrText xml:space="preserve"> PAGEREF _Toc231368794 \h </w:instrText>
        </w:r>
        <w:r>
          <w:rPr>
            <w:noProof/>
            <w:webHidden/>
          </w:rPr>
        </w:r>
        <w:r>
          <w:rPr>
            <w:noProof/>
            <w:webHidden/>
          </w:rPr>
          <w:fldChar w:fldCharType="separate"/>
        </w:r>
        <w:r>
          <w:rPr>
            <w:noProof/>
            <w:webHidden/>
          </w:rPr>
          <w:t>36</w:t>
        </w:r>
        <w:r>
          <w:rPr>
            <w:noProof/>
            <w:webHidden/>
          </w:rPr>
          <w:fldChar w:fldCharType="end"/>
        </w:r>
      </w:hyperlink>
    </w:p>
    <w:p w14:paraId="628BEAB3" w14:textId="5F8143E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5" w:history="1">
        <w:r w:rsidRPr="00A22B5E">
          <w:rPr>
            <w:rStyle w:val="Hipervnculo"/>
            <w:noProof/>
          </w:rPr>
          <w:t>Gráfica 20. Modalidad Licitación Pública</w:t>
        </w:r>
        <w:r>
          <w:rPr>
            <w:noProof/>
            <w:webHidden/>
          </w:rPr>
          <w:tab/>
        </w:r>
        <w:r>
          <w:rPr>
            <w:noProof/>
            <w:webHidden/>
          </w:rPr>
          <w:fldChar w:fldCharType="begin"/>
        </w:r>
        <w:r>
          <w:rPr>
            <w:noProof/>
            <w:webHidden/>
          </w:rPr>
          <w:instrText xml:space="preserve"> PAGEREF _Toc231368795 \h </w:instrText>
        </w:r>
        <w:r>
          <w:rPr>
            <w:noProof/>
            <w:webHidden/>
          </w:rPr>
        </w:r>
        <w:r>
          <w:rPr>
            <w:noProof/>
            <w:webHidden/>
          </w:rPr>
          <w:fldChar w:fldCharType="separate"/>
        </w:r>
        <w:r>
          <w:rPr>
            <w:noProof/>
            <w:webHidden/>
          </w:rPr>
          <w:t>36</w:t>
        </w:r>
        <w:r>
          <w:rPr>
            <w:noProof/>
            <w:webHidden/>
          </w:rPr>
          <w:fldChar w:fldCharType="end"/>
        </w:r>
      </w:hyperlink>
    </w:p>
    <w:p w14:paraId="2CB7C220" w14:textId="10CD352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6" w:history="1">
        <w:r w:rsidRPr="00A22B5E">
          <w:rPr>
            <w:rStyle w:val="Hipervnculo"/>
            <w:noProof/>
          </w:rPr>
          <w:t>Gráfica 21. Modalidad Selección Abreviada de Menor Cuantía</w:t>
        </w:r>
        <w:r>
          <w:rPr>
            <w:noProof/>
            <w:webHidden/>
          </w:rPr>
          <w:tab/>
        </w:r>
        <w:r>
          <w:rPr>
            <w:noProof/>
            <w:webHidden/>
          </w:rPr>
          <w:fldChar w:fldCharType="begin"/>
        </w:r>
        <w:r>
          <w:rPr>
            <w:noProof/>
            <w:webHidden/>
          </w:rPr>
          <w:instrText xml:space="preserve"> PAGEREF _Toc231368796 \h </w:instrText>
        </w:r>
        <w:r>
          <w:rPr>
            <w:noProof/>
            <w:webHidden/>
          </w:rPr>
        </w:r>
        <w:r>
          <w:rPr>
            <w:noProof/>
            <w:webHidden/>
          </w:rPr>
          <w:fldChar w:fldCharType="separate"/>
        </w:r>
        <w:r>
          <w:rPr>
            <w:noProof/>
            <w:webHidden/>
          </w:rPr>
          <w:t>37</w:t>
        </w:r>
        <w:r>
          <w:rPr>
            <w:noProof/>
            <w:webHidden/>
          </w:rPr>
          <w:fldChar w:fldCharType="end"/>
        </w:r>
      </w:hyperlink>
    </w:p>
    <w:p w14:paraId="209F0B16" w14:textId="5BC0F70D"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7" w:history="1">
        <w:r w:rsidRPr="00A22B5E">
          <w:rPr>
            <w:rStyle w:val="Hipervnculo"/>
            <w:noProof/>
          </w:rPr>
          <w:t>Gráfica 22. Ranking del promedio oferentes al cierre por modalidad y tipo de contrato en el sector de Infraestructura de Agua Potable y Saneamiento Básico</w:t>
        </w:r>
        <w:r>
          <w:rPr>
            <w:noProof/>
            <w:webHidden/>
          </w:rPr>
          <w:tab/>
        </w:r>
        <w:r>
          <w:rPr>
            <w:noProof/>
            <w:webHidden/>
          </w:rPr>
          <w:fldChar w:fldCharType="begin"/>
        </w:r>
        <w:r>
          <w:rPr>
            <w:noProof/>
            <w:webHidden/>
          </w:rPr>
          <w:instrText xml:space="preserve"> PAGEREF _Toc231368797 \h </w:instrText>
        </w:r>
        <w:r>
          <w:rPr>
            <w:noProof/>
            <w:webHidden/>
          </w:rPr>
        </w:r>
        <w:r>
          <w:rPr>
            <w:noProof/>
            <w:webHidden/>
          </w:rPr>
          <w:fldChar w:fldCharType="separate"/>
        </w:r>
        <w:r>
          <w:rPr>
            <w:noProof/>
            <w:webHidden/>
          </w:rPr>
          <w:t>37</w:t>
        </w:r>
        <w:r>
          <w:rPr>
            <w:noProof/>
            <w:webHidden/>
          </w:rPr>
          <w:fldChar w:fldCharType="end"/>
        </w:r>
      </w:hyperlink>
    </w:p>
    <w:p w14:paraId="10790D15" w14:textId="6D569D9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8" w:history="1">
        <w:r w:rsidRPr="00A22B5E">
          <w:rPr>
            <w:rStyle w:val="Hipervnculo"/>
            <w:noProof/>
          </w:rPr>
          <w:t>Gráfica 23. Promedio del plazo de ejecución por modalidad y tipo de contrato</w:t>
        </w:r>
        <w:r>
          <w:rPr>
            <w:noProof/>
            <w:webHidden/>
          </w:rPr>
          <w:tab/>
        </w:r>
        <w:r>
          <w:rPr>
            <w:noProof/>
            <w:webHidden/>
          </w:rPr>
          <w:fldChar w:fldCharType="begin"/>
        </w:r>
        <w:r>
          <w:rPr>
            <w:noProof/>
            <w:webHidden/>
          </w:rPr>
          <w:instrText xml:space="preserve"> PAGEREF _Toc231368798 \h </w:instrText>
        </w:r>
        <w:r>
          <w:rPr>
            <w:noProof/>
            <w:webHidden/>
          </w:rPr>
        </w:r>
        <w:r>
          <w:rPr>
            <w:noProof/>
            <w:webHidden/>
          </w:rPr>
          <w:fldChar w:fldCharType="separate"/>
        </w:r>
        <w:r>
          <w:rPr>
            <w:noProof/>
            <w:webHidden/>
          </w:rPr>
          <w:t>38</w:t>
        </w:r>
        <w:r>
          <w:rPr>
            <w:noProof/>
            <w:webHidden/>
          </w:rPr>
          <w:fldChar w:fldCharType="end"/>
        </w:r>
      </w:hyperlink>
    </w:p>
    <w:p w14:paraId="0EF79A0D" w14:textId="22995FE8"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799" w:history="1">
        <w:r w:rsidRPr="00A22B5E">
          <w:rPr>
            <w:rStyle w:val="Hipervnculo"/>
            <w:noProof/>
          </w:rPr>
          <w:t>Gráfica 24. Top 20 de Entidades por valor contratado en el sector de Infraestructura de Agua Potable y Saneamiento Básico</w:t>
        </w:r>
        <w:r>
          <w:rPr>
            <w:noProof/>
            <w:webHidden/>
          </w:rPr>
          <w:tab/>
        </w:r>
        <w:r>
          <w:rPr>
            <w:noProof/>
            <w:webHidden/>
          </w:rPr>
          <w:fldChar w:fldCharType="begin"/>
        </w:r>
        <w:r>
          <w:rPr>
            <w:noProof/>
            <w:webHidden/>
          </w:rPr>
          <w:instrText xml:space="preserve"> PAGEREF _Toc231368799 \h </w:instrText>
        </w:r>
        <w:r>
          <w:rPr>
            <w:noProof/>
            <w:webHidden/>
          </w:rPr>
        </w:r>
        <w:r>
          <w:rPr>
            <w:noProof/>
            <w:webHidden/>
          </w:rPr>
          <w:fldChar w:fldCharType="separate"/>
        </w:r>
        <w:r>
          <w:rPr>
            <w:noProof/>
            <w:webHidden/>
          </w:rPr>
          <w:t>39</w:t>
        </w:r>
        <w:r>
          <w:rPr>
            <w:noProof/>
            <w:webHidden/>
          </w:rPr>
          <w:fldChar w:fldCharType="end"/>
        </w:r>
      </w:hyperlink>
    </w:p>
    <w:p w14:paraId="4BDD99C6" w14:textId="4DE2D32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0" w:history="1">
        <w:r w:rsidRPr="00A22B5E">
          <w:rPr>
            <w:rStyle w:val="Hipervnculo"/>
            <w:noProof/>
          </w:rPr>
          <w:t>Gráfica 25. ARN en Cifras</w:t>
        </w:r>
        <w:r>
          <w:rPr>
            <w:noProof/>
            <w:webHidden/>
          </w:rPr>
          <w:tab/>
        </w:r>
        <w:r>
          <w:rPr>
            <w:noProof/>
            <w:webHidden/>
          </w:rPr>
          <w:fldChar w:fldCharType="begin"/>
        </w:r>
        <w:r>
          <w:rPr>
            <w:noProof/>
            <w:webHidden/>
          </w:rPr>
          <w:instrText xml:space="preserve"> PAGEREF _Toc231368800 \h </w:instrText>
        </w:r>
        <w:r>
          <w:rPr>
            <w:noProof/>
            <w:webHidden/>
          </w:rPr>
        </w:r>
        <w:r>
          <w:rPr>
            <w:noProof/>
            <w:webHidden/>
          </w:rPr>
          <w:fldChar w:fldCharType="separate"/>
        </w:r>
        <w:r>
          <w:rPr>
            <w:noProof/>
            <w:webHidden/>
          </w:rPr>
          <w:t>44</w:t>
        </w:r>
        <w:r>
          <w:rPr>
            <w:noProof/>
            <w:webHidden/>
          </w:rPr>
          <w:fldChar w:fldCharType="end"/>
        </w:r>
      </w:hyperlink>
    </w:p>
    <w:p w14:paraId="0F610B7D" w14:textId="60DDC5E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1" w:history="1">
        <w:r w:rsidRPr="00A22B5E">
          <w:rPr>
            <w:rStyle w:val="Hipervnculo"/>
            <w:noProof/>
          </w:rPr>
          <w:t>26</w:t>
        </w:r>
        <w:r>
          <w:rPr>
            <w:noProof/>
            <w:webHidden/>
          </w:rPr>
          <w:tab/>
        </w:r>
        <w:r>
          <w:rPr>
            <w:noProof/>
            <w:webHidden/>
          </w:rPr>
          <w:fldChar w:fldCharType="begin"/>
        </w:r>
        <w:r>
          <w:rPr>
            <w:noProof/>
            <w:webHidden/>
          </w:rPr>
          <w:instrText xml:space="preserve"> PAGEREF _Toc231368801 \h </w:instrText>
        </w:r>
        <w:r>
          <w:rPr>
            <w:noProof/>
            <w:webHidden/>
          </w:rPr>
        </w:r>
        <w:r>
          <w:rPr>
            <w:noProof/>
            <w:webHidden/>
          </w:rPr>
          <w:fldChar w:fldCharType="separate"/>
        </w:r>
        <w:r>
          <w:rPr>
            <w:noProof/>
            <w:webHidden/>
          </w:rPr>
          <w:t>59</w:t>
        </w:r>
        <w:r>
          <w:rPr>
            <w:noProof/>
            <w:webHidden/>
          </w:rPr>
          <w:fldChar w:fldCharType="end"/>
        </w:r>
      </w:hyperlink>
    </w:p>
    <w:p w14:paraId="190263A0" w14:textId="69C2E5A8"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2" w:history="1">
        <w:r w:rsidRPr="00A22B5E">
          <w:rPr>
            <w:rStyle w:val="Hipervnculo"/>
            <w:noProof/>
          </w:rPr>
          <w:t>Gráfica 27. Clasificación empresarial</w:t>
        </w:r>
        <w:r>
          <w:rPr>
            <w:noProof/>
            <w:webHidden/>
          </w:rPr>
          <w:tab/>
        </w:r>
        <w:r>
          <w:rPr>
            <w:noProof/>
            <w:webHidden/>
          </w:rPr>
          <w:fldChar w:fldCharType="begin"/>
        </w:r>
        <w:r>
          <w:rPr>
            <w:noProof/>
            <w:webHidden/>
          </w:rPr>
          <w:instrText xml:space="preserve"> PAGEREF _Toc231368802 \h </w:instrText>
        </w:r>
        <w:r>
          <w:rPr>
            <w:noProof/>
            <w:webHidden/>
          </w:rPr>
        </w:r>
        <w:r>
          <w:rPr>
            <w:noProof/>
            <w:webHidden/>
          </w:rPr>
          <w:fldChar w:fldCharType="separate"/>
        </w:r>
        <w:r>
          <w:rPr>
            <w:noProof/>
            <w:webHidden/>
          </w:rPr>
          <w:t>76</w:t>
        </w:r>
        <w:r>
          <w:rPr>
            <w:noProof/>
            <w:webHidden/>
          </w:rPr>
          <w:fldChar w:fldCharType="end"/>
        </w:r>
      </w:hyperlink>
    </w:p>
    <w:p w14:paraId="0BB4A0DC" w14:textId="6635697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3" w:history="1">
        <w:r w:rsidRPr="00A22B5E">
          <w:rPr>
            <w:rStyle w:val="Hipervnculo"/>
            <w:noProof/>
          </w:rPr>
          <w:t>Gráfica 28. Tamaño empresarial - Sector Servicios</w:t>
        </w:r>
        <w:r>
          <w:rPr>
            <w:noProof/>
            <w:webHidden/>
          </w:rPr>
          <w:tab/>
        </w:r>
        <w:r>
          <w:rPr>
            <w:noProof/>
            <w:webHidden/>
          </w:rPr>
          <w:fldChar w:fldCharType="begin"/>
        </w:r>
        <w:r>
          <w:rPr>
            <w:noProof/>
            <w:webHidden/>
          </w:rPr>
          <w:instrText xml:space="preserve"> PAGEREF _Toc231368803 \h </w:instrText>
        </w:r>
        <w:r>
          <w:rPr>
            <w:noProof/>
            <w:webHidden/>
          </w:rPr>
        </w:r>
        <w:r>
          <w:rPr>
            <w:noProof/>
            <w:webHidden/>
          </w:rPr>
          <w:fldChar w:fldCharType="separate"/>
        </w:r>
        <w:r>
          <w:rPr>
            <w:noProof/>
            <w:webHidden/>
          </w:rPr>
          <w:t>76</w:t>
        </w:r>
        <w:r>
          <w:rPr>
            <w:noProof/>
            <w:webHidden/>
          </w:rPr>
          <w:fldChar w:fldCharType="end"/>
        </w:r>
      </w:hyperlink>
    </w:p>
    <w:p w14:paraId="2B8BC016" w14:textId="7E21014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4" w:history="1">
        <w:r w:rsidRPr="00A22B5E">
          <w:rPr>
            <w:rStyle w:val="Hipervnculo"/>
            <w:noProof/>
          </w:rPr>
          <w:t>Gráfica 29. Tipología de Contratista</w:t>
        </w:r>
        <w:r>
          <w:rPr>
            <w:noProof/>
            <w:webHidden/>
          </w:rPr>
          <w:tab/>
        </w:r>
        <w:r>
          <w:rPr>
            <w:noProof/>
            <w:webHidden/>
          </w:rPr>
          <w:fldChar w:fldCharType="begin"/>
        </w:r>
        <w:r>
          <w:rPr>
            <w:noProof/>
            <w:webHidden/>
          </w:rPr>
          <w:instrText xml:space="preserve"> PAGEREF _Toc231368804 \h </w:instrText>
        </w:r>
        <w:r>
          <w:rPr>
            <w:noProof/>
            <w:webHidden/>
          </w:rPr>
        </w:r>
        <w:r>
          <w:rPr>
            <w:noProof/>
            <w:webHidden/>
          </w:rPr>
          <w:fldChar w:fldCharType="separate"/>
        </w:r>
        <w:r>
          <w:rPr>
            <w:noProof/>
            <w:webHidden/>
          </w:rPr>
          <w:t>78</w:t>
        </w:r>
        <w:r>
          <w:rPr>
            <w:noProof/>
            <w:webHidden/>
          </w:rPr>
          <w:fldChar w:fldCharType="end"/>
        </w:r>
      </w:hyperlink>
    </w:p>
    <w:p w14:paraId="2B54CD42" w14:textId="7A37323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5" w:history="1">
        <w:r w:rsidRPr="00A22B5E">
          <w:rPr>
            <w:rStyle w:val="Hipervnculo"/>
            <w:noProof/>
          </w:rPr>
          <w:t>Gráfica 30. Índice de liquidez</w:t>
        </w:r>
        <w:r>
          <w:rPr>
            <w:noProof/>
            <w:webHidden/>
          </w:rPr>
          <w:tab/>
        </w:r>
        <w:r>
          <w:rPr>
            <w:noProof/>
            <w:webHidden/>
          </w:rPr>
          <w:fldChar w:fldCharType="begin"/>
        </w:r>
        <w:r>
          <w:rPr>
            <w:noProof/>
            <w:webHidden/>
          </w:rPr>
          <w:instrText xml:space="preserve"> PAGEREF _Toc231368805 \h </w:instrText>
        </w:r>
        <w:r>
          <w:rPr>
            <w:noProof/>
            <w:webHidden/>
          </w:rPr>
        </w:r>
        <w:r>
          <w:rPr>
            <w:noProof/>
            <w:webHidden/>
          </w:rPr>
          <w:fldChar w:fldCharType="separate"/>
        </w:r>
        <w:r>
          <w:rPr>
            <w:noProof/>
            <w:webHidden/>
          </w:rPr>
          <w:t>82</w:t>
        </w:r>
        <w:r>
          <w:rPr>
            <w:noProof/>
            <w:webHidden/>
          </w:rPr>
          <w:fldChar w:fldCharType="end"/>
        </w:r>
      </w:hyperlink>
    </w:p>
    <w:p w14:paraId="6F531878" w14:textId="377A4B2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6" w:history="1">
        <w:r w:rsidRPr="00A22B5E">
          <w:rPr>
            <w:rStyle w:val="Hipervnculo"/>
            <w:noProof/>
          </w:rPr>
          <w:t>Gráfica 31. Razón de cobertura de interés</w:t>
        </w:r>
        <w:r>
          <w:rPr>
            <w:noProof/>
            <w:webHidden/>
          </w:rPr>
          <w:tab/>
        </w:r>
        <w:r>
          <w:rPr>
            <w:noProof/>
            <w:webHidden/>
          </w:rPr>
          <w:fldChar w:fldCharType="begin"/>
        </w:r>
        <w:r>
          <w:rPr>
            <w:noProof/>
            <w:webHidden/>
          </w:rPr>
          <w:instrText xml:space="preserve"> PAGEREF _Toc231368806 \h </w:instrText>
        </w:r>
        <w:r>
          <w:rPr>
            <w:noProof/>
            <w:webHidden/>
          </w:rPr>
        </w:r>
        <w:r>
          <w:rPr>
            <w:noProof/>
            <w:webHidden/>
          </w:rPr>
          <w:fldChar w:fldCharType="separate"/>
        </w:r>
        <w:r>
          <w:rPr>
            <w:noProof/>
            <w:webHidden/>
          </w:rPr>
          <w:t>83</w:t>
        </w:r>
        <w:r>
          <w:rPr>
            <w:noProof/>
            <w:webHidden/>
          </w:rPr>
          <w:fldChar w:fldCharType="end"/>
        </w:r>
      </w:hyperlink>
    </w:p>
    <w:p w14:paraId="61DE95F9" w14:textId="64FAB83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7" w:history="1">
        <w:r w:rsidRPr="00A22B5E">
          <w:rPr>
            <w:rStyle w:val="Hipervnculo"/>
            <w:rFonts w:cs="Arial"/>
            <w:noProof/>
          </w:rPr>
          <w:t>Gráfica 32. Índice de Endeudamiento</w:t>
        </w:r>
        <w:r>
          <w:rPr>
            <w:noProof/>
            <w:webHidden/>
          </w:rPr>
          <w:tab/>
        </w:r>
        <w:r>
          <w:rPr>
            <w:noProof/>
            <w:webHidden/>
          </w:rPr>
          <w:fldChar w:fldCharType="begin"/>
        </w:r>
        <w:r>
          <w:rPr>
            <w:noProof/>
            <w:webHidden/>
          </w:rPr>
          <w:instrText xml:space="preserve"> PAGEREF _Toc231368807 \h </w:instrText>
        </w:r>
        <w:r>
          <w:rPr>
            <w:noProof/>
            <w:webHidden/>
          </w:rPr>
        </w:r>
        <w:r>
          <w:rPr>
            <w:noProof/>
            <w:webHidden/>
          </w:rPr>
          <w:fldChar w:fldCharType="separate"/>
        </w:r>
        <w:r>
          <w:rPr>
            <w:noProof/>
            <w:webHidden/>
          </w:rPr>
          <w:t>83</w:t>
        </w:r>
        <w:r>
          <w:rPr>
            <w:noProof/>
            <w:webHidden/>
          </w:rPr>
          <w:fldChar w:fldCharType="end"/>
        </w:r>
      </w:hyperlink>
    </w:p>
    <w:p w14:paraId="332C5E54" w14:textId="4F56B4A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8" w:history="1">
        <w:r w:rsidRPr="00A22B5E">
          <w:rPr>
            <w:rStyle w:val="Hipervnculo"/>
            <w:rFonts w:cs="Arial"/>
            <w:noProof/>
          </w:rPr>
          <w:t>Gráfica 33. Capital de trabajo</w:t>
        </w:r>
        <w:r>
          <w:rPr>
            <w:noProof/>
            <w:webHidden/>
          </w:rPr>
          <w:tab/>
        </w:r>
        <w:r>
          <w:rPr>
            <w:noProof/>
            <w:webHidden/>
          </w:rPr>
          <w:fldChar w:fldCharType="begin"/>
        </w:r>
        <w:r>
          <w:rPr>
            <w:noProof/>
            <w:webHidden/>
          </w:rPr>
          <w:instrText xml:space="preserve"> PAGEREF _Toc231368808 \h </w:instrText>
        </w:r>
        <w:r>
          <w:rPr>
            <w:noProof/>
            <w:webHidden/>
          </w:rPr>
        </w:r>
        <w:r>
          <w:rPr>
            <w:noProof/>
            <w:webHidden/>
          </w:rPr>
          <w:fldChar w:fldCharType="separate"/>
        </w:r>
        <w:r>
          <w:rPr>
            <w:noProof/>
            <w:webHidden/>
          </w:rPr>
          <w:t>84</w:t>
        </w:r>
        <w:r>
          <w:rPr>
            <w:noProof/>
            <w:webHidden/>
          </w:rPr>
          <w:fldChar w:fldCharType="end"/>
        </w:r>
      </w:hyperlink>
    </w:p>
    <w:p w14:paraId="482B936F" w14:textId="17C25041"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09" w:history="1">
        <w:r w:rsidRPr="00A22B5E">
          <w:rPr>
            <w:rStyle w:val="Hipervnculo"/>
            <w:rFonts w:cs="Arial"/>
            <w:noProof/>
          </w:rPr>
          <w:t>Gráfica 34. Patrimonio</w:t>
        </w:r>
        <w:r>
          <w:rPr>
            <w:noProof/>
            <w:webHidden/>
          </w:rPr>
          <w:tab/>
        </w:r>
        <w:r>
          <w:rPr>
            <w:noProof/>
            <w:webHidden/>
          </w:rPr>
          <w:fldChar w:fldCharType="begin"/>
        </w:r>
        <w:r>
          <w:rPr>
            <w:noProof/>
            <w:webHidden/>
          </w:rPr>
          <w:instrText xml:space="preserve"> PAGEREF _Toc231368809 \h </w:instrText>
        </w:r>
        <w:r>
          <w:rPr>
            <w:noProof/>
            <w:webHidden/>
          </w:rPr>
        </w:r>
        <w:r>
          <w:rPr>
            <w:noProof/>
            <w:webHidden/>
          </w:rPr>
          <w:fldChar w:fldCharType="separate"/>
        </w:r>
        <w:r>
          <w:rPr>
            <w:noProof/>
            <w:webHidden/>
          </w:rPr>
          <w:t>85</w:t>
        </w:r>
        <w:r>
          <w:rPr>
            <w:noProof/>
            <w:webHidden/>
          </w:rPr>
          <w:fldChar w:fldCharType="end"/>
        </w:r>
      </w:hyperlink>
    </w:p>
    <w:p w14:paraId="4AC3D7C6" w14:textId="14F151C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0" w:history="1">
        <w:r w:rsidRPr="00A22B5E">
          <w:rPr>
            <w:rStyle w:val="Hipervnculo"/>
            <w:rFonts w:cs="Arial"/>
            <w:noProof/>
          </w:rPr>
          <w:t>Gráfica 35. Rentabilidad sobre Patrimonio</w:t>
        </w:r>
        <w:r>
          <w:rPr>
            <w:noProof/>
            <w:webHidden/>
          </w:rPr>
          <w:tab/>
        </w:r>
        <w:r>
          <w:rPr>
            <w:noProof/>
            <w:webHidden/>
          </w:rPr>
          <w:fldChar w:fldCharType="begin"/>
        </w:r>
        <w:r>
          <w:rPr>
            <w:noProof/>
            <w:webHidden/>
          </w:rPr>
          <w:instrText xml:space="preserve"> PAGEREF _Toc231368810 \h </w:instrText>
        </w:r>
        <w:r>
          <w:rPr>
            <w:noProof/>
            <w:webHidden/>
          </w:rPr>
        </w:r>
        <w:r>
          <w:rPr>
            <w:noProof/>
            <w:webHidden/>
          </w:rPr>
          <w:fldChar w:fldCharType="separate"/>
        </w:r>
        <w:r>
          <w:rPr>
            <w:noProof/>
            <w:webHidden/>
          </w:rPr>
          <w:t>85</w:t>
        </w:r>
        <w:r>
          <w:rPr>
            <w:noProof/>
            <w:webHidden/>
          </w:rPr>
          <w:fldChar w:fldCharType="end"/>
        </w:r>
      </w:hyperlink>
    </w:p>
    <w:p w14:paraId="5639A796" w14:textId="48ECB0F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1" w:history="1">
        <w:r w:rsidRPr="00A22B5E">
          <w:rPr>
            <w:rStyle w:val="Hipervnculo"/>
            <w:rFonts w:cs="Arial"/>
            <w:noProof/>
          </w:rPr>
          <w:t>Gráfica 36. Rentabilidad sobre Activos</w:t>
        </w:r>
        <w:r>
          <w:rPr>
            <w:noProof/>
            <w:webHidden/>
          </w:rPr>
          <w:tab/>
        </w:r>
        <w:r>
          <w:rPr>
            <w:noProof/>
            <w:webHidden/>
          </w:rPr>
          <w:fldChar w:fldCharType="begin"/>
        </w:r>
        <w:r>
          <w:rPr>
            <w:noProof/>
            <w:webHidden/>
          </w:rPr>
          <w:instrText xml:space="preserve"> PAGEREF _Toc231368811 \h </w:instrText>
        </w:r>
        <w:r>
          <w:rPr>
            <w:noProof/>
            <w:webHidden/>
          </w:rPr>
        </w:r>
        <w:r>
          <w:rPr>
            <w:noProof/>
            <w:webHidden/>
          </w:rPr>
          <w:fldChar w:fldCharType="separate"/>
        </w:r>
        <w:r>
          <w:rPr>
            <w:noProof/>
            <w:webHidden/>
          </w:rPr>
          <w:t>86</w:t>
        </w:r>
        <w:r>
          <w:rPr>
            <w:noProof/>
            <w:webHidden/>
          </w:rPr>
          <w:fldChar w:fldCharType="end"/>
        </w:r>
      </w:hyperlink>
    </w:p>
    <w:p w14:paraId="7CDF0B77" w14:textId="42EE324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2" w:history="1">
        <w:r w:rsidRPr="00A22B5E">
          <w:rPr>
            <w:rStyle w:val="Hipervnculo"/>
            <w:rFonts w:eastAsia="Calibri"/>
            <w:b/>
            <w:noProof/>
            <w:lang w:val="es-ES" w:eastAsia="en-US"/>
          </w:rPr>
          <w:t>Gráfica 37. Factores de Calidad</w:t>
        </w:r>
        <w:r>
          <w:rPr>
            <w:noProof/>
            <w:webHidden/>
          </w:rPr>
          <w:tab/>
        </w:r>
        <w:r>
          <w:rPr>
            <w:noProof/>
            <w:webHidden/>
          </w:rPr>
          <w:fldChar w:fldCharType="begin"/>
        </w:r>
        <w:r>
          <w:rPr>
            <w:noProof/>
            <w:webHidden/>
          </w:rPr>
          <w:instrText xml:space="preserve"> PAGEREF _Toc231368812 \h </w:instrText>
        </w:r>
        <w:r>
          <w:rPr>
            <w:noProof/>
            <w:webHidden/>
          </w:rPr>
        </w:r>
        <w:r>
          <w:rPr>
            <w:noProof/>
            <w:webHidden/>
          </w:rPr>
          <w:fldChar w:fldCharType="separate"/>
        </w:r>
        <w:r>
          <w:rPr>
            <w:noProof/>
            <w:webHidden/>
          </w:rPr>
          <w:t>104</w:t>
        </w:r>
        <w:r>
          <w:rPr>
            <w:noProof/>
            <w:webHidden/>
          </w:rPr>
          <w:fldChar w:fldCharType="end"/>
        </w:r>
      </w:hyperlink>
    </w:p>
    <w:p w14:paraId="13C7DC9A" w14:textId="081B9239"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3" w:history="1">
        <w:r w:rsidRPr="00A22B5E">
          <w:rPr>
            <w:rStyle w:val="Hipervnculo"/>
            <w:noProof/>
          </w:rPr>
          <w:t>Gráfica 38. Cumplimiento criterios de evaluación</w:t>
        </w:r>
        <w:r>
          <w:rPr>
            <w:noProof/>
            <w:webHidden/>
          </w:rPr>
          <w:tab/>
        </w:r>
        <w:r>
          <w:rPr>
            <w:noProof/>
            <w:webHidden/>
          </w:rPr>
          <w:fldChar w:fldCharType="begin"/>
        </w:r>
        <w:r>
          <w:rPr>
            <w:noProof/>
            <w:webHidden/>
          </w:rPr>
          <w:instrText xml:space="preserve"> PAGEREF _Toc231368813 \h </w:instrText>
        </w:r>
        <w:r>
          <w:rPr>
            <w:noProof/>
            <w:webHidden/>
          </w:rPr>
        </w:r>
        <w:r>
          <w:rPr>
            <w:noProof/>
            <w:webHidden/>
          </w:rPr>
          <w:fldChar w:fldCharType="separate"/>
        </w:r>
        <w:r>
          <w:rPr>
            <w:noProof/>
            <w:webHidden/>
          </w:rPr>
          <w:t>106</w:t>
        </w:r>
        <w:r>
          <w:rPr>
            <w:noProof/>
            <w:webHidden/>
          </w:rPr>
          <w:fldChar w:fldCharType="end"/>
        </w:r>
      </w:hyperlink>
    </w:p>
    <w:p w14:paraId="7566C9E6" w14:textId="3F694501"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4" w:history="1">
        <w:r w:rsidRPr="00A22B5E">
          <w:rPr>
            <w:rStyle w:val="Hipervnculo"/>
            <w:noProof/>
          </w:rPr>
          <w:t>Gráfica 39. Creación de empresas según organización jurídica</w:t>
        </w:r>
        <w:r>
          <w:rPr>
            <w:noProof/>
            <w:webHidden/>
          </w:rPr>
          <w:tab/>
        </w:r>
        <w:r>
          <w:rPr>
            <w:noProof/>
            <w:webHidden/>
          </w:rPr>
          <w:fldChar w:fldCharType="begin"/>
        </w:r>
        <w:r>
          <w:rPr>
            <w:noProof/>
            <w:webHidden/>
          </w:rPr>
          <w:instrText xml:space="preserve"> PAGEREF _Toc231368814 \h </w:instrText>
        </w:r>
        <w:r>
          <w:rPr>
            <w:noProof/>
            <w:webHidden/>
          </w:rPr>
        </w:r>
        <w:r>
          <w:rPr>
            <w:noProof/>
            <w:webHidden/>
          </w:rPr>
          <w:fldChar w:fldCharType="separate"/>
        </w:r>
        <w:r>
          <w:rPr>
            <w:noProof/>
            <w:webHidden/>
          </w:rPr>
          <w:t>127</w:t>
        </w:r>
        <w:r>
          <w:rPr>
            <w:noProof/>
            <w:webHidden/>
          </w:rPr>
          <w:fldChar w:fldCharType="end"/>
        </w:r>
      </w:hyperlink>
    </w:p>
    <w:p w14:paraId="035C611D" w14:textId="5A90BC1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5" w:history="1">
        <w:r w:rsidRPr="00A22B5E">
          <w:rPr>
            <w:rStyle w:val="Hipervnculo"/>
            <w:noProof/>
          </w:rPr>
          <w:t>Gráfica 40. Unidades productivas creadas por tamaño</w:t>
        </w:r>
        <w:r>
          <w:rPr>
            <w:noProof/>
            <w:webHidden/>
          </w:rPr>
          <w:tab/>
        </w:r>
        <w:r>
          <w:rPr>
            <w:noProof/>
            <w:webHidden/>
          </w:rPr>
          <w:fldChar w:fldCharType="begin"/>
        </w:r>
        <w:r>
          <w:rPr>
            <w:noProof/>
            <w:webHidden/>
          </w:rPr>
          <w:instrText xml:space="preserve"> PAGEREF _Toc231368815 \h </w:instrText>
        </w:r>
        <w:r>
          <w:rPr>
            <w:noProof/>
            <w:webHidden/>
          </w:rPr>
        </w:r>
        <w:r>
          <w:rPr>
            <w:noProof/>
            <w:webHidden/>
          </w:rPr>
          <w:fldChar w:fldCharType="separate"/>
        </w:r>
        <w:r>
          <w:rPr>
            <w:noProof/>
            <w:webHidden/>
          </w:rPr>
          <w:t>127</w:t>
        </w:r>
        <w:r>
          <w:rPr>
            <w:noProof/>
            <w:webHidden/>
          </w:rPr>
          <w:fldChar w:fldCharType="end"/>
        </w:r>
      </w:hyperlink>
    </w:p>
    <w:p w14:paraId="0A064006" w14:textId="3727C6B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6" w:history="1">
        <w:r w:rsidRPr="00A22B5E">
          <w:rPr>
            <w:rStyle w:val="Hipervnculo"/>
            <w:noProof/>
          </w:rPr>
          <w:t>Gráfica 41. Nuevas sociedades por tamaño</w:t>
        </w:r>
        <w:r>
          <w:rPr>
            <w:noProof/>
            <w:webHidden/>
          </w:rPr>
          <w:tab/>
        </w:r>
        <w:r>
          <w:rPr>
            <w:noProof/>
            <w:webHidden/>
          </w:rPr>
          <w:fldChar w:fldCharType="begin"/>
        </w:r>
        <w:r>
          <w:rPr>
            <w:noProof/>
            <w:webHidden/>
          </w:rPr>
          <w:instrText xml:space="preserve"> PAGEREF _Toc231368816 \h </w:instrText>
        </w:r>
        <w:r>
          <w:rPr>
            <w:noProof/>
            <w:webHidden/>
          </w:rPr>
        </w:r>
        <w:r>
          <w:rPr>
            <w:noProof/>
            <w:webHidden/>
          </w:rPr>
          <w:fldChar w:fldCharType="separate"/>
        </w:r>
        <w:r>
          <w:rPr>
            <w:noProof/>
            <w:webHidden/>
          </w:rPr>
          <w:t>128</w:t>
        </w:r>
        <w:r>
          <w:rPr>
            <w:noProof/>
            <w:webHidden/>
          </w:rPr>
          <w:fldChar w:fldCharType="end"/>
        </w:r>
      </w:hyperlink>
    </w:p>
    <w:p w14:paraId="2CD2D948" w14:textId="47C6406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7" w:history="1">
        <w:r w:rsidRPr="00A22B5E">
          <w:rPr>
            <w:rStyle w:val="Hipervnculo"/>
            <w:noProof/>
          </w:rPr>
          <w:t>Gráfica 42. Nuevas empresas de personas naturales por tamaño</w:t>
        </w:r>
        <w:r>
          <w:rPr>
            <w:noProof/>
            <w:webHidden/>
          </w:rPr>
          <w:tab/>
        </w:r>
        <w:r>
          <w:rPr>
            <w:noProof/>
            <w:webHidden/>
          </w:rPr>
          <w:fldChar w:fldCharType="begin"/>
        </w:r>
        <w:r>
          <w:rPr>
            <w:noProof/>
            <w:webHidden/>
          </w:rPr>
          <w:instrText xml:space="preserve"> PAGEREF _Toc231368817 \h </w:instrText>
        </w:r>
        <w:r>
          <w:rPr>
            <w:noProof/>
            <w:webHidden/>
          </w:rPr>
        </w:r>
        <w:r>
          <w:rPr>
            <w:noProof/>
            <w:webHidden/>
          </w:rPr>
          <w:fldChar w:fldCharType="separate"/>
        </w:r>
        <w:r>
          <w:rPr>
            <w:noProof/>
            <w:webHidden/>
          </w:rPr>
          <w:t>128</w:t>
        </w:r>
        <w:r>
          <w:rPr>
            <w:noProof/>
            <w:webHidden/>
          </w:rPr>
          <w:fldChar w:fldCharType="end"/>
        </w:r>
      </w:hyperlink>
    </w:p>
    <w:p w14:paraId="2FE6745A" w14:textId="31DBE2AD"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8" w:history="1">
        <w:r w:rsidRPr="00A22B5E">
          <w:rPr>
            <w:rStyle w:val="Hipervnculo"/>
            <w:b/>
            <w:bCs/>
            <w:noProof/>
          </w:rPr>
          <w:t>Gráfica 43. Unidades productivas creadas por sector económico</w:t>
        </w:r>
        <w:r>
          <w:rPr>
            <w:noProof/>
            <w:webHidden/>
          </w:rPr>
          <w:tab/>
        </w:r>
        <w:r>
          <w:rPr>
            <w:noProof/>
            <w:webHidden/>
          </w:rPr>
          <w:fldChar w:fldCharType="begin"/>
        </w:r>
        <w:r>
          <w:rPr>
            <w:noProof/>
            <w:webHidden/>
          </w:rPr>
          <w:instrText xml:space="preserve"> PAGEREF _Toc231368818 \h </w:instrText>
        </w:r>
        <w:r>
          <w:rPr>
            <w:noProof/>
            <w:webHidden/>
          </w:rPr>
        </w:r>
        <w:r>
          <w:rPr>
            <w:noProof/>
            <w:webHidden/>
          </w:rPr>
          <w:fldChar w:fldCharType="separate"/>
        </w:r>
        <w:r>
          <w:rPr>
            <w:noProof/>
            <w:webHidden/>
          </w:rPr>
          <w:t>129</w:t>
        </w:r>
        <w:r>
          <w:rPr>
            <w:noProof/>
            <w:webHidden/>
          </w:rPr>
          <w:fldChar w:fldCharType="end"/>
        </w:r>
      </w:hyperlink>
    </w:p>
    <w:p w14:paraId="370A6854" w14:textId="50C9AC8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19" w:history="1">
        <w:r w:rsidRPr="00A22B5E">
          <w:rPr>
            <w:rStyle w:val="Hipervnculo"/>
            <w:noProof/>
          </w:rPr>
          <w:t>Gráfica 44. Subsectores económicos con mayor creación de empresas empleadoras</w:t>
        </w:r>
        <w:r>
          <w:rPr>
            <w:noProof/>
            <w:webHidden/>
          </w:rPr>
          <w:tab/>
        </w:r>
        <w:r>
          <w:rPr>
            <w:noProof/>
            <w:webHidden/>
          </w:rPr>
          <w:fldChar w:fldCharType="begin"/>
        </w:r>
        <w:r>
          <w:rPr>
            <w:noProof/>
            <w:webHidden/>
          </w:rPr>
          <w:instrText xml:space="preserve"> PAGEREF _Toc231368819 \h </w:instrText>
        </w:r>
        <w:r>
          <w:rPr>
            <w:noProof/>
            <w:webHidden/>
          </w:rPr>
        </w:r>
        <w:r>
          <w:rPr>
            <w:noProof/>
            <w:webHidden/>
          </w:rPr>
          <w:fldChar w:fldCharType="separate"/>
        </w:r>
        <w:r>
          <w:rPr>
            <w:noProof/>
            <w:webHidden/>
          </w:rPr>
          <w:t>129</w:t>
        </w:r>
        <w:r>
          <w:rPr>
            <w:noProof/>
            <w:webHidden/>
          </w:rPr>
          <w:fldChar w:fldCharType="end"/>
        </w:r>
      </w:hyperlink>
    </w:p>
    <w:p w14:paraId="25512ADF" w14:textId="6AA8F4D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0" w:history="1">
        <w:r w:rsidRPr="00A22B5E">
          <w:rPr>
            <w:rStyle w:val="Hipervnculo"/>
            <w:noProof/>
          </w:rPr>
          <w:t>Gráfica 45. Participación MiPymes</w:t>
        </w:r>
        <w:r>
          <w:rPr>
            <w:noProof/>
            <w:webHidden/>
          </w:rPr>
          <w:tab/>
        </w:r>
        <w:r>
          <w:rPr>
            <w:noProof/>
            <w:webHidden/>
          </w:rPr>
          <w:fldChar w:fldCharType="begin"/>
        </w:r>
        <w:r>
          <w:rPr>
            <w:noProof/>
            <w:webHidden/>
          </w:rPr>
          <w:instrText xml:space="preserve"> PAGEREF _Toc231368820 \h </w:instrText>
        </w:r>
        <w:r>
          <w:rPr>
            <w:noProof/>
            <w:webHidden/>
          </w:rPr>
        </w:r>
        <w:r>
          <w:rPr>
            <w:noProof/>
            <w:webHidden/>
          </w:rPr>
          <w:fldChar w:fldCharType="separate"/>
        </w:r>
        <w:r>
          <w:rPr>
            <w:noProof/>
            <w:webHidden/>
          </w:rPr>
          <w:t>130</w:t>
        </w:r>
        <w:r>
          <w:rPr>
            <w:noProof/>
            <w:webHidden/>
          </w:rPr>
          <w:fldChar w:fldCharType="end"/>
        </w:r>
      </w:hyperlink>
    </w:p>
    <w:p w14:paraId="35E66403" w14:textId="52CDDB67"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1" w:history="1">
        <w:r w:rsidRPr="00A22B5E">
          <w:rPr>
            <w:rStyle w:val="Hipervnculo"/>
            <w:noProof/>
          </w:rPr>
          <w:t>Gráfica 46. Participación MiPymes Sector Construcción</w:t>
        </w:r>
        <w:r>
          <w:rPr>
            <w:noProof/>
            <w:webHidden/>
          </w:rPr>
          <w:tab/>
        </w:r>
        <w:r>
          <w:rPr>
            <w:noProof/>
            <w:webHidden/>
          </w:rPr>
          <w:fldChar w:fldCharType="begin"/>
        </w:r>
        <w:r>
          <w:rPr>
            <w:noProof/>
            <w:webHidden/>
          </w:rPr>
          <w:instrText xml:space="preserve"> PAGEREF _Toc231368821 \h </w:instrText>
        </w:r>
        <w:r>
          <w:rPr>
            <w:noProof/>
            <w:webHidden/>
          </w:rPr>
        </w:r>
        <w:r>
          <w:rPr>
            <w:noProof/>
            <w:webHidden/>
          </w:rPr>
          <w:fldChar w:fldCharType="separate"/>
        </w:r>
        <w:r>
          <w:rPr>
            <w:noProof/>
            <w:webHidden/>
          </w:rPr>
          <w:t>131</w:t>
        </w:r>
        <w:r>
          <w:rPr>
            <w:noProof/>
            <w:webHidden/>
          </w:rPr>
          <w:fldChar w:fldCharType="end"/>
        </w:r>
      </w:hyperlink>
    </w:p>
    <w:p w14:paraId="62978700" w14:textId="0AB12B9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2" w:history="1">
        <w:r w:rsidRPr="00A22B5E">
          <w:rPr>
            <w:rStyle w:val="Hipervnculo"/>
            <w:noProof/>
          </w:rPr>
          <w:t>Gráfica 47. Tamaño empresarial - Sector Servicios</w:t>
        </w:r>
        <w:r>
          <w:rPr>
            <w:noProof/>
            <w:webHidden/>
          </w:rPr>
          <w:tab/>
        </w:r>
        <w:r>
          <w:rPr>
            <w:noProof/>
            <w:webHidden/>
          </w:rPr>
          <w:fldChar w:fldCharType="begin"/>
        </w:r>
        <w:r>
          <w:rPr>
            <w:noProof/>
            <w:webHidden/>
          </w:rPr>
          <w:instrText xml:space="preserve"> PAGEREF _Toc231368822 \h </w:instrText>
        </w:r>
        <w:r>
          <w:rPr>
            <w:noProof/>
            <w:webHidden/>
          </w:rPr>
        </w:r>
        <w:r>
          <w:rPr>
            <w:noProof/>
            <w:webHidden/>
          </w:rPr>
          <w:fldChar w:fldCharType="separate"/>
        </w:r>
        <w:r>
          <w:rPr>
            <w:noProof/>
            <w:webHidden/>
          </w:rPr>
          <w:t>132</w:t>
        </w:r>
        <w:r>
          <w:rPr>
            <w:noProof/>
            <w:webHidden/>
          </w:rPr>
          <w:fldChar w:fldCharType="end"/>
        </w:r>
      </w:hyperlink>
    </w:p>
    <w:p w14:paraId="6A2308E1" w14:textId="724E0821"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3" w:history="1">
        <w:r w:rsidRPr="00A22B5E">
          <w:rPr>
            <w:rStyle w:val="Hipervnculo"/>
            <w:noProof/>
          </w:rPr>
          <w:t>Gráfica 48. Participación MiPymes en términos de valor contratado</w:t>
        </w:r>
        <w:r>
          <w:rPr>
            <w:noProof/>
            <w:webHidden/>
          </w:rPr>
          <w:tab/>
        </w:r>
        <w:r>
          <w:rPr>
            <w:noProof/>
            <w:webHidden/>
          </w:rPr>
          <w:fldChar w:fldCharType="begin"/>
        </w:r>
        <w:r>
          <w:rPr>
            <w:noProof/>
            <w:webHidden/>
          </w:rPr>
          <w:instrText xml:space="preserve"> PAGEREF _Toc231368823 \h </w:instrText>
        </w:r>
        <w:r>
          <w:rPr>
            <w:noProof/>
            <w:webHidden/>
          </w:rPr>
        </w:r>
        <w:r>
          <w:rPr>
            <w:noProof/>
            <w:webHidden/>
          </w:rPr>
          <w:fldChar w:fldCharType="separate"/>
        </w:r>
        <w:r>
          <w:rPr>
            <w:noProof/>
            <w:webHidden/>
          </w:rPr>
          <w:t>133</w:t>
        </w:r>
        <w:r>
          <w:rPr>
            <w:noProof/>
            <w:webHidden/>
          </w:rPr>
          <w:fldChar w:fldCharType="end"/>
        </w:r>
      </w:hyperlink>
    </w:p>
    <w:p w14:paraId="5D187F92" w14:textId="6EA2D0AF"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4" w:history="1">
        <w:r w:rsidRPr="00A22B5E">
          <w:rPr>
            <w:rStyle w:val="Hipervnculo"/>
            <w:noProof/>
          </w:rPr>
          <w:t>Gráfica 49. Participación MiPymes en términos de cantidad de contratos</w:t>
        </w:r>
        <w:r>
          <w:rPr>
            <w:noProof/>
            <w:webHidden/>
          </w:rPr>
          <w:tab/>
        </w:r>
        <w:r>
          <w:rPr>
            <w:noProof/>
            <w:webHidden/>
          </w:rPr>
          <w:fldChar w:fldCharType="begin"/>
        </w:r>
        <w:r>
          <w:rPr>
            <w:noProof/>
            <w:webHidden/>
          </w:rPr>
          <w:instrText xml:space="preserve"> PAGEREF _Toc231368824 \h </w:instrText>
        </w:r>
        <w:r>
          <w:rPr>
            <w:noProof/>
            <w:webHidden/>
          </w:rPr>
        </w:r>
        <w:r>
          <w:rPr>
            <w:noProof/>
            <w:webHidden/>
          </w:rPr>
          <w:fldChar w:fldCharType="separate"/>
        </w:r>
        <w:r>
          <w:rPr>
            <w:noProof/>
            <w:webHidden/>
          </w:rPr>
          <w:t>133</w:t>
        </w:r>
        <w:r>
          <w:rPr>
            <w:noProof/>
            <w:webHidden/>
          </w:rPr>
          <w:fldChar w:fldCharType="end"/>
        </w:r>
      </w:hyperlink>
    </w:p>
    <w:p w14:paraId="0FE2EA18" w14:textId="075D81A2"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5" w:history="1">
        <w:r w:rsidRPr="00A22B5E">
          <w:rPr>
            <w:rStyle w:val="Hipervnculo"/>
            <w:noProof/>
          </w:rPr>
          <w:t>Gráfica 50. Brecha en la tasa global de participación</w:t>
        </w:r>
        <w:r>
          <w:rPr>
            <w:noProof/>
            <w:webHidden/>
          </w:rPr>
          <w:tab/>
        </w:r>
        <w:r>
          <w:rPr>
            <w:noProof/>
            <w:webHidden/>
          </w:rPr>
          <w:fldChar w:fldCharType="begin"/>
        </w:r>
        <w:r>
          <w:rPr>
            <w:noProof/>
            <w:webHidden/>
          </w:rPr>
          <w:instrText xml:space="preserve"> PAGEREF _Toc231368825 \h </w:instrText>
        </w:r>
        <w:r>
          <w:rPr>
            <w:noProof/>
            <w:webHidden/>
          </w:rPr>
        </w:r>
        <w:r>
          <w:rPr>
            <w:noProof/>
            <w:webHidden/>
          </w:rPr>
          <w:fldChar w:fldCharType="separate"/>
        </w:r>
        <w:r>
          <w:rPr>
            <w:noProof/>
            <w:webHidden/>
          </w:rPr>
          <w:t>136</w:t>
        </w:r>
        <w:r>
          <w:rPr>
            <w:noProof/>
            <w:webHidden/>
          </w:rPr>
          <w:fldChar w:fldCharType="end"/>
        </w:r>
      </w:hyperlink>
    </w:p>
    <w:p w14:paraId="0F3B5D55" w14:textId="06006F89"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6" w:history="1">
        <w:r w:rsidRPr="00A22B5E">
          <w:rPr>
            <w:rStyle w:val="Hipervnculo"/>
            <w:noProof/>
          </w:rPr>
          <w:t>Gráfica 51. Proporción de mujeres empleadas por sector económico</w:t>
        </w:r>
        <w:r>
          <w:rPr>
            <w:noProof/>
            <w:webHidden/>
          </w:rPr>
          <w:tab/>
        </w:r>
        <w:r>
          <w:rPr>
            <w:noProof/>
            <w:webHidden/>
          </w:rPr>
          <w:fldChar w:fldCharType="begin"/>
        </w:r>
        <w:r>
          <w:rPr>
            <w:noProof/>
            <w:webHidden/>
          </w:rPr>
          <w:instrText xml:space="preserve"> PAGEREF _Toc231368826 \h </w:instrText>
        </w:r>
        <w:r>
          <w:rPr>
            <w:noProof/>
            <w:webHidden/>
          </w:rPr>
        </w:r>
        <w:r>
          <w:rPr>
            <w:noProof/>
            <w:webHidden/>
          </w:rPr>
          <w:fldChar w:fldCharType="separate"/>
        </w:r>
        <w:r>
          <w:rPr>
            <w:noProof/>
            <w:webHidden/>
          </w:rPr>
          <w:t>137</w:t>
        </w:r>
        <w:r>
          <w:rPr>
            <w:noProof/>
            <w:webHidden/>
          </w:rPr>
          <w:fldChar w:fldCharType="end"/>
        </w:r>
      </w:hyperlink>
    </w:p>
    <w:p w14:paraId="73784BB6" w14:textId="3C40AF10"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7" w:history="1">
        <w:r w:rsidRPr="00A22B5E">
          <w:rPr>
            <w:rStyle w:val="Hipervnculo"/>
            <w:noProof/>
          </w:rPr>
          <w:t>Gráfica 52. Pertenencia de las empresas por género y organización jurídica</w:t>
        </w:r>
        <w:r>
          <w:rPr>
            <w:noProof/>
            <w:webHidden/>
          </w:rPr>
          <w:tab/>
        </w:r>
        <w:r>
          <w:rPr>
            <w:noProof/>
            <w:webHidden/>
          </w:rPr>
          <w:fldChar w:fldCharType="begin"/>
        </w:r>
        <w:r>
          <w:rPr>
            <w:noProof/>
            <w:webHidden/>
          </w:rPr>
          <w:instrText xml:space="preserve"> PAGEREF _Toc231368827 \h </w:instrText>
        </w:r>
        <w:r>
          <w:rPr>
            <w:noProof/>
            <w:webHidden/>
          </w:rPr>
        </w:r>
        <w:r>
          <w:rPr>
            <w:noProof/>
            <w:webHidden/>
          </w:rPr>
          <w:fldChar w:fldCharType="separate"/>
        </w:r>
        <w:r>
          <w:rPr>
            <w:noProof/>
            <w:webHidden/>
          </w:rPr>
          <w:t>138</w:t>
        </w:r>
        <w:r>
          <w:rPr>
            <w:noProof/>
            <w:webHidden/>
          </w:rPr>
          <w:fldChar w:fldCharType="end"/>
        </w:r>
      </w:hyperlink>
    </w:p>
    <w:p w14:paraId="68FD6A0B" w14:textId="522EB78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8" w:history="1">
        <w:r w:rsidRPr="00A22B5E">
          <w:rPr>
            <w:rStyle w:val="Hipervnculo"/>
            <w:noProof/>
          </w:rPr>
          <w:t>Gráfica 53. Participación femenina en el capital social de las empresa</w:t>
        </w:r>
        <w:r>
          <w:rPr>
            <w:noProof/>
            <w:webHidden/>
          </w:rPr>
          <w:tab/>
        </w:r>
        <w:r>
          <w:rPr>
            <w:noProof/>
            <w:webHidden/>
          </w:rPr>
          <w:fldChar w:fldCharType="begin"/>
        </w:r>
        <w:r>
          <w:rPr>
            <w:noProof/>
            <w:webHidden/>
          </w:rPr>
          <w:instrText xml:space="preserve"> PAGEREF _Toc231368828 \h </w:instrText>
        </w:r>
        <w:r>
          <w:rPr>
            <w:noProof/>
            <w:webHidden/>
          </w:rPr>
        </w:r>
        <w:r>
          <w:rPr>
            <w:noProof/>
            <w:webHidden/>
          </w:rPr>
          <w:fldChar w:fldCharType="separate"/>
        </w:r>
        <w:r>
          <w:rPr>
            <w:noProof/>
            <w:webHidden/>
          </w:rPr>
          <w:t>139</w:t>
        </w:r>
        <w:r>
          <w:rPr>
            <w:noProof/>
            <w:webHidden/>
          </w:rPr>
          <w:fldChar w:fldCharType="end"/>
        </w:r>
      </w:hyperlink>
    </w:p>
    <w:p w14:paraId="5CDA1B9C" w14:textId="0C2D6F9D"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29" w:history="1">
        <w:r w:rsidRPr="00A22B5E">
          <w:rPr>
            <w:rStyle w:val="Hipervnculo"/>
            <w:noProof/>
          </w:rPr>
          <w:t>Gráfica 54. Participación de la mujer en términos de valor contratado</w:t>
        </w:r>
        <w:r>
          <w:rPr>
            <w:noProof/>
            <w:webHidden/>
          </w:rPr>
          <w:tab/>
        </w:r>
        <w:r>
          <w:rPr>
            <w:noProof/>
            <w:webHidden/>
          </w:rPr>
          <w:fldChar w:fldCharType="begin"/>
        </w:r>
        <w:r>
          <w:rPr>
            <w:noProof/>
            <w:webHidden/>
          </w:rPr>
          <w:instrText xml:space="preserve"> PAGEREF _Toc231368829 \h </w:instrText>
        </w:r>
        <w:r>
          <w:rPr>
            <w:noProof/>
            <w:webHidden/>
          </w:rPr>
        </w:r>
        <w:r>
          <w:rPr>
            <w:noProof/>
            <w:webHidden/>
          </w:rPr>
          <w:fldChar w:fldCharType="separate"/>
        </w:r>
        <w:r>
          <w:rPr>
            <w:noProof/>
            <w:webHidden/>
          </w:rPr>
          <w:t>140</w:t>
        </w:r>
        <w:r>
          <w:rPr>
            <w:noProof/>
            <w:webHidden/>
          </w:rPr>
          <w:fldChar w:fldCharType="end"/>
        </w:r>
      </w:hyperlink>
    </w:p>
    <w:p w14:paraId="366213ED" w14:textId="41B8C0F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0" w:history="1">
        <w:r w:rsidRPr="00A22B5E">
          <w:rPr>
            <w:rStyle w:val="Hipervnculo"/>
            <w:noProof/>
          </w:rPr>
          <w:t>Gráfica 55. Participación de la mujer en términos cantidad de contratos</w:t>
        </w:r>
        <w:r>
          <w:rPr>
            <w:noProof/>
            <w:webHidden/>
          </w:rPr>
          <w:tab/>
        </w:r>
        <w:r>
          <w:rPr>
            <w:noProof/>
            <w:webHidden/>
          </w:rPr>
          <w:fldChar w:fldCharType="begin"/>
        </w:r>
        <w:r>
          <w:rPr>
            <w:noProof/>
            <w:webHidden/>
          </w:rPr>
          <w:instrText xml:space="preserve"> PAGEREF _Toc231368830 \h </w:instrText>
        </w:r>
        <w:r>
          <w:rPr>
            <w:noProof/>
            <w:webHidden/>
          </w:rPr>
        </w:r>
        <w:r>
          <w:rPr>
            <w:noProof/>
            <w:webHidden/>
          </w:rPr>
          <w:fldChar w:fldCharType="separate"/>
        </w:r>
        <w:r>
          <w:rPr>
            <w:noProof/>
            <w:webHidden/>
          </w:rPr>
          <w:t>140</w:t>
        </w:r>
        <w:r>
          <w:rPr>
            <w:noProof/>
            <w:webHidden/>
          </w:rPr>
          <w:fldChar w:fldCharType="end"/>
        </w:r>
      </w:hyperlink>
    </w:p>
    <w:p w14:paraId="6BA34648" w14:textId="12A036B8"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1" w:history="1">
        <w:r w:rsidRPr="00A22B5E">
          <w:rPr>
            <w:rStyle w:val="Hipervnculo"/>
            <w:noProof/>
          </w:rPr>
          <w:t>Gráfica 56. Definiciones de discapacidad</w:t>
        </w:r>
        <w:r>
          <w:rPr>
            <w:noProof/>
            <w:webHidden/>
          </w:rPr>
          <w:tab/>
        </w:r>
        <w:r>
          <w:rPr>
            <w:noProof/>
            <w:webHidden/>
          </w:rPr>
          <w:fldChar w:fldCharType="begin"/>
        </w:r>
        <w:r>
          <w:rPr>
            <w:noProof/>
            <w:webHidden/>
          </w:rPr>
          <w:instrText xml:space="preserve"> PAGEREF _Toc231368831 \h </w:instrText>
        </w:r>
        <w:r>
          <w:rPr>
            <w:noProof/>
            <w:webHidden/>
          </w:rPr>
        </w:r>
        <w:r>
          <w:rPr>
            <w:noProof/>
            <w:webHidden/>
          </w:rPr>
          <w:fldChar w:fldCharType="separate"/>
        </w:r>
        <w:r>
          <w:rPr>
            <w:noProof/>
            <w:webHidden/>
          </w:rPr>
          <w:t>143</w:t>
        </w:r>
        <w:r>
          <w:rPr>
            <w:noProof/>
            <w:webHidden/>
          </w:rPr>
          <w:fldChar w:fldCharType="end"/>
        </w:r>
      </w:hyperlink>
    </w:p>
    <w:p w14:paraId="71CC3A87" w14:textId="269E5A41"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2" w:history="1">
        <w:r w:rsidRPr="00A22B5E">
          <w:rPr>
            <w:rStyle w:val="Hipervnculo"/>
            <w:noProof/>
          </w:rPr>
          <w:t>Gráfica 57. Distribución por tipo de discapacidad en Colombia</w:t>
        </w:r>
        <w:r>
          <w:rPr>
            <w:noProof/>
            <w:webHidden/>
          </w:rPr>
          <w:tab/>
        </w:r>
        <w:r>
          <w:rPr>
            <w:noProof/>
            <w:webHidden/>
          </w:rPr>
          <w:fldChar w:fldCharType="begin"/>
        </w:r>
        <w:r>
          <w:rPr>
            <w:noProof/>
            <w:webHidden/>
          </w:rPr>
          <w:instrText xml:space="preserve"> PAGEREF _Toc231368832 \h </w:instrText>
        </w:r>
        <w:r>
          <w:rPr>
            <w:noProof/>
            <w:webHidden/>
          </w:rPr>
        </w:r>
        <w:r>
          <w:rPr>
            <w:noProof/>
            <w:webHidden/>
          </w:rPr>
          <w:fldChar w:fldCharType="separate"/>
        </w:r>
        <w:r>
          <w:rPr>
            <w:noProof/>
            <w:webHidden/>
          </w:rPr>
          <w:t>144</w:t>
        </w:r>
        <w:r>
          <w:rPr>
            <w:noProof/>
            <w:webHidden/>
          </w:rPr>
          <w:fldChar w:fldCharType="end"/>
        </w:r>
      </w:hyperlink>
    </w:p>
    <w:p w14:paraId="42EE4F58" w14:textId="29E6227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3" w:history="1">
        <w:r w:rsidRPr="00A22B5E">
          <w:rPr>
            <w:rStyle w:val="Hipervnculo"/>
            <w:noProof/>
          </w:rPr>
          <w:t>Gráfica 58. Distribución por sexo</w:t>
        </w:r>
        <w:r>
          <w:rPr>
            <w:noProof/>
            <w:webHidden/>
          </w:rPr>
          <w:tab/>
        </w:r>
        <w:r>
          <w:rPr>
            <w:noProof/>
            <w:webHidden/>
          </w:rPr>
          <w:fldChar w:fldCharType="begin"/>
        </w:r>
        <w:r>
          <w:rPr>
            <w:noProof/>
            <w:webHidden/>
          </w:rPr>
          <w:instrText xml:space="preserve"> PAGEREF _Toc231368833 \h </w:instrText>
        </w:r>
        <w:r>
          <w:rPr>
            <w:noProof/>
            <w:webHidden/>
          </w:rPr>
        </w:r>
        <w:r>
          <w:rPr>
            <w:noProof/>
            <w:webHidden/>
          </w:rPr>
          <w:fldChar w:fldCharType="separate"/>
        </w:r>
        <w:r>
          <w:rPr>
            <w:noProof/>
            <w:webHidden/>
          </w:rPr>
          <w:t>145</w:t>
        </w:r>
        <w:r>
          <w:rPr>
            <w:noProof/>
            <w:webHidden/>
          </w:rPr>
          <w:fldChar w:fldCharType="end"/>
        </w:r>
      </w:hyperlink>
    </w:p>
    <w:p w14:paraId="4B66B803" w14:textId="200D699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4" w:history="1">
        <w:r w:rsidRPr="00A22B5E">
          <w:rPr>
            <w:rStyle w:val="Hipervnculo"/>
            <w:noProof/>
          </w:rPr>
          <w:t>Gráfica 59. Top 15 de residencia de personas con discapacidad por departamento</w:t>
        </w:r>
        <w:r>
          <w:rPr>
            <w:noProof/>
            <w:webHidden/>
          </w:rPr>
          <w:tab/>
        </w:r>
        <w:r>
          <w:rPr>
            <w:noProof/>
            <w:webHidden/>
          </w:rPr>
          <w:fldChar w:fldCharType="begin"/>
        </w:r>
        <w:r>
          <w:rPr>
            <w:noProof/>
            <w:webHidden/>
          </w:rPr>
          <w:instrText xml:space="preserve"> PAGEREF _Toc231368834 \h </w:instrText>
        </w:r>
        <w:r>
          <w:rPr>
            <w:noProof/>
            <w:webHidden/>
          </w:rPr>
        </w:r>
        <w:r>
          <w:rPr>
            <w:noProof/>
            <w:webHidden/>
          </w:rPr>
          <w:fldChar w:fldCharType="separate"/>
        </w:r>
        <w:r>
          <w:rPr>
            <w:noProof/>
            <w:webHidden/>
          </w:rPr>
          <w:t>145</w:t>
        </w:r>
        <w:r>
          <w:rPr>
            <w:noProof/>
            <w:webHidden/>
          </w:rPr>
          <w:fldChar w:fldCharType="end"/>
        </w:r>
      </w:hyperlink>
    </w:p>
    <w:p w14:paraId="3EAE2B26" w14:textId="0D53BD44"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5" w:history="1">
        <w:r w:rsidRPr="00A22B5E">
          <w:rPr>
            <w:rStyle w:val="Hipervnculo"/>
            <w:noProof/>
          </w:rPr>
          <w:t>Gráfica 60. Evolución del marco normativo legal asociado a la discapacidad</w:t>
        </w:r>
        <w:r>
          <w:rPr>
            <w:noProof/>
            <w:webHidden/>
          </w:rPr>
          <w:tab/>
        </w:r>
        <w:r>
          <w:rPr>
            <w:noProof/>
            <w:webHidden/>
          </w:rPr>
          <w:fldChar w:fldCharType="begin"/>
        </w:r>
        <w:r>
          <w:rPr>
            <w:noProof/>
            <w:webHidden/>
          </w:rPr>
          <w:instrText xml:space="preserve"> PAGEREF _Toc231368835 \h </w:instrText>
        </w:r>
        <w:r>
          <w:rPr>
            <w:noProof/>
            <w:webHidden/>
          </w:rPr>
        </w:r>
        <w:r>
          <w:rPr>
            <w:noProof/>
            <w:webHidden/>
          </w:rPr>
          <w:fldChar w:fldCharType="separate"/>
        </w:r>
        <w:r>
          <w:rPr>
            <w:noProof/>
            <w:webHidden/>
          </w:rPr>
          <w:t>147</w:t>
        </w:r>
        <w:r>
          <w:rPr>
            <w:noProof/>
            <w:webHidden/>
          </w:rPr>
          <w:fldChar w:fldCharType="end"/>
        </w:r>
      </w:hyperlink>
    </w:p>
    <w:p w14:paraId="3ABA2566" w14:textId="25EF1F17"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6" w:history="1">
        <w:r w:rsidRPr="00A22B5E">
          <w:rPr>
            <w:rStyle w:val="Hipervnculo"/>
            <w:noProof/>
          </w:rPr>
          <w:t>Gráfica 61. Población con discapacidad fuera de la fuerza de trabajo en Bogotá, anual, Octubre 2023- Septiembre 2024</w:t>
        </w:r>
        <w:r>
          <w:rPr>
            <w:noProof/>
            <w:webHidden/>
          </w:rPr>
          <w:tab/>
        </w:r>
        <w:r>
          <w:rPr>
            <w:noProof/>
            <w:webHidden/>
          </w:rPr>
          <w:fldChar w:fldCharType="begin"/>
        </w:r>
        <w:r>
          <w:rPr>
            <w:noProof/>
            <w:webHidden/>
          </w:rPr>
          <w:instrText xml:space="preserve"> PAGEREF _Toc231368836 \h </w:instrText>
        </w:r>
        <w:r>
          <w:rPr>
            <w:noProof/>
            <w:webHidden/>
          </w:rPr>
        </w:r>
        <w:r>
          <w:rPr>
            <w:noProof/>
            <w:webHidden/>
          </w:rPr>
          <w:fldChar w:fldCharType="separate"/>
        </w:r>
        <w:r>
          <w:rPr>
            <w:noProof/>
            <w:webHidden/>
          </w:rPr>
          <w:t>148</w:t>
        </w:r>
        <w:r>
          <w:rPr>
            <w:noProof/>
            <w:webHidden/>
          </w:rPr>
          <w:fldChar w:fldCharType="end"/>
        </w:r>
      </w:hyperlink>
    </w:p>
    <w:p w14:paraId="123996AB" w14:textId="4BC5670C"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7" w:history="1">
        <w:r w:rsidRPr="00A22B5E">
          <w:rPr>
            <w:rStyle w:val="Hipervnculo"/>
            <w:noProof/>
          </w:rPr>
          <w:t>Gráfica 62. Actividades de la población con discapacidad fuera de la fuerza de trabajo en Bogotá, anual - Octubre 2023-Septiembre 2024</w:t>
        </w:r>
        <w:r>
          <w:rPr>
            <w:noProof/>
            <w:webHidden/>
          </w:rPr>
          <w:tab/>
        </w:r>
        <w:r>
          <w:rPr>
            <w:noProof/>
            <w:webHidden/>
          </w:rPr>
          <w:fldChar w:fldCharType="begin"/>
        </w:r>
        <w:r>
          <w:rPr>
            <w:noProof/>
            <w:webHidden/>
          </w:rPr>
          <w:instrText xml:space="preserve"> PAGEREF _Toc231368837 \h </w:instrText>
        </w:r>
        <w:r>
          <w:rPr>
            <w:noProof/>
            <w:webHidden/>
          </w:rPr>
        </w:r>
        <w:r>
          <w:rPr>
            <w:noProof/>
            <w:webHidden/>
          </w:rPr>
          <w:fldChar w:fldCharType="separate"/>
        </w:r>
        <w:r>
          <w:rPr>
            <w:noProof/>
            <w:webHidden/>
          </w:rPr>
          <w:t>149</w:t>
        </w:r>
        <w:r>
          <w:rPr>
            <w:noProof/>
            <w:webHidden/>
          </w:rPr>
          <w:fldChar w:fldCharType="end"/>
        </w:r>
      </w:hyperlink>
    </w:p>
    <w:p w14:paraId="4655E514" w14:textId="30755ECE"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8" w:history="1">
        <w:r w:rsidRPr="00A22B5E">
          <w:rPr>
            <w:rStyle w:val="Hipervnculo"/>
            <w:noProof/>
          </w:rPr>
          <w:t>Gráfica 63. Tasa global de participación (TGP), Tasa de ocupación (TO) y Tasa de desocupación (TD) de la población con discapacidad y sin discapacidad</w:t>
        </w:r>
        <w:r>
          <w:rPr>
            <w:noProof/>
            <w:webHidden/>
          </w:rPr>
          <w:tab/>
        </w:r>
        <w:r>
          <w:rPr>
            <w:noProof/>
            <w:webHidden/>
          </w:rPr>
          <w:fldChar w:fldCharType="begin"/>
        </w:r>
        <w:r>
          <w:rPr>
            <w:noProof/>
            <w:webHidden/>
          </w:rPr>
          <w:instrText xml:space="preserve"> PAGEREF _Toc231368838 \h </w:instrText>
        </w:r>
        <w:r>
          <w:rPr>
            <w:noProof/>
            <w:webHidden/>
          </w:rPr>
        </w:r>
        <w:r>
          <w:rPr>
            <w:noProof/>
            <w:webHidden/>
          </w:rPr>
          <w:fldChar w:fldCharType="separate"/>
        </w:r>
        <w:r>
          <w:rPr>
            <w:noProof/>
            <w:webHidden/>
          </w:rPr>
          <w:t>150</w:t>
        </w:r>
        <w:r>
          <w:rPr>
            <w:noProof/>
            <w:webHidden/>
          </w:rPr>
          <w:fldChar w:fldCharType="end"/>
        </w:r>
      </w:hyperlink>
    </w:p>
    <w:p w14:paraId="68420AA1" w14:textId="4814107D"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39" w:history="1">
        <w:r w:rsidRPr="00A22B5E">
          <w:rPr>
            <w:rStyle w:val="Hipervnculo"/>
            <w:noProof/>
          </w:rPr>
          <w:t>Gráfica 64. Participación de la población ocupada con y sin discapacidad según ramas de actividad</w:t>
        </w:r>
        <w:r>
          <w:rPr>
            <w:noProof/>
            <w:webHidden/>
          </w:rPr>
          <w:tab/>
        </w:r>
        <w:r>
          <w:rPr>
            <w:noProof/>
            <w:webHidden/>
          </w:rPr>
          <w:fldChar w:fldCharType="begin"/>
        </w:r>
        <w:r>
          <w:rPr>
            <w:noProof/>
            <w:webHidden/>
          </w:rPr>
          <w:instrText xml:space="preserve"> PAGEREF _Toc231368839 \h </w:instrText>
        </w:r>
        <w:r>
          <w:rPr>
            <w:noProof/>
            <w:webHidden/>
          </w:rPr>
        </w:r>
        <w:r>
          <w:rPr>
            <w:noProof/>
            <w:webHidden/>
          </w:rPr>
          <w:fldChar w:fldCharType="separate"/>
        </w:r>
        <w:r>
          <w:rPr>
            <w:noProof/>
            <w:webHidden/>
          </w:rPr>
          <w:t>151</w:t>
        </w:r>
        <w:r>
          <w:rPr>
            <w:noProof/>
            <w:webHidden/>
          </w:rPr>
          <w:fldChar w:fldCharType="end"/>
        </w:r>
      </w:hyperlink>
    </w:p>
    <w:p w14:paraId="489E9E93" w14:textId="002F380B"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40" w:history="1">
        <w:r w:rsidRPr="00A22B5E">
          <w:rPr>
            <w:rStyle w:val="Hipervnculo"/>
            <w:noProof/>
          </w:rPr>
          <w:t>Gráfica 65. Participación de la población ocupada con y sin discapacidad según posición ocupacional</w:t>
        </w:r>
        <w:r>
          <w:rPr>
            <w:noProof/>
            <w:webHidden/>
          </w:rPr>
          <w:tab/>
        </w:r>
        <w:r>
          <w:rPr>
            <w:noProof/>
            <w:webHidden/>
          </w:rPr>
          <w:fldChar w:fldCharType="begin"/>
        </w:r>
        <w:r>
          <w:rPr>
            <w:noProof/>
            <w:webHidden/>
          </w:rPr>
          <w:instrText xml:space="preserve"> PAGEREF _Toc231368840 \h </w:instrText>
        </w:r>
        <w:r>
          <w:rPr>
            <w:noProof/>
            <w:webHidden/>
          </w:rPr>
        </w:r>
        <w:r>
          <w:rPr>
            <w:noProof/>
            <w:webHidden/>
          </w:rPr>
          <w:fldChar w:fldCharType="separate"/>
        </w:r>
        <w:r>
          <w:rPr>
            <w:noProof/>
            <w:webHidden/>
          </w:rPr>
          <w:t>152</w:t>
        </w:r>
        <w:r>
          <w:rPr>
            <w:noProof/>
            <w:webHidden/>
          </w:rPr>
          <w:fldChar w:fldCharType="end"/>
        </w:r>
      </w:hyperlink>
    </w:p>
    <w:p w14:paraId="08365050" w14:textId="59104AF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41" w:history="1">
        <w:r w:rsidRPr="00A22B5E">
          <w:rPr>
            <w:rStyle w:val="Hipervnculo"/>
            <w:noProof/>
          </w:rPr>
          <w:t>Gráfica 66. Empresas con población pobre y vulnerable vinculada</w:t>
        </w:r>
        <w:r>
          <w:rPr>
            <w:noProof/>
            <w:webHidden/>
          </w:rPr>
          <w:tab/>
        </w:r>
        <w:r>
          <w:rPr>
            <w:noProof/>
            <w:webHidden/>
          </w:rPr>
          <w:fldChar w:fldCharType="begin"/>
        </w:r>
        <w:r>
          <w:rPr>
            <w:noProof/>
            <w:webHidden/>
          </w:rPr>
          <w:instrText xml:space="preserve"> PAGEREF _Toc231368841 \h </w:instrText>
        </w:r>
        <w:r>
          <w:rPr>
            <w:noProof/>
            <w:webHidden/>
          </w:rPr>
        </w:r>
        <w:r>
          <w:rPr>
            <w:noProof/>
            <w:webHidden/>
          </w:rPr>
          <w:fldChar w:fldCharType="separate"/>
        </w:r>
        <w:r>
          <w:rPr>
            <w:noProof/>
            <w:webHidden/>
          </w:rPr>
          <w:t>153</w:t>
        </w:r>
        <w:r>
          <w:rPr>
            <w:noProof/>
            <w:webHidden/>
          </w:rPr>
          <w:fldChar w:fldCharType="end"/>
        </w:r>
      </w:hyperlink>
    </w:p>
    <w:p w14:paraId="26B3B78C" w14:textId="1E7A11EA"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42" w:history="1">
        <w:r w:rsidRPr="00A22B5E">
          <w:rPr>
            <w:rStyle w:val="Hipervnculo"/>
            <w:noProof/>
          </w:rPr>
          <w:t>Gráfica 67. Empresas con interés de vincular población vulnerable</w:t>
        </w:r>
        <w:r>
          <w:rPr>
            <w:noProof/>
            <w:webHidden/>
          </w:rPr>
          <w:tab/>
        </w:r>
        <w:r>
          <w:rPr>
            <w:noProof/>
            <w:webHidden/>
          </w:rPr>
          <w:fldChar w:fldCharType="begin"/>
        </w:r>
        <w:r>
          <w:rPr>
            <w:noProof/>
            <w:webHidden/>
          </w:rPr>
          <w:instrText xml:space="preserve"> PAGEREF _Toc231368842 \h </w:instrText>
        </w:r>
        <w:r>
          <w:rPr>
            <w:noProof/>
            <w:webHidden/>
          </w:rPr>
        </w:r>
        <w:r>
          <w:rPr>
            <w:noProof/>
            <w:webHidden/>
          </w:rPr>
          <w:fldChar w:fldCharType="separate"/>
        </w:r>
        <w:r>
          <w:rPr>
            <w:noProof/>
            <w:webHidden/>
          </w:rPr>
          <w:t>153</w:t>
        </w:r>
        <w:r>
          <w:rPr>
            <w:noProof/>
            <w:webHidden/>
          </w:rPr>
          <w:fldChar w:fldCharType="end"/>
        </w:r>
      </w:hyperlink>
    </w:p>
    <w:p w14:paraId="57954F53" w14:textId="4FFB5C70"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43" w:history="1">
        <w:r w:rsidRPr="00A22B5E">
          <w:rPr>
            <w:rStyle w:val="Hipervnculo"/>
            <w:noProof/>
          </w:rPr>
          <w:t>Gráfica 68. Nuevos capítulos incorporados en las matrices de APSB</w:t>
        </w:r>
        <w:r>
          <w:rPr>
            <w:noProof/>
            <w:webHidden/>
          </w:rPr>
          <w:tab/>
        </w:r>
        <w:r>
          <w:rPr>
            <w:noProof/>
            <w:webHidden/>
          </w:rPr>
          <w:fldChar w:fldCharType="begin"/>
        </w:r>
        <w:r>
          <w:rPr>
            <w:noProof/>
            <w:webHidden/>
          </w:rPr>
          <w:instrText xml:space="preserve"> PAGEREF _Toc231368843 \h </w:instrText>
        </w:r>
        <w:r>
          <w:rPr>
            <w:noProof/>
            <w:webHidden/>
          </w:rPr>
        </w:r>
        <w:r>
          <w:rPr>
            <w:noProof/>
            <w:webHidden/>
          </w:rPr>
          <w:fldChar w:fldCharType="separate"/>
        </w:r>
        <w:r>
          <w:rPr>
            <w:noProof/>
            <w:webHidden/>
          </w:rPr>
          <w:t>170</w:t>
        </w:r>
        <w:r>
          <w:rPr>
            <w:noProof/>
            <w:webHidden/>
          </w:rPr>
          <w:fldChar w:fldCharType="end"/>
        </w:r>
      </w:hyperlink>
    </w:p>
    <w:p w14:paraId="1610F859" w14:textId="61F83785" w:rsidR="00825C2B" w:rsidRDefault="00825C2B">
      <w:pPr>
        <w:pStyle w:val="Tabladeilustraciones"/>
        <w:tabs>
          <w:tab w:val="right" w:leader="dot" w:pos="9629"/>
        </w:tabs>
        <w:rPr>
          <w:rFonts w:asciiTheme="minorHAnsi" w:eastAsiaTheme="minorEastAsia" w:hAnsiTheme="minorHAnsi" w:cstheme="minorBidi"/>
          <w:noProof/>
          <w:kern w:val="2"/>
          <w:sz w:val="24"/>
          <w:lang w:eastAsia="es-CO"/>
          <w14:ligatures w14:val="standardContextual"/>
        </w:rPr>
      </w:pPr>
      <w:hyperlink w:anchor="_Toc231368844" w:history="1">
        <w:r w:rsidRPr="00A22B5E">
          <w:rPr>
            <w:rStyle w:val="Hipervnculo"/>
            <w:noProof/>
          </w:rPr>
          <w:t>Gráfica 69. Capítulos propuestos en las Matrices de Experiencia del sector APSB</w:t>
        </w:r>
        <w:r>
          <w:rPr>
            <w:noProof/>
            <w:webHidden/>
          </w:rPr>
          <w:tab/>
        </w:r>
        <w:r>
          <w:rPr>
            <w:noProof/>
            <w:webHidden/>
          </w:rPr>
          <w:fldChar w:fldCharType="begin"/>
        </w:r>
        <w:r>
          <w:rPr>
            <w:noProof/>
            <w:webHidden/>
          </w:rPr>
          <w:instrText xml:space="preserve"> PAGEREF _Toc231368844 \h </w:instrText>
        </w:r>
        <w:r>
          <w:rPr>
            <w:noProof/>
            <w:webHidden/>
          </w:rPr>
        </w:r>
        <w:r>
          <w:rPr>
            <w:noProof/>
            <w:webHidden/>
          </w:rPr>
          <w:fldChar w:fldCharType="separate"/>
        </w:r>
        <w:r>
          <w:rPr>
            <w:noProof/>
            <w:webHidden/>
          </w:rPr>
          <w:t>176</w:t>
        </w:r>
        <w:r>
          <w:rPr>
            <w:noProof/>
            <w:webHidden/>
          </w:rPr>
          <w:fldChar w:fldCharType="end"/>
        </w:r>
      </w:hyperlink>
    </w:p>
    <w:p w14:paraId="65AE8742" w14:textId="241435F7" w:rsidR="00296099" w:rsidRPr="00611315" w:rsidRDefault="00E36BE1" w:rsidP="6EDC65D9">
      <w:pPr>
        <w:rPr>
          <w:rFonts w:ascii="Verdana" w:hAnsi="Verdana"/>
        </w:rPr>
      </w:pPr>
      <w:r w:rsidRPr="00611315">
        <w:rPr>
          <w:rFonts w:ascii="Verdana" w:hAnsi="Verdana"/>
        </w:rPr>
        <w:fldChar w:fldCharType="end"/>
      </w:r>
    </w:p>
    <w:p w14:paraId="28FAF8F8" w14:textId="77777777" w:rsidR="00296099" w:rsidRPr="00611315" w:rsidRDefault="00296099" w:rsidP="6EDC65D9">
      <w:pPr>
        <w:rPr>
          <w:rFonts w:ascii="Verdana" w:hAnsi="Verdana"/>
        </w:rPr>
      </w:pPr>
    </w:p>
    <w:p w14:paraId="0705094D" w14:textId="66E17EE8" w:rsidR="3504ED11" w:rsidRPr="00611315" w:rsidRDefault="3504ED11">
      <w:pPr>
        <w:rPr>
          <w:rFonts w:ascii="Verdana" w:hAnsi="Verdana"/>
        </w:rPr>
      </w:pPr>
      <w:r w:rsidRPr="00611315">
        <w:rPr>
          <w:rFonts w:ascii="Verdana" w:hAnsi="Verdana"/>
        </w:rPr>
        <w:br w:type="page"/>
      </w:r>
    </w:p>
    <w:p w14:paraId="3188EBDA" w14:textId="0BA8658A" w:rsidR="004E6AA4" w:rsidRPr="00611315" w:rsidRDefault="00853348" w:rsidP="004E6AA4">
      <w:pPr>
        <w:pStyle w:val="Ttulo1"/>
        <w:numPr>
          <w:ilvl w:val="0"/>
          <w:numId w:val="44"/>
        </w:numPr>
        <w:spacing w:after="0"/>
        <w:jc w:val="both"/>
        <w:rPr>
          <w:rFonts w:ascii="Verdana" w:eastAsia="Verdana Pro" w:hAnsi="Verdana" w:cs="Verdana Pro"/>
          <w:color w:val="auto"/>
        </w:rPr>
      </w:pPr>
      <w:bookmarkStart w:id="0" w:name="_Toc199138584"/>
      <w:bookmarkStart w:id="1" w:name="_Toc199138702"/>
      <w:bookmarkStart w:id="2" w:name="_Toc199138870"/>
      <w:bookmarkStart w:id="3" w:name="_Toc199139036"/>
      <w:bookmarkStart w:id="4" w:name="_Toc199139202"/>
      <w:bookmarkStart w:id="5" w:name="_Toc199139744"/>
      <w:bookmarkStart w:id="6" w:name="_Toc199140181"/>
      <w:bookmarkStart w:id="7" w:name="_Toc231368608"/>
      <w:bookmarkEnd w:id="0"/>
      <w:bookmarkEnd w:id="1"/>
      <w:bookmarkEnd w:id="2"/>
      <w:bookmarkEnd w:id="3"/>
      <w:bookmarkEnd w:id="4"/>
      <w:bookmarkEnd w:id="5"/>
      <w:bookmarkEnd w:id="6"/>
      <w:r w:rsidRPr="00611315">
        <w:rPr>
          <w:rFonts w:ascii="Verdana" w:eastAsia="Verdana Pro" w:hAnsi="Verdana" w:cs="Verdana Pro"/>
          <w:color w:val="auto"/>
        </w:rPr>
        <w:lastRenderedPageBreak/>
        <w:t>ASPECTOS GENERALES DEL SECTOR</w:t>
      </w:r>
      <w:bookmarkEnd w:id="7"/>
    </w:p>
    <w:p w14:paraId="65D3DAF8" w14:textId="77777777" w:rsidR="004E6AA4" w:rsidRPr="00611315" w:rsidRDefault="004E6AA4" w:rsidP="004E6AA4">
      <w:pPr>
        <w:rPr>
          <w:rFonts w:ascii="Verdana" w:eastAsia="Verdana Pro" w:hAnsi="Verdana" w:cs="Verdana Pro"/>
          <w:sz w:val="22"/>
          <w:szCs w:val="22"/>
        </w:rPr>
      </w:pPr>
    </w:p>
    <w:p w14:paraId="0B843B1C" w14:textId="13EA4BAB" w:rsidR="004E6AA4" w:rsidRPr="00611315" w:rsidRDefault="004E6AA4" w:rsidP="004E6AA4">
      <w:pPr>
        <w:pStyle w:val="Descripcin"/>
        <w:keepNext/>
        <w:jc w:val="both"/>
        <w:rPr>
          <w:rFonts w:ascii="Verdana" w:hAnsi="Verdana"/>
          <w:lang w:val="es-CO"/>
        </w:rPr>
      </w:pPr>
      <w:r w:rsidRPr="00611315">
        <w:rPr>
          <w:rFonts w:ascii="Verdana" w:eastAsia="Arial" w:hAnsi="Verdana" w:cs="Arial"/>
          <w:b w:val="0"/>
          <w:bCs w:val="0"/>
          <w:sz w:val="22"/>
          <w:szCs w:val="22"/>
          <w:lang w:val="es-CO" w:eastAsia="es-MX"/>
        </w:rPr>
        <w:t xml:space="preserve">Según la Clasificación Industrial Internacional Uniforme de todas las actividades económicas, revisión 4 adaptada para Colombia (CIIU Rev. 4 A.C), las empresas que ofrecen los servicios de obra de infraestructura de </w:t>
      </w:r>
      <w:r w:rsidR="0045013F" w:rsidRPr="00611315">
        <w:rPr>
          <w:rFonts w:ascii="Verdana" w:eastAsia="Arial" w:hAnsi="Verdana" w:cs="Arial"/>
          <w:b w:val="0"/>
          <w:bCs w:val="0"/>
          <w:sz w:val="22"/>
          <w:szCs w:val="22"/>
          <w:lang w:val="es-CO" w:eastAsia="es-MX"/>
        </w:rPr>
        <w:t>agua potable</w:t>
      </w:r>
      <w:r w:rsidRPr="00611315">
        <w:rPr>
          <w:rFonts w:ascii="Verdana" w:eastAsia="Arial" w:hAnsi="Verdana" w:cs="Arial"/>
          <w:b w:val="0"/>
          <w:bCs w:val="0"/>
          <w:sz w:val="22"/>
          <w:szCs w:val="22"/>
          <w:lang w:val="es-CO" w:eastAsia="es-MX"/>
        </w:rPr>
        <w:t xml:space="preserve"> se clasifican principalmente en los siguientes códigos CIIU y actividad económica:</w:t>
      </w:r>
    </w:p>
    <w:p w14:paraId="6ADC4609" w14:textId="59E884E3" w:rsidR="004E6AA4" w:rsidRPr="00611315" w:rsidRDefault="004E6AA4" w:rsidP="0035048A">
      <w:pPr>
        <w:pStyle w:val="Descripcin"/>
        <w:keepNext/>
        <w:jc w:val="center"/>
        <w:rPr>
          <w:rFonts w:ascii="Verdana" w:hAnsi="Verdana"/>
          <w:sz w:val="22"/>
          <w:szCs w:val="22"/>
        </w:rPr>
      </w:pPr>
      <w:bookmarkStart w:id="8" w:name="_Toc231368668"/>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382A2E" w:rsidRPr="00611315">
        <w:rPr>
          <w:rFonts w:ascii="Verdana" w:hAnsi="Verdana"/>
          <w:noProof/>
          <w:sz w:val="22"/>
          <w:szCs w:val="22"/>
        </w:rPr>
        <w:t>1</w:t>
      </w:r>
      <w:r w:rsidRPr="00611315">
        <w:rPr>
          <w:rFonts w:ascii="Verdana" w:hAnsi="Verdana"/>
          <w:sz w:val="22"/>
          <w:szCs w:val="22"/>
        </w:rPr>
        <w:fldChar w:fldCharType="end"/>
      </w:r>
      <w:r w:rsidRPr="00611315">
        <w:rPr>
          <w:rFonts w:ascii="Verdana" w:hAnsi="Verdana"/>
          <w:sz w:val="22"/>
          <w:szCs w:val="22"/>
        </w:rPr>
        <w:t>. Actividad económica- Código CIIU principal</w:t>
      </w:r>
      <w:bookmarkEnd w:id="8"/>
    </w:p>
    <w:tbl>
      <w:tblPr>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1276"/>
        <w:gridCol w:w="997"/>
        <w:gridCol w:w="6369"/>
      </w:tblGrid>
      <w:tr w:rsidR="004E6AA4" w:rsidRPr="00611315" w14:paraId="4D88E89B" w14:textId="77777777" w:rsidTr="00EE2449">
        <w:trPr>
          <w:trHeight w:val="20"/>
          <w:tblHeader/>
          <w:jc w:val="center"/>
        </w:trPr>
        <w:tc>
          <w:tcPr>
            <w:tcW w:w="8642" w:type="dxa"/>
            <w:gridSpan w:val="3"/>
            <w:shd w:val="clear" w:color="auto" w:fill="BFBFBF"/>
            <w:noWrap/>
            <w:vAlign w:val="center"/>
            <w:hideMark/>
          </w:tcPr>
          <w:p w14:paraId="1F77AF33" w14:textId="77777777" w:rsidR="004E6AA4" w:rsidRPr="00611315" w:rsidRDefault="004E6AA4" w:rsidP="00EE2449">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Clasificación CIIU Rev. 4 A.C</w:t>
            </w:r>
          </w:p>
        </w:tc>
      </w:tr>
      <w:tr w:rsidR="004E6AA4" w:rsidRPr="00611315" w14:paraId="282EA5B5" w14:textId="77777777" w:rsidTr="00EE2449">
        <w:trPr>
          <w:trHeight w:val="20"/>
          <w:jc w:val="center"/>
        </w:trPr>
        <w:tc>
          <w:tcPr>
            <w:tcW w:w="1276" w:type="dxa"/>
            <w:shd w:val="clear" w:color="auto" w:fill="D9D9D9"/>
            <w:noWrap/>
            <w:vAlign w:val="center"/>
          </w:tcPr>
          <w:p w14:paraId="18505B2D" w14:textId="77777777" w:rsidR="004E6AA4" w:rsidRPr="00611315" w:rsidRDefault="004E6AA4" w:rsidP="00EE2449">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 xml:space="preserve">SECCIÓN </w:t>
            </w:r>
          </w:p>
        </w:tc>
        <w:tc>
          <w:tcPr>
            <w:tcW w:w="997" w:type="dxa"/>
            <w:shd w:val="clear" w:color="auto" w:fill="D9D9D9"/>
            <w:noWrap/>
            <w:vAlign w:val="center"/>
          </w:tcPr>
          <w:p w14:paraId="5DC69128" w14:textId="77777777" w:rsidR="004E6AA4" w:rsidRPr="00611315" w:rsidRDefault="004E6AA4" w:rsidP="00EE2449">
            <w:pPr>
              <w:jc w:val="center"/>
              <w:rPr>
                <w:rFonts w:ascii="Verdana" w:hAnsi="Verdana" w:cs="Arial"/>
                <w:b/>
                <w:color w:val="000000"/>
                <w:sz w:val="20"/>
                <w:szCs w:val="20"/>
                <w:lang w:eastAsia="es-CO"/>
              </w:rPr>
            </w:pPr>
            <w:r w:rsidRPr="00611315">
              <w:rPr>
                <w:rFonts w:ascii="Verdana" w:hAnsi="Verdana" w:cs="Arial"/>
                <w:b/>
                <w:color w:val="000000"/>
                <w:sz w:val="20"/>
                <w:szCs w:val="20"/>
                <w:lang w:eastAsia="es-CO"/>
              </w:rPr>
              <w:t>F</w:t>
            </w:r>
          </w:p>
        </w:tc>
        <w:tc>
          <w:tcPr>
            <w:tcW w:w="6369" w:type="dxa"/>
            <w:shd w:val="clear" w:color="auto" w:fill="D9D9D9"/>
            <w:vAlign w:val="center"/>
          </w:tcPr>
          <w:p w14:paraId="25BB9422" w14:textId="77777777" w:rsidR="004E6AA4" w:rsidRPr="00611315" w:rsidRDefault="004E6AA4" w:rsidP="00EE2449">
            <w:pPr>
              <w:rPr>
                <w:rFonts w:ascii="Verdana" w:hAnsi="Verdana" w:cs="Arial"/>
                <w:b/>
                <w:bCs/>
                <w:sz w:val="20"/>
                <w:szCs w:val="20"/>
              </w:rPr>
            </w:pPr>
            <w:r w:rsidRPr="00611315">
              <w:rPr>
                <w:rFonts w:ascii="Verdana" w:hAnsi="Verdana" w:cs="Arial"/>
                <w:b/>
                <w:bCs/>
                <w:sz w:val="20"/>
                <w:szCs w:val="20"/>
              </w:rPr>
              <w:t>CONSTRUCCIÓN</w:t>
            </w:r>
          </w:p>
        </w:tc>
      </w:tr>
      <w:tr w:rsidR="004E6AA4" w:rsidRPr="00611315" w14:paraId="7DDC54EC" w14:textId="77777777" w:rsidTr="00EE2449">
        <w:trPr>
          <w:trHeight w:val="20"/>
          <w:jc w:val="center"/>
        </w:trPr>
        <w:tc>
          <w:tcPr>
            <w:tcW w:w="1276" w:type="dxa"/>
            <w:shd w:val="clear" w:color="auto" w:fill="F2F2F2" w:themeFill="background1" w:themeFillShade="F2"/>
            <w:noWrap/>
            <w:vAlign w:val="center"/>
          </w:tcPr>
          <w:p w14:paraId="6816AC4C"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
                <w:bCs/>
                <w:color w:val="000000"/>
                <w:sz w:val="20"/>
                <w:szCs w:val="20"/>
                <w:lang w:eastAsia="es-CO"/>
              </w:rPr>
              <w:t>División</w:t>
            </w:r>
          </w:p>
        </w:tc>
        <w:tc>
          <w:tcPr>
            <w:tcW w:w="997" w:type="dxa"/>
            <w:shd w:val="clear" w:color="auto" w:fill="F2F2F2" w:themeFill="background1" w:themeFillShade="F2"/>
            <w:noWrap/>
            <w:vAlign w:val="center"/>
          </w:tcPr>
          <w:p w14:paraId="48DCCB6E"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
                <w:bCs/>
                <w:color w:val="000000"/>
                <w:sz w:val="20"/>
                <w:szCs w:val="20"/>
                <w:lang w:eastAsia="es-CO"/>
              </w:rPr>
              <w:t>42</w:t>
            </w:r>
          </w:p>
        </w:tc>
        <w:tc>
          <w:tcPr>
            <w:tcW w:w="6369" w:type="dxa"/>
            <w:shd w:val="clear" w:color="auto" w:fill="F2F2F2" w:themeFill="background1" w:themeFillShade="F2"/>
            <w:vAlign w:val="center"/>
          </w:tcPr>
          <w:p w14:paraId="59752369" w14:textId="77777777" w:rsidR="004E6AA4" w:rsidRPr="00611315" w:rsidRDefault="004E6AA4" w:rsidP="00EE2449">
            <w:pPr>
              <w:rPr>
                <w:rFonts w:ascii="Verdana" w:hAnsi="Verdana" w:cs="Arial"/>
                <w:bCs/>
                <w:sz w:val="20"/>
                <w:szCs w:val="20"/>
              </w:rPr>
            </w:pPr>
            <w:r w:rsidRPr="00611315">
              <w:rPr>
                <w:rFonts w:ascii="Verdana" w:hAnsi="Verdana" w:cs="Arial"/>
                <w:b/>
                <w:bCs/>
                <w:sz w:val="20"/>
                <w:szCs w:val="20"/>
              </w:rPr>
              <w:t>Obras de ingeniería civil</w:t>
            </w:r>
          </w:p>
        </w:tc>
      </w:tr>
      <w:tr w:rsidR="004E6AA4" w:rsidRPr="00611315" w14:paraId="0041B98D" w14:textId="77777777" w:rsidTr="00EE2449">
        <w:trPr>
          <w:trHeight w:val="20"/>
          <w:jc w:val="center"/>
        </w:trPr>
        <w:tc>
          <w:tcPr>
            <w:tcW w:w="1276" w:type="dxa"/>
            <w:noWrap/>
            <w:vAlign w:val="center"/>
          </w:tcPr>
          <w:p w14:paraId="08B2E384"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997" w:type="dxa"/>
            <w:noWrap/>
            <w:vAlign w:val="center"/>
          </w:tcPr>
          <w:p w14:paraId="51CEE325"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4220</w:t>
            </w:r>
          </w:p>
        </w:tc>
        <w:tc>
          <w:tcPr>
            <w:tcW w:w="6369" w:type="dxa"/>
            <w:vAlign w:val="center"/>
          </w:tcPr>
          <w:p w14:paraId="08ECD205" w14:textId="77777777" w:rsidR="004E6AA4" w:rsidRPr="00611315" w:rsidRDefault="004E6AA4" w:rsidP="00EE2449">
            <w:pPr>
              <w:rPr>
                <w:rFonts w:ascii="Verdana" w:hAnsi="Verdana" w:cs="Arial"/>
                <w:bCs/>
                <w:sz w:val="20"/>
                <w:szCs w:val="20"/>
              </w:rPr>
            </w:pPr>
            <w:r w:rsidRPr="00611315">
              <w:rPr>
                <w:rFonts w:ascii="Verdana" w:hAnsi="Verdana" w:cs="Arial"/>
                <w:bCs/>
                <w:sz w:val="20"/>
                <w:szCs w:val="20"/>
              </w:rPr>
              <w:t>Construcción de proyectos de servicio público</w:t>
            </w:r>
          </w:p>
        </w:tc>
      </w:tr>
      <w:tr w:rsidR="004E6AA4" w:rsidRPr="00611315" w14:paraId="56C9BC84" w14:textId="77777777" w:rsidTr="00EE2449">
        <w:trPr>
          <w:trHeight w:val="20"/>
          <w:jc w:val="center"/>
        </w:trPr>
        <w:tc>
          <w:tcPr>
            <w:tcW w:w="1276" w:type="dxa"/>
            <w:noWrap/>
            <w:vAlign w:val="center"/>
          </w:tcPr>
          <w:p w14:paraId="7477FE62"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997" w:type="dxa"/>
            <w:noWrap/>
            <w:vAlign w:val="center"/>
          </w:tcPr>
          <w:p w14:paraId="3A66DD3B" w14:textId="77777777" w:rsidR="004E6AA4" w:rsidRPr="00611315" w:rsidRDefault="004E6AA4" w:rsidP="00EE2449">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4290</w:t>
            </w:r>
          </w:p>
        </w:tc>
        <w:tc>
          <w:tcPr>
            <w:tcW w:w="6369" w:type="dxa"/>
            <w:vAlign w:val="center"/>
          </w:tcPr>
          <w:p w14:paraId="1741EA64" w14:textId="77777777" w:rsidR="004E6AA4" w:rsidRPr="00611315" w:rsidRDefault="004E6AA4" w:rsidP="00EE2449">
            <w:pPr>
              <w:rPr>
                <w:rFonts w:ascii="Verdana" w:hAnsi="Verdana" w:cs="Arial"/>
                <w:bCs/>
                <w:sz w:val="20"/>
                <w:szCs w:val="20"/>
              </w:rPr>
            </w:pPr>
            <w:r w:rsidRPr="00611315">
              <w:rPr>
                <w:rFonts w:ascii="Verdana" w:hAnsi="Verdana" w:cs="Arial"/>
                <w:bCs/>
                <w:sz w:val="20"/>
                <w:szCs w:val="20"/>
              </w:rPr>
              <w:t>Construcción de otras obras de ingeniería civil</w:t>
            </w:r>
          </w:p>
        </w:tc>
      </w:tr>
    </w:tbl>
    <w:p w14:paraId="14520B04" w14:textId="6AA76F36" w:rsidR="004E6AA4" w:rsidRPr="00853348" w:rsidRDefault="004E6AA4" w:rsidP="00853348">
      <w:pPr>
        <w:pStyle w:val="Textonotapie"/>
        <w:rPr>
          <w:rFonts w:ascii="Verdana" w:eastAsia="Arial" w:hAnsi="Verdana" w:cs="Arial"/>
          <w:sz w:val="22"/>
          <w:szCs w:val="22"/>
          <w:lang w:val="es-ES"/>
        </w:rPr>
      </w:pPr>
      <w:r w:rsidRPr="00853348">
        <w:rPr>
          <w:rFonts w:ascii="Verdana" w:eastAsia="Arial" w:hAnsi="Verdana" w:cs="Arial"/>
          <w:sz w:val="22"/>
          <w:szCs w:val="22"/>
        </w:rPr>
        <w:t xml:space="preserve">Fuente: Elaboración propia a partir del documento Clasificación Industrial Internacional Uniforme de todas las actividades económicas, revisión 4 adaptada para Colombia (CIIU Rev. 4 A.C). </w:t>
      </w:r>
      <w:r w:rsidRPr="00853348">
        <w:rPr>
          <w:rFonts w:ascii="Verdana" w:hAnsi="Verdana" w:cs="Arial"/>
          <w:sz w:val="22"/>
          <w:szCs w:val="22"/>
        </w:rPr>
        <w:t xml:space="preserve">Consultado en línea </w:t>
      </w:r>
      <w:r w:rsidRPr="00853348">
        <w:rPr>
          <w:rFonts w:ascii="Verdana" w:hAnsi="Verdana" w:cs="Arial"/>
          <w:sz w:val="22"/>
          <w:szCs w:val="22"/>
          <w:lang w:val="es-ES"/>
        </w:rPr>
        <w:t xml:space="preserve">en </w:t>
      </w:r>
      <w:r w:rsidR="001B6723" w:rsidRPr="00853348">
        <w:rPr>
          <w:rFonts w:ascii="Verdana" w:hAnsi="Verdana" w:cs="Arial"/>
          <w:sz w:val="22"/>
          <w:szCs w:val="22"/>
          <w:lang w:val="es-ES"/>
        </w:rPr>
        <w:t xml:space="preserve">marzo </w:t>
      </w:r>
      <w:r w:rsidRPr="00853348">
        <w:rPr>
          <w:rFonts w:ascii="Verdana" w:hAnsi="Verdana" w:cs="Arial"/>
          <w:sz w:val="22"/>
          <w:szCs w:val="22"/>
        </w:rPr>
        <w:t>de 20</w:t>
      </w:r>
      <w:r w:rsidRPr="00853348">
        <w:rPr>
          <w:rFonts w:ascii="Verdana" w:hAnsi="Verdana" w:cs="Arial"/>
          <w:sz w:val="22"/>
          <w:szCs w:val="22"/>
          <w:lang w:val="es-ES"/>
        </w:rPr>
        <w:t>2</w:t>
      </w:r>
      <w:r w:rsidR="001B6723" w:rsidRPr="00853348">
        <w:rPr>
          <w:rFonts w:ascii="Verdana" w:hAnsi="Verdana" w:cs="Arial"/>
          <w:sz w:val="22"/>
          <w:szCs w:val="22"/>
          <w:lang w:val="es-ES"/>
        </w:rPr>
        <w:t>6</w:t>
      </w:r>
      <w:r w:rsidRPr="00853348">
        <w:rPr>
          <w:rFonts w:ascii="Verdana" w:hAnsi="Verdana" w:cs="Arial"/>
          <w:sz w:val="22"/>
          <w:szCs w:val="22"/>
        </w:rPr>
        <w:t xml:space="preserve">. Disponible en: </w:t>
      </w:r>
      <w:hyperlink r:id="rId13">
        <w:r w:rsidRPr="00853348">
          <w:rPr>
            <w:rStyle w:val="Hipervnculo"/>
            <w:rFonts w:ascii="Verdana" w:hAnsi="Verdana" w:cs="Arial"/>
            <w:color w:val="auto"/>
            <w:sz w:val="22"/>
            <w:szCs w:val="22"/>
          </w:rPr>
          <w:t>https://www.dane.gov.co/files/sen/nomenclatura/ciiu/CIIU_Rev_4_AC2022.pdf</w:t>
        </w:r>
      </w:hyperlink>
      <w:r w:rsidRPr="00853348">
        <w:rPr>
          <w:rFonts w:ascii="Verdana" w:hAnsi="Verdana" w:cs="Arial"/>
          <w:sz w:val="22"/>
          <w:szCs w:val="22"/>
          <w:lang w:val="es-ES"/>
        </w:rPr>
        <w:t xml:space="preserve"> </w:t>
      </w:r>
    </w:p>
    <w:p w14:paraId="2A7D63FC" w14:textId="77777777" w:rsidR="004E6AA4" w:rsidRPr="00611315" w:rsidRDefault="004E6AA4" w:rsidP="004E6AA4">
      <w:pPr>
        <w:rPr>
          <w:rFonts w:ascii="Verdana" w:eastAsia="Arial" w:hAnsi="Verdana" w:cs="Arial"/>
        </w:rPr>
      </w:pPr>
    </w:p>
    <w:p w14:paraId="4E29725C" w14:textId="77777777" w:rsidR="004E6AA4" w:rsidRPr="00611315" w:rsidRDefault="004E6AA4" w:rsidP="004E6AA4">
      <w:pPr>
        <w:jc w:val="both"/>
        <w:rPr>
          <w:rFonts w:ascii="Verdana" w:hAnsi="Verdana" w:cs="Arial"/>
          <w:sz w:val="22"/>
          <w:szCs w:val="22"/>
        </w:rPr>
      </w:pPr>
      <w:r w:rsidRPr="00611315">
        <w:rPr>
          <w:rFonts w:ascii="Verdana" w:hAnsi="Verdana" w:cs="Arial"/>
          <w:sz w:val="22"/>
          <w:szCs w:val="22"/>
        </w:rPr>
        <w:t>La clase 4220</w:t>
      </w:r>
      <w:r w:rsidRPr="00611315">
        <w:rPr>
          <w:rFonts w:ascii="Verdana" w:hAnsi="Verdana" w:cs="Arial"/>
          <w:b/>
          <w:bCs/>
          <w:sz w:val="22"/>
          <w:szCs w:val="22"/>
        </w:rPr>
        <w:t xml:space="preserve"> –</w:t>
      </w:r>
      <w:r w:rsidRPr="00611315">
        <w:rPr>
          <w:rFonts w:ascii="Verdana" w:hAnsi="Verdana"/>
          <w:b/>
          <w:bCs/>
          <w:sz w:val="22"/>
          <w:szCs w:val="22"/>
        </w:rPr>
        <w:t xml:space="preserve"> </w:t>
      </w:r>
      <w:r w:rsidRPr="00611315">
        <w:rPr>
          <w:rFonts w:ascii="Verdana" w:hAnsi="Verdana" w:cs="Arial"/>
          <w:b/>
          <w:bCs/>
          <w:sz w:val="22"/>
          <w:szCs w:val="22"/>
        </w:rPr>
        <w:t>Construcción de proyectos de servicio público</w:t>
      </w:r>
      <w:r w:rsidRPr="00611315">
        <w:rPr>
          <w:rFonts w:ascii="Verdana" w:hAnsi="Verdana" w:cs="Arial"/>
          <w:sz w:val="22"/>
          <w:szCs w:val="22"/>
        </w:rPr>
        <w:t>, incluye:</w:t>
      </w:r>
    </w:p>
    <w:p w14:paraId="27151129" w14:textId="77777777" w:rsidR="004E6AA4" w:rsidRPr="00611315" w:rsidRDefault="004E6AA4" w:rsidP="004E6AA4">
      <w:pPr>
        <w:jc w:val="both"/>
        <w:rPr>
          <w:rFonts w:ascii="Verdana" w:hAnsi="Verdana" w:cs="Arial"/>
          <w:sz w:val="22"/>
          <w:szCs w:val="22"/>
        </w:rPr>
      </w:pPr>
    </w:p>
    <w:p w14:paraId="6E400E49"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La construcción de obras de ingeniería civil relacionadas con:</w:t>
      </w:r>
    </w:p>
    <w:p w14:paraId="2A70EFCC"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t>- Tuberías de larga distancia y líneas de transmisión de energía eléctrica y comunicaciones.</w:t>
      </w:r>
    </w:p>
    <w:p w14:paraId="49AC2087"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t>- Tuberías urbanas, líneas urbanas de transmisión de energía eléctrica y comunicaciones; obras auxiliares en zonas urbanas.</w:t>
      </w:r>
    </w:p>
    <w:p w14:paraId="6B68B674"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t>- Construcción de conductos principales y acometidas de redes de distribución de agua.</w:t>
      </w:r>
    </w:p>
    <w:p w14:paraId="2B2C710F"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t>- Sistemas de riego (canales).</w:t>
      </w:r>
    </w:p>
    <w:p w14:paraId="62FA1C19"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La construcción de: sistemas de alcantarillado (incluida su reparación), instalaciones de evacuación de aguas residuales, estaciones de bombeo, centrales eléctricas y perforación de pozos de agua.</w:t>
      </w:r>
      <w:r w:rsidRPr="00611315">
        <w:rPr>
          <w:rStyle w:val="Refdenotaalpie"/>
          <w:rFonts w:ascii="Verdana" w:hAnsi="Verdana" w:cs="Arial"/>
          <w:i/>
          <w:iCs/>
          <w:sz w:val="22"/>
          <w:szCs w:val="22"/>
        </w:rPr>
        <w:t xml:space="preserve"> </w:t>
      </w:r>
      <w:r w:rsidRPr="00611315">
        <w:rPr>
          <w:rStyle w:val="Refdenotaalpie"/>
          <w:rFonts w:ascii="Verdana" w:hAnsi="Verdana" w:cs="Arial"/>
          <w:sz w:val="22"/>
          <w:szCs w:val="22"/>
        </w:rPr>
        <w:footnoteReference w:id="2"/>
      </w:r>
    </w:p>
    <w:p w14:paraId="3014C825" w14:textId="77777777" w:rsidR="004E6AA4" w:rsidRPr="00611315" w:rsidRDefault="004E6AA4" w:rsidP="004E6AA4">
      <w:pPr>
        <w:jc w:val="both"/>
        <w:rPr>
          <w:rFonts w:ascii="Verdana" w:hAnsi="Verdana" w:cs="Arial"/>
          <w:sz w:val="22"/>
          <w:szCs w:val="22"/>
        </w:rPr>
      </w:pPr>
    </w:p>
    <w:p w14:paraId="284EFDD9" w14:textId="77777777" w:rsidR="004E6AA4" w:rsidRPr="00611315" w:rsidRDefault="004E6AA4" w:rsidP="004E6AA4">
      <w:pPr>
        <w:jc w:val="both"/>
        <w:rPr>
          <w:rFonts w:ascii="Verdana" w:hAnsi="Verdana" w:cs="Arial"/>
          <w:sz w:val="22"/>
          <w:szCs w:val="22"/>
        </w:rPr>
      </w:pPr>
      <w:r w:rsidRPr="00611315">
        <w:rPr>
          <w:rFonts w:ascii="Verdana" w:hAnsi="Verdana" w:cs="Arial"/>
          <w:sz w:val="22"/>
          <w:szCs w:val="22"/>
        </w:rPr>
        <w:t>La clase 4290</w:t>
      </w:r>
      <w:r w:rsidRPr="00611315">
        <w:rPr>
          <w:rFonts w:ascii="Verdana" w:hAnsi="Verdana" w:cs="Arial"/>
          <w:b/>
          <w:bCs/>
          <w:sz w:val="22"/>
          <w:szCs w:val="22"/>
        </w:rPr>
        <w:t xml:space="preserve"> –</w:t>
      </w:r>
      <w:r w:rsidRPr="00611315">
        <w:rPr>
          <w:rFonts w:ascii="Verdana" w:hAnsi="Verdana"/>
          <w:b/>
          <w:bCs/>
          <w:sz w:val="22"/>
          <w:szCs w:val="22"/>
        </w:rPr>
        <w:t xml:space="preserve"> </w:t>
      </w:r>
      <w:r w:rsidRPr="00611315">
        <w:rPr>
          <w:rFonts w:ascii="Verdana" w:hAnsi="Verdana" w:cs="Arial"/>
          <w:b/>
          <w:bCs/>
          <w:sz w:val="22"/>
          <w:szCs w:val="22"/>
        </w:rPr>
        <w:t>Construcción de otras obras de ingeniería civil</w:t>
      </w:r>
      <w:r w:rsidRPr="00611315">
        <w:rPr>
          <w:rFonts w:ascii="Verdana" w:hAnsi="Verdana" w:cs="Arial"/>
          <w:sz w:val="22"/>
          <w:szCs w:val="22"/>
        </w:rPr>
        <w:t>, incluye:</w:t>
      </w:r>
    </w:p>
    <w:p w14:paraId="796D2F77" w14:textId="77777777" w:rsidR="004E6AA4" w:rsidRPr="00611315" w:rsidRDefault="004E6AA4" w:rsidP="004E6AA4">
      <w:pPr>
        <w:jc w:val="both"/>
        <w:rPr>
          <w:rFonts w:ascii="Verdana" w:hAnsi="Verdana" w:cs="Arial"/>
          <w:sz w:val="22"/>
          <w:szCs w:val="22"/>
        </w:rPr>
      </w:pPr>
    </w:p>
    <w:p w14:paraId="6CC2ECED"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La construcción, conservación y reparación de:</w:t>
      </w:r>
    </w:p>
    <w:p w14:paraId="0D083451"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lastRenderedPageBreak/>
        <w:t>- Instalaciones industriales, excepto edificios, tales como: refinerías, fábricas de productos químicos, entre otros.</w:t>
      </w:r>
    </w:p>
    <w:p w14:paraId="0ECBB06A" w14:textId="77777777" w:rsidR="004E6AA4" w:rsidRPr="00611315" w:rsidRDefault="004E6AA4" w:rsidP="004E6AA4">
      <w:pPr>
        <w:ind w:left="708"/>
        <w:jc w:val="both"/>
        <w:rPr>
          <w:rFonts w:ascii="Verdana" w:hAnsi="Verdana" w:cs="Arial"/>
          <w:i/>
          <w:iCs/>
          <w:sz w:val="22"/>
          <w:szCs w:val="22"/>
        </w:rPr>
      </w:pPr>
      <w:r w:rsidRPr="00611315">
        <w:rPr>
          <w:rFonts w:ascii="Verdana" w:hAnsi="Verdana" w:cs="Arial"/>
          <w:i/>
          <w:iCs/>
          <w:sz w:val="22"/>
          <w:szCs w:val="22"/>
        </w:rPr>
        <w:t>- Vías de navegación, obras portuarias y fluviales, puertos deportivos, esclusas, represas y diques.</w:t>
      </w:r>
    </w:p>
    <w:p w14:paraId="373B93B2"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El dragado de vías de navegación.</w:t>
      </w:r>
    </w:p>
    <w:p w14:paraId="039DEE8E"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Las obras de construcción distintas de las de edificios; por ejemplo, instalaciones deportivas o de esparcimiento al aire libre</w:t>
      </w:r>
    </w:p>
    <w:p w14:paraId="5CD57DB9" w14:textId="77777777" w:rsidR="004E6AA4" w:rsidRPr="00611315" w:rsidRDefault="004E6AA4" w:rsidP="004E6AA4">
      <w:pPr>
        <w:jc w:val="both"/>
        <w:rPr>
          <w:rFonts w:ascii="Verdana" w:hAnsi="Verdana" w:cs="Arial"/>
          <w:i/>
          <w:iCs/>
          <w:sz w:val="22"/>
          <w:szCs w:val="22"/>
        </w:rPr>
      </w:pPr>
      <w:r w:rsidRPr="00611315">
        <w:rPr>
          <w:rFonts w:ascii="Verdana" w:hAnsi="Verdana" w:cs="Arial"/>
          <w:i/>
          <w:iCs/>
          <w:sz w:val="22"/>
          <w:szCs w:val="22"/>
        </w:rPr>
        <w:t>• La subdivisión de terrenos con mejora (por ejemplo, construcción de carreteras, infraestructura de suministro público, etcétera).</w:t>
      </w:r>
      <w:r w:rsidRPr="00611315">
        <w:rPr>
          <w:rStyle w:val="Refdenotaalpie"/>
          <w:rFonts w:ascii="Verdana" w:hAnsi="Verdana" w:cs="Arial"/>
          <w:i/>
          <w:iCs/>
          <w:sz w:val="22"/>
          <w:szCs w:val="22"/>
        </w:rPr>
        <w:t xml:space="preserve"> </w:t>
      </w:r>
      <w:r w:rsidRPr="00611315">
        <w:rPr>
          <w:rStyle w:val="Refdenotaalpie"/>
          <w:rFonts w:ascii="Verdana" w:hAnsi="Verdana" w:cs="Arial"/>
          <w:sz w:val="22"/>
          <w:szCs w:val="22"/>
        </w:rPr>
        <w:footnoteReference w:id="3"/>
      </w:r>
    </w:p>
    <w:p w14:paraId="05450EA2" w14:textId="77777777" w:rsidR="004E6AA4" w:rsidRPr="00611315" w:rsidRDefault="004E6AA4" w:rsidP="004E6AA4">
      <w:pPr>
        <w:jc w:val="both"/>
        <w:rPr>
          <w:rFonts w:ascii="Verdana" w:hAnsi="Verdana" w:cs="Arial"/>
          <w:sz w:val="22"/>
          <w:szCs w:val="22"/>
        </w:rPr>
      </w:pPr>
    </w:p>
    <w:p w14:paraId="454F09F5" w14:textId="6A19895C" w:rsidR="004E6AA4" w:rsidRPr="00611315" w:rsidRDefault="004E6AA4" w:rsidP="004E6AA4">
      <w:pPr>
        <w:jc w:val="both"/>
        <w:rPr>
          <w:rFonts w:ascii="Verdana" w:hAnsi="Verdana" w:cs="Arial"/>
          <w:sz w:val="22"/>
          <w:szCs w:val="22"/>
        </w:rPr>
      </w:pPr>
      <w:r w:rsidRPr="00611315">
        <w:rPr>
          <w:rFonts w:ascii="Verdana" w:hAnsi="Verdana" w:cs="Arial"/>
          <w:sz w:val="22"/>
          <w:szCs w:val="22"/>
        </w:rPr>
        <w:t>Así mismo, es importante resaltar que</w:t>
      </w:r>
      <w:r w:rsidR="00D348DA" w:rsidRPr="00611315">
        <w:rPr>
          <w:rFonts w:ascii="Verdana" w:hAnsi="Verdana" w:cs="Arial"/>
          <w:sz w:val="22"/>
          <w:szCs w:val="22"/>
        </w:rPr>
        <w:t xml:space="preserve"> algunas</w:t>
      </w:r>
      <w:r w:rsidRPr="00611315">
        <w:rPr>
          <w:rFonts w:ascii="Verdana" w:hAnsi="Verdana" w:cs="Arial"/>
          <w:sz w:val="22"/>
          <w:szCs w:val="22"/>
        </w:rPr>
        <w:t xml:space="preserve"> empresas que prestan </w:t>
      </w:r>
      <w:r w:rsidRPr="00611315">
        <w:rPr>
          <w:rFonts w:ascii="Verdana" w:eastAsia="Arial" w:hAnsi="Verdana" w:cs="Arial"/>
          <w:sz w:val="22"/>
          <w:szCs w:val="22"/>
        </w:rPr>
        <w:t xml:space="preserve">servicios de obra de infraestructura de </w:t>
      </w:r>
      <w:r w:rsidR="00D348DA" w:rsidRPr="00611315">
        <w:rPr>
          <w:rFonts w:ascii="Verdana" w:eastAsia="Arial" w:hAnsi="Verdana" w:cs="Arial"/>
          <w:sz w:val="22"/>
          <w:szCs w:val="22"/>
        </w:rPr>
        <w:t>agua potable y saneamiento básico</w:t>
      </w:r>
      <w:r w:rsidRPr="00611315">
        <w:rPr>
          <w:rFonts w:ascii="Verdana" w:eastAsia="Arial" w:hAnsi="Verdana" w:cs="Arial"/>
          <w:sz w:val="22"/>
          <w:szCs w:val="22"/>
        </w:rPr>
        <w:t xml:space="preserve"> </w:t>
      </w:r>
      <w:r w:rsidR="00D348DA" w:rsidRPr="00611315">
        <w:rPr>
          <w:rFonts w:ascii="Verdana" w:hAnsi="Verdana" w:cs="Arial"/>
          <w:sz w:val="22"/>
          <w:szCs w:val="22"/>
        </w:rPr>
        <w:t>se encuentran</w:t>
      </w:r>
      <w:r w:rsidRPr="00611315">
        <w:rPr>
          <w:rFonts w:ascii="Verdana" w:hAnsi="Verdana" w:cs="Arial"/>
          <w:sz w:val="22"/>
          <w:szCs w:val="22"/>
        </w:rPr>
        <w:t xml:space="preserve"> clasificadas en los códigos CIIU de las siguientes divisiones:</w:t>
      </w:r>
    </w:p>
    <w:p w14:paraId="043DE32F" w14:textId="77777777" w:rsidR="004E6AA4" w:rsidRPr="00611315" w:rsidRDefault="004E6AA4" w:rsidP="004E6AA4">
      <w:pPr>
        <w:jc w:val="both"/>
        <w:rPr>
          <w:rFonts w:ascii="Verdana" w:hAnsi="Verdana" w:cs="Arial"/>
          <w:highlight w:val="yellow"/>
        </w:rPr>
      </w:pPr>
    </w:p>
    <w:p w14:paraId="55413A1F" w14:textId="77777777" w:rsidR="004E6AA4" w:rsidRPr="00611315" w:rsidRDefault="004E6AA4" w:rsidP="004E6AA4">
      <w:pPr>
        <w:jc w:val="both"/>
        <w:rPr>
          <w:rFonts w:ascii="Verdana" w:hAnsi="Verdana" w:cs="Arial"/>
          <w:highlight w:val="yellow"/>
        </w:rPr>
      </w:pPr>
    </w:p>
    <w:p w14:paraId="425F8C01" w14:textId="2512541A" w:rsidR="004E6AA4" w:rsidRPr="00611315" w:rsidRDefault="004E6AA4" w:rsidP="0035048A">
      <w:pPr>
        <w:pStyle w:val="Descripcin"/>
        <w:spacing w:after="0"/>
        <w:jc w:val="center"/>
        <w:rPr>
          <w:rFonts w:ascii="Verdana" w:hAnsi="Verdana" w:cs="Arial"/>
          <w:sz w:val="22"/>
          <w:szCs w:val="22"/>
          <w:highlight w:val="yellow"/>
        </w:rPr>
      </w:pPr>
      <w:bookmarkStart w:id="9" w:name="_Toc231368669"/>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382A2E" w:rsidRPr="00611315">
        <w:rPr>
          <w:rFonts w:ascii="Verdana" w:hAnsi="Verdana"/>
          <w:noProof/>
          <w:sz w:val="22"/>
          <w:szCs w:val="22"/>
        </w:rPr>
        <w:t>2</w:t>
      </w:r>
      <w:r w:rsidRPr="00611315">
        <w:rPr>
          <w:rFonts w:ascii="Verdana" w:hAnsi="Verdana"/>
          <w:sz w:val="22"/>
          <w:szCs w:val="22"/>
        </w:rPr>
        <w:fldChar w:fldCharType="end"/>
      </w:r>
      <w:r w:rsidRPr="00611315">
        <w:rPr>
          <w:rFonts w:ascii="Verdana" w:hAnsi="Verdana"/>
          <w:sz w:val="22"/>
          <w:szCs w:val="22"/>
        </w:rPr>
        <w:t>. Actividad económica – Código CIIU secundarios</w:t>
      </w:r>
      <w:bookmarkEnd w:id="9"/>
    </w:p>
    <w:p w14:paraId="668AECE9" w14:textId="77777777" w:rsidR="004E6AA4" w:rsidRPr="00611315" w:rsidRDefault="004E6AA4" w:rsidP="004E6AA4">
      <w:pPr>
        <w:pStyle w:val="Textonotapie"/>
        <w:rPr>
          <w:rFonts w:ascii="Verdana" w:eastAsia="Arial" w:hAnsi="Verdana" w:cs="Arial"/>
          <w:sz w:val="16"/>
          <w:szCs w:val="16"/>
        </w:rPr>
      </w:pP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84"/>
        <w:gridCol w:w="1003"/>
        <w:gridCol w:w="6415"/>
      </w:tblGrid>
      <w:tr w:rsidR="004E6AA4" w:rsidRPr="00611315" w14:paraId="3B901352" w14:textId="77777777" w:rsidTr="00954F93">
        <w:trPr>
          <w:trHeight w:val="20"/>
          <w:tblHeader/>
          <w:jc w:val="center"/>
        </w:trPr>
        <w:tc>
          <w:tcPr>
            <w:tcW w:w="8702" w:type="dxa"/>
            <w:gridSpan w:val="3"/>
            <w:shd w:val="clear" w:color="auto" w:fill="D9D9D9" w:themeFill="background1" w:themeFillShade="D9"/>
            <w:noWrap/>
            <w:vAlign w:val="center"/>
            <w:hideMark/>
          </w:tcPr>
          <w:p w14:paraId="7AAF8BB8" w14:textId="77777777" w:rsidR="004E6AA4" w:rsidRPr="00611315" w:rsidRDefault="004E6AA4" w:rsidP="00EE2449">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Clasificación CIIU Rev. 4 A.C</w:t>
            </w:r>
          </w:p>
        </w:tc>
      </w:tr>
      <w:tr w:rsidR="004E6AA4" w:rsidRPr="00611315" w14:paraId="10642BD9" w14:textId="77777777" w:rsidTr="00954F93">
        <w:trPr>
          <w:trHeight w:val="20"/>
          <w:jc w:val="center"/>
        </w:trPr>
        <w:tc>
          <w:tcPr>
            <w:tcW w:w="1284" w:type="dxa"/>
            <w:shd w:val="clear" w:color="auto" w:fill="D9D9D9" w:themeFill="background1" w:themeFillShade="D9"/>
            <w:noWrap/>
            <w:vAlign w:val="center"/>
          </w:tcPr>
          <w:p w14:paraId="214205D6" w14:textId="77777777" w:rsidR="004E6AA4" w:rsidRPr="00611315" w:rsidRDefault="004E6AA4" w:rsidP="00EE2449">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7CE69C6F" w14:textId="77777777" w:rsidR="004E6AA4" w:rsidRPr="00611315" w:rsidRDefault="004E6AA4" w:rsidP="00EE2449">
            <w:pPr>
              <w:jc w:val="center"/>
              <w:rPr>
                <w:rFonts w:ascii="Verdana" w:hAnsi="Verdana" w:cs="Arial"/>
                <w:b/>
                <w:color w:val="000000"/>
                <w:sz w:val="20"/>
                <w:szCs w:val="20"/>
                <w:lang w:eastAsia="es-CO"/>
              </w:rPr>
            </w:pPr>
            <w:r w:rsidRPr="00611315">
              <w:rPr>
                <w:rFonts w:ascii="Verdana" w:hAnsi="Verdana" w:cs="Arial"/>
                <w:b/>
                <w:color w:val="000000"/>
                <w:sz w:val="20"/>
                <w:szCs w:val="20"/>
                <w:lang w:eastAsia="es-CO"/>
              </w:rPr>
              <w:t>C</w:t>
            </w:r>
          </w:p>
        </w:tc>
        <w:tc>
          <w:tcPr>
            <w:tcW w:w="6415" w:type="dxa"/>
            <w:shd w:val="clear" w:color="auto" w:fill="D9D9D9" w:themeFill="background1" w:themeFillShade="D9"/>
            <w:vAlign w:val="center"/>
          </w:tcPr>
          <w:p w14:paraId="360C4948" w14:textId="77777777" w:rsidR="004E6AA4" w:rsidRPr="00611315" w:rsidRDefault="004E6AA4" w:rsidP="00EE2449">
            <w:pPr>
              <w:jc w:val="both"/>
              <w:rPr>
                <w:rFonts w:ascii="Verdana" w:hAnsi="Verdana" w:cs="Arial"/>
                <w:b/>
                <w:color w:val="000000"/>
                <w:sz w:val="20"/>
                <w:szCs w:val="20"/>
                <w:lang w:eastAsia="es-CO"/>
              </w:rPr>
            </w:pPr>
            <w:r w:rsidRPr="00611315">
              <w:rPr>
                <w:rFonts w:ascii="Verdana" w:hAnsi="Verdana" w:cs="Arial"/>
                <w:b/>
                <w:color w:val="000000"/>
                <w:sz w:val="20"/>
                <w:szCs w:val="20"/>
                <w:lang w:eastAsia="es-CO"/>
              </w:rPr>
              <w:t>INDUSTRIAS MANUFACTURERAS</w:t>
            </w:r>
          </w:p>
        </w:tc>
      </w:tr>
      <w:tr w:rsidR="00B1015B" w:rsidRPr="00611315" w14:paraId="2705C7B4" w14:textId="77777777" w:rsidTr="00954F93">
        <w:trPr>
          <w:trHeight w:val="20"/>
          <w:jc w:val="center"/>
        </w:trPr>
        <w:tc>
          <w:tcPr>
            <w:tcW w:w="1284" w:type="dxa"/>
            <w:noWrap/>
            <w:vAlign w:val="center"/>
          </w:tcPr>
          <w:p w14:paraId="10E85EC7" w14:textId="4B5D941E" w:rsidR="00B1015B" w:rsidRPr="00954F93" w:rsidRDefault="00B1015B" w:rsidP="00EE2449">
            <w:pPr>
              <w:jc w:val="center"/>
              <w:rPr>
                <w:rFonts w:ascii="Verdana" w:hAnsi="Verdana" w:cs="Arial"/>
                <w:color w:val="000000"/>
                <w:sz w:val="20"/>
                <w:szCs w:val="20"/>
                <w:lang w:eastAsia="es-CO"/>
              </w:rPr>
            </w:pPr>
            <w:r w:rsidRPr="00954F93">
              <w:rPr>
                <w:rFonts w:ascii="Verdana" w:hAnsi="Verdana" w:cs="Arial"/>
                <w:color w:val="000000"/>
                <w:sz w:val="20"/>
                <w:szCs w:val="20"/>
                <w:lang w:eastAsia="es-CO"/>
              </w:rPr>
              <w:t>Clase</w:t>
            </w:r>
          </w:p>
        </w:tc>
        <w:tc>
          <w:tcPr>
            <w:tcW w:w="1003" w:type="dxa"/>
            <w:noWrap/>
            <w:vAlign w:val="center"/>
          </w:tcPr>
          <w:p w14:paraId="3D88C039" w14:textId="2636943F" w:rsidR="00B1015B" w:rsidRPr="00954F93" w:rsidRDefault="00003E46" w:rsidP="00EE2449">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2511</w:t>
            </w:r>
          </w:p>
        </w:tc>
        <w:tc>
          <w:tcPr>
            <w:tcW w:w="6415" w:type="dxa"/>
            <w:vAlign w:val="center"/>
          </w:tcPr>
          <w:p w14:paraId="424332EF" w14:textId="655D9AC4" w:rsidR="00B1015B" w:rsidRPr="00954F93" w:rsidRDefault="00003E46" w:rsidP="00EE2449">
            <w:pPr>
              <w:jc w:val="both"/>
              <w:rPr>
                <w:rFonts w:ascii="Verdana" w:hAnsi="Verdana" w:cs="Arial"/>
                <w:bCs/>
                <w:color w:val="000000"/>
                <w:sz w:val="20"/>
                <w:szCs w:val="20"/>
                <w:lang w:eastAsia="es-CO"/>
              </w:rPr>
            </w:pPr>
            <w:r w:rsidRPr="00954F93">
              <w:rPr>
                <w:rFonts w:ascii="Verdana" w:hAnsi="Verdana" w:cs="Arial"/>
                <w:bCs/>
                <w:color w:val="000000"/>
                <w:sz w:val="20"/>
                <w:szCs w:val="20"/>
                <w:lang w:eastAsia="es-CO"/>
              </w:rPr>
              <w:t>Fabricación de productos metálicos para uso estructural</w:t>
            </w:r>
          </w:p>
        </w:tc>
      </w:tr>
      <w:tr w:rsidR="004E6AA4" w:rsidRPr="00611315" w14:paraId="47771418" w14:textId="77777777" w:rsidTr="00EE2449">
        <w:trPr>
          <w:trHeight w:val="20"/>
          <w:jc w:val="center"/>
        </w:trPr>
        <w:tc>
          <w:tcPr>
            <w:tcW w:w="1284" w:type="dxa"/>
            <w:noWrap/>
            <w:vAlign w:val="center"/>
          </w:tcPr>
          <w:p w14:paraId="61F7856A" w14:textId="77777777" w:rsidR="004E6AA4" w:rsidRPr="00611315" w:rsidRDefault="004E6AA4" w:rsidP="00EE2449">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Clase</w:t>
            </w:r>
          </w:p>
        </w:tc>
        <w:tc>
          <w:tcPr>
            <w:tcW w:w="1003" w:type="dxa"/>
            <w:noWrap/>
            <w:vAlign w:val="center"/>
          </w:tcPr>
          <w:p w14:paraId="6FC60F38" w14:textId="77777777" w:rsidR="004E6AA4" w:rsidRPr="00611315" w:rsidRDefault="004E6AA4" w:rsidP="00EE2449">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3312</w:t>
            </w:r>
          </w:p>
        </w:tc>
        <w:tc>
          <w:tcPr>
            <w:tcW w:w="6415" w:type="dxa"/>
            <w:vAlign w:val="center"/>
          </w:tcPr>
          <w:p w14:paraId="1C42BDC6" w14:textId="77777777" w:rsidR="004E6AA4" w:rsidRPr="00611315" w:rsidRDefault="004E6AA4" w:rsidP="00EE2449">
            <w:pPr>
              <w:jc w:val="both"/>
              <w:rPr>
                <w:rFonts w:ascii="Verdana" w:hAnsi="Verdana" w:cs="Arial"/>
                <w:color w:val="000000"/>
                <w:sz w:val="20"/>
                <w:szCs w:val="20"/>
                <w:lang w:eastAsia="es-CO"/>
              </w:rPr>
            </w:pPr>
            <w:r w:rsidRPr="00611315">
              <w:rPr>
                <w:rFonts w:ascii="Verdana" w:hAnsi="Verdana" w:cs="Arial"/>
                <w:color w:val="000000"/>
                <w:sz w:val="20"/>
                <w:szCs w:val="20"/>
                <w:lang w:eastAsia="es-CO"/>
              </w:rPr>
              <w:t>Mantenimiento y reparación especializado de maquinaria y equipo</w:t>
            </w:r>
          </w:p>
        </w:tc>
      </w:tr>
      <w:tr w:rsidR="00150446" w:rsidRPr="00611315" w14:paraId="47D3DB09" w14:textId="77777777" w:rsidTr="00EE2449">
        <w:trPr>
          <w:trHeight w:val="20"/>
          <w:jc w:val="center"/>
        </w:trPr>
        <w:tc>
          <w:tcPr>
            <w:tcW w:w="1284" w:type="dxa"/>
            <w:noWrap/>
            <w:vAlign w:val="center"/>
          </w:tcPr>
          <w:p w14:paraId="5B98ECF0" w14:textId="17CDB3FB" w:rsidR="00150446" w:rsidRPr="00954F93" w:rsidRDefault="00150446" w:rsidP="00EE2449">
            <w:pPr>
              <w:jc w:val="center"/>
              <w:rPr>
                <w:rFonts w:ascii="Verdana" w:hAnsi="Verdana" w:cs="Arial"/>
                <w:color w:val="000000"/>
                <w:sz w:val="20"/>
                <w:szCs w:val="20"/>
                <w:lang w:eastAsia="es-CO"/>
              </w:rPr>
            </w:pPr>
            <w:r w:rsidRPr="00954F93">
              <w:rPr>
                <w:rFonts w:ascii="Verdana" w:hAnsi="Verdana" w:cs="Arial"/>
                <w:color w:val="000000"/>
                <w:sz w:val="20"/>
                <w:szCs w:val="20"/>
                <w:lang w:eastAsia="es-CO"/>
              </w:rPr>
              <w:t>Clase</w:t>
            </w:r>
          </w:p>
        </w:tc>
        <w:tc>
          <w:tcPr>
            <w:tcW w:w="1003" w:type="dxa"/>
            <w:noWrap/>
            <w:vAlign w:val="center"/>
          </w:tcPr>
          <w:p w14:paraId="14C69FC3" w14:textId="6157A1D9" w:rsidR="00150446" w:rsidRPr="00954F93" w:rsidRDefault="00150446" w:rsidP="00EE2449">
            <w:pPr>
              <w:jc w:val="center"/>
              <w:rPr>
                <w:rFonts w:ascii="Verdana" w:hAnsi="Verdana" w:cs="Arial"/>
                <w:color w:val="000000"/>
                <w:sz w:val="20"/>
                <w:szCs w:val="20"/>
                <w:lang w:eastAsia="es-CO"/>
              </w:rPr>
            </w:pPr>
            <w:r w:rsidRPr="00954F93">
              <w:rPr>
                <w:rFonts w:ascii="Verdana" w:hAnsi="Verdana" w:cs="Arial"/>
                <w:color w:val="000000"/>
                <w:sz w:val="20"/>
                <w:szCs w:val="20"/>
                <w:lang w:eastAsia="es-CO"/>
              </w:rPr>
              <w:t>3314</w:t>
            </w:r>
          </w:p>
        </w:tc>
        <w:tc>
          <w:tcPr>
            <w:tcW w:w="6415" w:type="dxa"/>
            <w:vAlign w:val="center"/>
          </w:tcPr>
          <w:p w14:paraId="22EBB6E3" w14:textId="1FED2593" w:rsidR="00150446" w:rsidRPr="00954F93" w:rsidRDefault="00150446" w:rsidP="00EE2449">
            <w:pPr>
              <w:jc w:val="both"/>
              <w:rPr>
                <w:rFonts w:ascii="Verdana" w:hAnsi="Verdana" w:cs="Arial"/>
                <w:color w:val="000000"/>
                <w:sz w:val="20"/>
                <w:szCs w:val="20"/>
                <w:lang w:eastAsia="es-CO"/>
              </w:rPr>
            </w:pPr>
            <w:r w:rsidRPr="00611315">
              <w:rPr>
                <w:rFonts w:ascii="Verdana" w:hAnsi="Verdana" w:cs="Arial"/>
                <w:color w:val="000000"/>
                <w:sz w:val="20"/>
                <w:szCs w:val="20"/>
                <w:lang w:eastAsia="es-CO"/>
              </w:rPr>
              <w:t>Mantenimiento y reparación especializado de equipo eléctrico</w:t>
            </w:r>
          </w:p>
        </w:tc>
      </w:tr>
      <w:tr w:rsidR="004E6AA4" w:rsidRPr="00611315" w14:paraId="67E7412A" w14:textId="77777777" w:rsidTr="00EE2449">
        <w:trPr>
          <w:trHeight w:val="20"/>
          <w:jc w:val="center"/>
        </w:trPr>
        <w:tc>
          <w:tcPr>
            <w:tcW w:w="1284" w:type="dxa"/>
            <w:shd w:val="clear" w:color="auto" w:fill="D9D9D9" w:themeFill="background1" w:themeFillShade="D9"/>
            <w:noWrap/>
            <w:vAlign w:val="center"/>
          </w:tcPr>
          <w:p w14:paraId="3E4ABB47" w14:textId="77777777" w:rsidR="004E6AA4" w:rsidRPr="00611315" w:rsidRDefault="004E6AA4" w:rsidP="00EE2449">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53FF7579" w14:textId="049FFBCF" w:rsidR="004E6AA4" w:rsidRPr="00611315" w:rsidRDefault="00B63BDE" w:rsidP="00EE2449">
            <w:pPr>
              <w:jc w:val="center"/>
              <w:rPr>
                <w:rFonts w:ascii="Verdana" w:hAnsi="Verdana" w:cs="Arial"/>
                <w:b/>
                <w:color w:val="000000"/>
                <w:sz w:val="20"/>
                <w:szCs w:val="20"/>
                <w:lang w:eastAsia="es-CO"/>
              </w:rPr>
            </w:pPr>
            <w:r w:rsidRPr="00954F93">
              <w:rPr>
                <w:rFonts w:ascii="Verdana" w:hAnsi="Verdana" w:cs="Arial"/>
                <w:b/>
                <w:color w:val="000000"/>
                <w:sz w:val="20"/>
                <w:szCs w:val="20"/>
                <w:lang w:eastAsia="es-CO"/>
              </w:rPr>
              <w:t>E</w:t>
            </w:r>
          </w:p>
        </w:tc>
        <w:tc>
          <w:tcPr>
            <w:tcW w:w="6415" w:type="dxa"/>
            <w:shd w:val="clear" w:color="auto" w:fill="D9D9D9" w:themeFill="background1" w:themeFillShade="D9"/>
            <w:vAlign w:val="center"/>
          </w:tcPr>
          <w:p w14:paraId="0A4A8544" w14:textId="088BEA4D" w:rsidR="004E6AA4" w:rsidRPr="00611315" w:rsidRDefault="003D63E3" w:rsidP="00EE2449">
            <w:pPr>
              <w:jc w:val="both"/>
              <w:rPr>
                <w:rFonts w:ascii="Verdana" w:hAnsi="Verdana" w:cs="Arial"/>
                <w:b/>
                <w:color w:val="000000"/>
                <w:sz w:val="20"/>
                <w:szCs w:val="20"/>
                <w:lang w:eastAsia="es-CO"/>
              </w:rPr>
            </w:pPr>
            <w:r w:rsidRPr="00611315">
              <w:rPr>
                <w:rFonts w:ascii="Verdana" w:hAnsi="Verdana" w:cs="Arial"/>
                <w:b/>
                <w:color w:val="000000"/>
                <w:sz w:val="20"/>
                <w:szCs w:val="20"/>
                <w:lang w:eastAsia="es-CO"/>
              </w:rPr>
              <w:t>Distribución de agua; evacuación y tratamiento de aguas residuales, gestión de desechos y actividades de saneamiento ambiental</w:t>
            </w:r>
          </w:p>
        </w:tc>
      </w:tr>
      <w:tr w:rsidR="003D63E3" w:rsidRPr="00611315" w14:paraId="72749C91" w14:textId="77777777" w:rsidTr="00954F93">
        <w:trPr>
          <w:trHeight w:val="20"/>
          <w:jc w:val="center"/>
        </w:trPr>
        <w:tc>
          <w:tcPr>
            <w:tcW w:w="1284" w:type="dxa"/>
            <w:shd w:val="clear" w:color="auto" w:fill="FFFFFF" w:themeFill="background1"/>
            <w:noWrap/>
            <w:vAlign w:val="center"/>
          </w:tcPr>
          <w:p w14:paraId="7CFC670B" w14:textId="711453A4" w:rsidR="003D63E3" w:rsidRPr="00954F93" w:rsidRDefault="003D63E3" w:rsidP="003D63E3">
            <w:pPr>
              <w:jc w:val="center"/>
              <w:rPr>
                <w:rFonts w:ascii="Verdana" w:hAnsi="Verdana" w:cs="Arial"/>
                <w:b/>
                <w:bCs/>
                <w:color w:val="000000"/>
                <w:sz w:val="20"/>
                <w:szCs w:val="20"/>
                <w:lang w:eastAsia="es-CO"/>
              </w:rPr>
            </w:pPr>
            <w:r w:rsidRPr="00611315">
              <w:rPr>
                <w:rFonts w:ascii="Verdana" w:hAnsi="Verdana" w:cs="Arial"/>
                <w:color w:val="000000"/>
                <w:sz w:val="20"/>
                <w:szCs w:val="20"/>
                <w:lang w:eastAsia="es-CO"/>
              </w:rPr>
              <w:t>Clase</w:t>
            </w:r>
          </w:p>
        </w:tc>
        <w:tc>
          <w:tcPr>
            <w:tcW w:w="1003" w:type="dxa"/>
            <w:shd w:val="clear" w:color="auto" w:fill="FFFFFF" w:themeFill="background1"/>
            <w:noWrap/>
            <w:vAlign w:val="center"/>
          </w:tcPr>
          <w:p w14:paraId="7A0A0D60" w14:textId="1FC5FB09" w:rsidR="003D63E3" w:rsidRPr="00954F93" w:rsidRDefault="003D63E3" w:rsidP="003D63E3">
            <w:pPr>
              <w:jc w:val="center"/>
              <w:rPr>
                <w:rFonts w:ascii="Verdana" w:hAnsi="Verdana" w:cs="Arial"/>
                <w:b/>
                <w:color w:val="000000"/>
                <w:sz w:val="20"/>
                <w:szCs w:val="20"/>
                <w:lang w:eastAsia="es-CO"/>
              </w:rPr>
            </w:pPr>
            <w:r w:rsidRPr="00611315">
              <w:rPr>
                <w:rFonts w:ascii="Verdana" w:hAnsi="Verdana" w:cs="Arial"/>
                <w:color w:val="000000"/>
                <w:sz w:val="20"/>
                <w:szCs w:val="20"/>
                <w:lang w:eastAsia="es-CO"/>
              </w:rPr>
              <w:t>3600</w:t>
            </w:r>
          </w:p>
        </w:tc>
        <w:tc>
          <w:tcPr>
            <w:tcW w:w="6415" w:type="dxa"/>
            <w:shd w:val="clear" w:color="auto" w:fill="FFFFFF" w:themeFill="background1"/>
            <w:vAlign w:val="center"/>
          </w:tcPr>
          <w:p w14:paraId="6EB009CB" w14:textId="5C6DFF9A" w:rsidR="003D63E3" w:rsidRPr="00954F93" w:rsidRDefault="00723BD1" w:rsidP="003D63E3">
            <w:pPr>
              <w:jc w:val="both"/>
              <w:rPr>
                <w:rFonts w:ascii="Verdana" w:hAnsi="Verdana" w:cs="Arial"/>
                <w:b/>
                <w:color w:val="000000"/>
                <w:sz w:val="20"/>
                <w:szCs w:val="20"/>
                <w:lang w:eastAsia="es-CO"/>
              </w:rPr>
            </w:pPr>
            <w:r w:rsidRPr="00611315">
              <w:rPr>
                <w:rFonts w:ascii="Verdana" w:hAnsi="Verdana" w:cs="Arial"/>
                <w:color w:val="000000"/>
                <w:sz w:val="20"/>
                <w:szCs w:val="20"/>
                <w:lang w:eastAsia="es-CO"/>
              </w:rPr>
              <w:t>Captación, tratamiento y distribución de agua</w:t>
            </w:r>
          </w:p>
        </w:tc>
      </w:tr>
      <w:tr w:rsidR="003D63E3" w:rsidRPr="00611315" w14:paraId="689103E8" w14:textId="77777777" w:rsidTr="00EE2449">
        <w:trPr>
          <w:trHeight w:val="20"/>
          <w:jc w:val="center"/>
        </w:trPr>
        <w:tc>
          <w:tcPr>
            <w:tcW w:w="1284" w:type="dxa"/>
            <w:shd w:val="clear" w:color="auto" w:fill="D9D9D9" w:themeFill="background1" w:themeFillShade="D9"/>
            <w:noWrap/>
            <w:vAlign w:val="center"/>
          </w:tcPr>
          <w:p w14:paraId="4DC7CED4" w14:textId="07F77975" w:rsidR="003D63E3" w:rsidRPr="00954F93" w:rsidRDefault="003D63E3" w:rsidP="003D63E3">
            <w:pPr>
              <w:jc w:val="center"/>
              <w:rPr>
                <w:rFonts w:ascii="Verdana" w:hAnsi="Verdana" w:cs="Arial"/>
                <w:b/>
                <w:bCs/>
                <w:color w:val="000000"/>
                <w:sz w:val="20"/>
                <w:szCs w:val="20"/>
                <w:lang w:eastAsia="es-CO"/>
              </w:rPr>
            </w:pPr>
            <w:r w:rsidRPr="00954F93">
              <w:rPr>
                <w:rFonts w:ascii="Verdana" w:hAnsi="Verdana" w:cs="Arial"/>
                <w:b/>
                <w:bCs/>
                <w:color w:val="000000"/>
                <w:sz w:val="20"/>
                <w:szCs w:val="20"/>
                <w:lang w:eastAsia="es-CO"/>
              </w:rPr>
              <w:t>Sección</w:t>
            </w:r>
          </w:p>
        </w:tc>
        <w:tc>
          <w:tcPr>
            <w:tcW w:w="1003" w:type="dxa"/>
            <w:shd w:val="clear" w:color="auto" w:fill="D9D9D9" w:themeFill="background1" w:themeFillShade="D9"/>
            <w:noWrap/>
            <w:vAlign w:val="center"/>
          </w:tcPr>
          <w:p w14:paraId="0556869E" w14:textId="3BFB44FC" w:rsidR="003D63E3" w:rsidRPr="00954F93" w:rsidRDefault="003D63E3" w:rsidP="003D63E3">
            <w:pPr>
              <w:jc w:val="center"/>
              <w:rPr>
                <w:rFonts w:ascii="Verdana" w:hAnsi="Verdana" w:cs="Arial"/>
                <w:b/>
                <w:color w:val="000000"/>
                <w:sz w:val="20"/>
                <w:szCs w:val="20"/>
                <w:lang w:eastAsia="es-CO"/>
              </w:rPr>
            </w:pPr>
            <w:r w:rsidRPr="00954F93">
              <w:rPr>
                <w:rFonts w:ascii="Verdana" w:hAnsi="Verdana" w:cs="Arial"/>
                <w:b/>
                <w:color w:val="000000"/>
                <w:sz w:val="20"/>
                <w:szCs w:val="20"/>
                <w:lang w:eastAsia="es-CO"/>
              </w:rPr>
              <w:t>F</w:t>
            </w:r>
          </w:p>
        </w:tc>
        <w:tc>
          <w:tcPr>
            <w:tcW w:w="6415" w:type="dxa"/>
            <w:shd w:val="clear" w:color="auto" w:fill="D9D9D9" w:themeFill="background1" w:themeFillShade="D9"/>
            <w:vAlign w:val="center"/>
          </w:tcPr>
          <w:p w14:paraId="63770894" w14:textId="31925C54" w:rsidR="003D63E3" w:rsidRPr="00954F93" w:rsidRDefault="003D63E3" w:rsidP="003D63E3">
            <w:pPr>
              <w:jc w:val="both"/>
              <w:rPr>
                <w:rFonts w:ascii="Verdana" w:hAnsi="Verdana" w:cs="Arial"/>
                <w:b/>
                <w:color w:val="000000"/>
                <w:sz w:val="20"/>
                <w:szCs w:val="20"/>
                <w:lang w:eastAsia="es-CO"/>
              </w:rPr>
            </w:pPr>
            <w:r w:rsidRPr="00954F93">
              <w:rPr>
                <w:rFonts w:ascii="Verdana" w:hAnsi="Verdana" w:cs="Arial"/>
                <w:b/>
                <w:color w:val="000000"/>
                <w:sz w:val="20"/>
                <w:szCs w:val="20"/>
                <w:lang w:eastAsia="es-CO"/>
              </w:rPr>
              <w:t>Construcción</w:t>
            </w:r>
          </w:p>
        </w:tc>
      </w:tr>
      <w:tr w:rsidR="003D63E3" w:rsidRPr="00611315" w14:paraId="45645E28" w14:textId="77777777" w:rsidTr="00954F93">
        <w:trPr>
          <w:trHeight w:val="20"/>
          <w:jc w:val="center"/>
        </w:trPr>
        <w:tc>
          <w:tcPr>
            <w:tcW w:w="1284" w:type="dxa"/>
            <w:noWrap/>
            <w:vAlign w:val="center"/>
          </w:tcPr>
          <w:p w14:paraId="17CD21F2" w14:textId="78576095" w:rsidR="003D63E3" w:rsidRPr="00954F93" w:rsidRDefault="003D63E3" w:rsidP="003D63E3">
            <w:pPr>
              <w:jc w:val="center"/>
              <w:rPr>
                <w:rFonts w:ascii="Verdana" w:hAnsi="Verdana" w:cs="Arial"/>
                <w:b/>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339BF3DE" w14:textId="4B212425" w:rsidR="003D63E3" w:rsidRPr="00954F93" w:rsidRDefault="003D63E3" w:rsidP="003D63E3">
            <w:pPr>
              <w:jc w:val="center"/>
              <w:rPr>
                <w:rFonts w:ascii="Verdana" w:hAnsi="Verdana" w:cs="Arial"/>
                <w:b/>
                <w:color w:val="000000"/>
                <w:sz w:val="20"/>
                <w:szCs w:val="20"/>
                <w:lang w:eastAsia="es-CO"/>
              </w:rPr>
            </w:pPr>
            <w:r w:rsidRPr="00611315">
              <w:rPr>
                <w:rFonts w:ascii="Verdana" w:hAnsi="Verdana" w:cs="Arial"/>
                <w:bCs/>
                <w:color w:val="000000"/>
                <w:sz w:val="20"/>
                <w:szCs w:val="20"/>
                <w:lang w:eastAsia="es-CO"/>
              </w:rPr>
              <w:t>4111</w:t>
            </w:r>
          </w:p>
        </w:tc>
        <w:tc>
          <w:tcPr>
            <w:tcW w:w="6415" w:type="dxa"/>
            <w:vAlign w:val="center"/>
          </w:tcPr>
          <w:p w14:paraId="00E752E9" w14:textId="51748E8F" w:rsidR="003D63E3" w:rsidRPr="00954F93" w:rsidRDefault="003D63E3" w:rsidP="003D63E3">
            <w:pPr>
              <w:jc w:val="both"/>
              <w:rPr>
                <w:rFonts w:ascii="Verdana" w:hAnsi="Verdana" w:cs="Arial"/>
                <w:b/>
                <w:color w:val="000000"/>
                <w:sz w:val="20"/>
                <w:szCs w:val="20"/>
                <w:lang w:eastAsia="es-CO"/>
              </w:rPr>
            </w:pPr>
            <w:r w:rsidRPr="00611315">
              <w:rPr>
                <w:rFonts w:ascii="Verdana" w:hAnsi="Verdana" w:cs="Arial"/>
                <w:bCs/>
                <w:sz w:val="20"/>
                <w:szCs w:val="20"/>
              </w:rPr>
              <w:t>Construcción de edificios residenciales</w:t>
            </w:r>
          </w:p>
        </w:tc>
      </w:tr>
      <w:tr w:rsidR="003D63E3" w:rsidRPr="00611315" w14:paraId="5FC793FF" w14:textId="77777777" w:rsidTr="00954F93">
        <w:trPr>
          <w:trHeight w:val="20"/>
          <w:jc w:val="center"/>
        </w:trPr>
        <w:tc>
          <w:tcPr>
            <w:tcW w:w="1284" w:type="dxa"/>
            <w:noWrap/>
            <w:vAlign w:val="center"/>
          </w:tcPr>
          <w:p w14:paraId="62E3F74D" w14:textId="7F8DEC19" w:rsidR="003D63E3" w:rsidRPr="00954F93" w:rsidRDefault="003D63E3" w:rsidP="003D63E3">
            <w:pPr>
              <w:jc w:val="center"/>
              <w:rPr>
                <w:rFonts w:ascii="Verdana" w:hAnsi="Verdana" w:cs="Arial"/>
                <w:b/>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5E93204F" w14:textId="02A7675C" w:rsidR="003D63E3" w:rsidRPr="00954F93" w:rsidRDefault="003D63E3" w:rsidP="003D63E3">
            <w:pPr>
              <w:jc w:val="center"/>
              <w:rPr>
                <w:rFonts w:ascii="Verdana" w:hAnsi="Verdana" w:cs="Arial"/>
                <w:b/>
                <w:color w:val="000000"/>
                <w:sz w:val="20"/>
                <w:szCs w:val="20"/>
                <w:lang w:eastAsia="es-CO"/>
              </w:rPr>
            </w:pPr>
            <w:r w:rsidRPr="00611315">
              <w:rPr>
                <w:rFonts w:ascii="Verdana" w:hAnsi="Verdana" w:cs="Arial"/>
                <w:bCs/>
                <w:color w:val="000000"/>
                <w:sz w:val="20"/>
                <w:szCs w:val="20"/>
                <w:lang w:eastAsia="es-CO"/>
              </w:rPr>
              <w:t>4112</w:t>
            </w:r>
          </w:p>
        </w:tc>
        <w:tc>
          <w:tcPr>
            <w:tcW w:w="6415" w:type="dxa"/>
            <w:vAlign w:val="center"/>
          </w:tcPr>
          <w:p w14:paraId="4D4B60A6" w14:textId="6B34D3AA" w:rsidR="003D63E3" w:rsidRPr="00954F93" w:rsidRDefault="003D63E3" w:rsidP="003D63E3">
            <w:pPr>
              <w:jc w:val="both"/>
              <w:rPr>
                <w:rFonts w:ascii="Verdana" w:hAnsi="Verdana" w:cs="Arial"/>
                <w:b/>
                <w:color w:val="000000"/>
                <w:sz w:val="20"/>
                <w:szCs w:val="20"/>
                <w:lang w:eastAsia="es-CO"/>
              </w:rPr>
            </w:pPr>
            <w:r w:rsidRPr="00611315">
              <w:rPr>
                <w:rFonts w:ascii="Verdana" w:hAnsi="Verdana" w:cs="Arial"/>
                <w:bCs/>
                <w:sz w:val="20"/>
                <w:szCs w:val="20"/>
              </w:rPr>
              <w:t>Construcción de edificios no residenciales</w:t>
            </w:r>
          </w:p>
        </w:tc>
      </w:tr>
      <w:tr w:rsidR="003D63E3" w:rsidRPr="00611315" w14:paraId="246285E1" w14:textId="77777777" w:rsidTr="00EE2449">
        <w:trPr>
          <w:trHeight w:val="20"/>
          <w:jc w:val="center"/>
        </w:trPr>
        <w:tc>
          <w:tcPr>
            <w:tcW w:w="1284" w:type="dxa"/>
            <w:noWrap/>
            <w:vAlign w:val="center"/>
          </w:tcPr>
          <w:p w14:paraId="6CA3C99E" w14:textId="77777777" w:rsidR="003D63E3" w:rsidRPr="00611315" w:rsidRDefault="003D63E3" w:rsidP="003D63E3">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Clase</w:t>
            </w:r>
          </w:p>
        </w:tc>
        <w:tc>
          <w:tcPr>
            <w:tcW w:w="1003" w:type="dxa"/>
            <w:noWrap/>
            <w:vAlign w:val="center"/>
          </w:tcPr>
          <w:p w14:paraId="627AB273" w14:textId="77777777" w:rsidR="003D63E3" w:rsidRPr="00611315" w:rsidRDefault="003D63E3" w:rsidP="003D63E3">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4210</w:t>
            </w:r>
          </w:p>
        </w:tc>
        <w:tc>
          <w:tcPr>
            <w:tcW w:w="6415" w:type="dxa"/>
            <w:vAlign w:val="center"/>
          </w:tcPr>
          <w:p w14:paraId="181CCFF4" w14:textId="77777777" w:rsidR="003D63E3" w:rsidRPr="00611315" w:rsidRDefault="003D63E3" w:rsidP="003D63E3">
            <w:pPr>
              <w:rPr>
                <w:rFonts w:ascii="Verdana" w:hAnsi="Verdana" w:cs="Arial"/>
                <w:bCs/>
                <w:color w:val="000000"/>
                <w:sz w:val="20"/>
                <w:szCs w:val="20"/>
                <w:lang w:eastAsia="es-CO"/>
              </w:rPr>
            </w:pPr>
            <w:r w:rsidRPr="00611315">
              <w:rPr>
                <w:rFonts w:ascii="Verdana" w:hAnsi="Verdana" w:cs="Arial"/>
                <w:bCs/>
                <w:color w:val="000000"/>
                <w:sz w:val="20"/>
                <w:szCs w:val="20"/>
                <w:lang w:eastAsia="es-CO"/>
              </w:rPr>
              <w:t>Construcción de carreteras y vías de ferrocarril</w:t>
            </w:r>
          </w:p>
        </w:tc>
      </w:tr>
      <w:tr w:rsidR="003D63E3" w:rsidRPr="00611315" w14:paraId="40305A47" w14:textId="77777777" w:rsidTr="00EE2449">
        <w:trPr>
          <w:trHeight w:val="20"/>
          <w:jc w:val="center"/>
        </w:trPr>
        <w:tc>
          <w:tcPr>
            <w:tcW w:w="1284" w:type="dxa"/>
            <w:noWrap/>
            <w:vAlign w:val="center"/>
          </w:tcPr>
          <w:p w14:paraId="03A09422" w14:textId="77777777" w:rsidR="003D63E3" w:rsidRPr="00611315" w:rsidRDefault="003D63E3" w:rsidP="003D63E3">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425F8902" w14:textId="77777777" w:rsidR="003D63E3" w:rsidRPr="00611315" w:rsidRDefault="003D63E3" w:rsidP="003D63E3">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4321</w:t>
            </w:r>
          </w:p>
        </w:tc>
        <w:tc>
          <w:tcPr>
            <w:tcW w:w="6415" w:type="dxa"/>
            <w:vAlign w:val="center"/>
          </w:tcPr>
          <w:p w14:paraId="6617F574" w14:textId="77777777" w:rsidR="003D63E3" w:rsidRPr="00611315" w:rsidRDefault="003D63E3" w:rsidP="003D63E3">
            <w:pPr>
              <w:rPr>
                <w:rFonts w:ascii="Verdana" w:hAnsi="Verdana" w:cs="Arial"/>
                <w:sz w:val="20"/>
                <w:szCs w:val="20"/>
              </w:rPr>
            </w:pPr>
            <w:r w:rsidRPr="00611315">
              <w:rPr>
                <w:rFonts w:ascii="Verdana" w:hAnsi="Verdana" w:cs="Arial"/>
                <w:sz w:val="20"/>
                <w:szCs w:val="20"/>
              </w:rPr>
              <w:t>Instalaciones eléctricas</w:t>
            </w:r>
          </w:p>
        </w:tc>
      </w:tr>
      <w:tr w:rsidR="00FC1580" w:rsidRPr="00611315" w14:paraId="6B8BF8FF" w14:textId="77777777" w:rsidTr="00EE2449">
        <w:trPr>
          <w:trHeight w:val="20"/>
          <w:jc w:val="center"/>
        </w:trPr>
        <w:tc>
          <w:tcPr>
            <w:tcW w:w="1284" w:type="dxa"/>
            <w:noWrap/>
            <w:vAlign w:val="center"/>
          </w:tcPr>
          <w:p w14:paraId="5278F3CE" w14:textId="01C5D9A6" w:rsidR="00FC1580" w:rsidRPr="00954F93" w:rsidRDefault="00FC1580" w:rsidP="00FC1580">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Clase</w:t>
            </w:r>
          </w:p>
        </w:tc>
        <w:tc>
          <w:tcPr>
            <w:tcW w:w="1003" w:type="dxa"/>
            <w:noWrap/>
            <w:vAlign w:val="center"/>
          </w:tcPr>
          <w:p w14:paraId="052E1568" w14:textId="6E6306B4" w:rsidR="00FC1580" w:rsidRPr="00954F93" w:rsidRDefault="00FC1580" w:rsidP="00FC1580">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4322</w:t>
            </w:r>
          </w:p>
        </w:tc>
        <w:tc>
          <w:tcPr>
            <w:tcW w:w="6415" w:type="dxa"/>
            <w:vAlign w:val="center"/>
          </w:tcPr>
          <w:p w14:paraId="53F7FC04" w14:textId="6FBA282B" w:rsidR="00FC1580" w:rsidRPr="00954F93" w:rsidRDefault="00FC1580" w:rsidP="00FC1580">
            <w:pPr>
              <w:rPr>
                <w:rFonts w:ascii="Verdana" w:hAnsi="Verdana" w:cs="Arial"/>
                <w:sz w:val="20"/>
                <w:szCs w:val="20"/>
              </w:rPr>
            </w:pPr>
            <w:r w:rsidRPr="00611315">
              <w:rPr>
                <w:rFonts w:ascii="Verdana" w:hAnsi="Verdana" w:cs="Arial"/>
                <w:sz w:val="20"/>
                <w:szCs w:val="20"/>
              </w:rPr>
              <w:t>Instalaciones de fontanería, calefacción y aire acondicionado</w:t>
            </w:r>
          </w:p>
        </w:tc>
      </w:tr>
      <w:tr w:rsidR="00FC1580" w:rsidRPr="00611315" w14:paraId="34C805E5" w14:textId="77777777" w:rsidTr="00EE2449">
        <w:trPr>
          <w:trHeight w:val="20"/>
          <w:jc w:val="center"/>
        </w:trPr>
        <w:tc>
          <w:tcPr>
            <w:tcW w:w="1284" w:type="dxa"/>
            <w:noWrap/>
            <w:vAlign w:val="center"/>
          </w:tcPr>
          <w:p w14:paraId="1A04284B" w14:textId="77777777" w:rsidR="00FC1580" w:rsidRPr="00611315" w:rsidRDefault="00FC1580" w:rsidP="00FC1580">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2C8A7833" w14:textId="77777777" w:rsidR="00FC1580" w:rsidRPr="00611315" w:rsidRDefault="00FC1580" w:rsidP="00FC1580">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4330</w:t>
            </w:r>
          </w:p>
        </w:tc>
        <w:tc>
          <w:tcPr>
            <w:tcW w:w="6415" w:type="dxa"/>
            <w:vAlign w:val="center"/>
          </w:tcPr>
          <w:p w14:paraId="573203C8" w14:textId="77777777" w:rsidR="00FC1580" w:rsidRPr="00611315" w:rsidRDefault="00FC1580" w:rsidP="00FC1580">
            <w:pPr>
              <w:rPr>
                <w:rFonts w:ascii="Verdana" w:hAnsi="Verdana" w:cs="Arial"/>
                <w:sz w:val="20"/>
                <w:szCs w:val="20"/>
              </w:rPr>
            </w:pPr>
            <w:r w:rsidRPr="00611315">
              <w:rPr>
                <w:rFonts w:ascii="Verdana" w:hAnsi="Verdana" w:cs="Arial"/>
                <w:sz w:val="20"/>
                <w:szCs w:val="20"/>
              </w:rPr>
              <w:t>Terminación y acabado de edificios y obras de ingeniería civil</w:t>
            </w:r>
          </w:p>
        </w:tc>
      </w:tr>
      <w:tr w:rsidR="00FC1580" w:rsidRPr="00611315" w14:paraId="4DFAE13B" w14:textId="77777777" w:rsidTr="00EE2449">
        <w:trPr>
          <w:trHeight w:val="20"/>
          <w:jc w:val="center"/>
        </w:trPr>
        <w:tc>
          <w:tcPr>
            <w:tcW w:w="1284" w:type="dxa"/>
            <w:noWrap/>
            <w:vAlign w:val="center"/>
          </w:tcPr>
          <w:p w14:paraId="7896EDCA" w14:textId="77777777" w:rsidR="00FC1580" w:rsidRPr="00611315" w:rsidRDefault="00FC1580" w:rsidP="00FC1580">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512D6926" w14:textId="77777777" w:rsidR="00FC1580" w:rsidRPr="00611315" w:rsidRDefault="00FC1580" w:rsidP="00FC1580">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4390</w:t>
            </w:r>
          </w:p>
        </w:tc>
        <w:tc>
          <w:tcPr>
            <w:tcW w:w="6415" w:type="dxa"/>
            <w:vAlign w:val="center"/>
          </w:tcPr>
          <w:p w14:paraId="5627BFEE" w14:textId="77777777" w:rsidR="00FC1580" w:rsidRPr="00611315" w:rsidRDefault="00FC1580" w:rsidP="00FC1580">
            <w:pPr>
              <w:rPr>
                <w:rFonts w:ascii="Verdana" w:hAnsi="Verdana" w:cs="Arial"/>
                <w:sz w:val="20"/>
                <w:szCs w:val="20"/>
              </w:rPr>
            </w:pPr>
            <w:r w:rsidRPr="00611315">
              <w:rPr>
                <w:rFonts w:ascii="Verdana" w:hAnsi="Verdana" w:cs="Arial"/>
                <w:sz w:val="20"/>
                <w:szCs w:val="20"/>
              </w:rPr>
              <w:t>Otras actividades especializadas para la construcción de edificios y obras de ingeniería civil</w:t>
            </w:r>
          </w:p>
        </w:tc>
      </w:tr>
      <w:tr w:rsidR="00FC1580" w:rsidRPr="00611315" w14:paraId="6C76FABF" w14:textId="77777777" w:rsidTr="00954F93">
        <w:trPr>
          <w:trHeight w:val="20"/>
          <w:jc w:val="center"/>
        </w:trPr>
        <w:tc>
          <w:tcPr>
            <w:tcW w:w="1284" w:type="dxa"/>
            <w:shd w:val="clear" w:color="auto" w:fill="D9D9D9" w:themeFill="background1" w:themeFillShade="D9"/>
            <w:noWrap/>
            <w:vAlign w:val="center"/>
          </w:tcPr>
          <w:p w14:paraId="2C9F711F" w14:textId="77777777" w:rsidR="00FC1580" w:rsidRPr="00611315" w:rsidRDefault="00FC1580" w:rsidP="00FC1580">
            <w:pPr>
              <w:jc w:val="center"/>
              <w:rPr>
                <w:rFonts w:ascii="Verdana" w:hAnsi="Verdana" w:cs="Arial"/>
                <w:bCs/>
                <w:color w:val="000000"/>
                <w:sz w:val="20"/>
                <w:szCs w:val="20"/>
                <w:lang w:eastAsia="es-CO"/>
              </w:rPr>
            </w:pPr>
            <w:r w:rsidRPr="00611315">
              <w:rPr>
                <w:rFonts w:ascii="Verdana" w:hAnsi="Verdana" w:cs="Arial"/>
                <w:b/>
                <w:bCs/>
                <w:color w:val="000000"/>
                <w:sz w:val="20"/>
                <w:szCs w:val="20"/>
                <w:lang w:eastAsia="es-CO"/>
              </w:rPr>
              <w:t>Sección</w:t>
            </w:r>
          </w:p>
        </w:tc>
        <w:tc>
          <w:tcPr>
            <w:tcW w:w="1003" w:type="dxa"/>
            <w:tcBorders>
              <w:bottom w:val="single" w:sz="4" w:space="0" w:color="auto"/>
            </w:tcBorders>
            <w:shd w:val="clear" w:color="auto" w:fill="D9D9D9" w:themeFill="background1" w:themeFillShade="D9"/>
            <w:noWrap/>
            <w:vAlign w:val="center"/>
          </w:tcPr>
          <w:p w14:paraId="7BC3802F" w14:textId="0C2113B6" w:rsidR="00FC1580" w:rsidRPr="00954F93" w:rsidRDefault="00B32E4E" w:rsidP="00FC1580">
            <w:pPr>
              <w:jc w:val="center"/>
              <w:rPr>
                <w:rFonts w:ascii="Verdana" w:hAnsi="Verdana" w:cs="Arial"/>
                <w:b/>
                <w:color w:val="000000"/>
                <w:sz w:val="20"/>
                <w:szCs w:val="20"/>
                <w:lang w:eastAsia="es-CO"/>
              </w:rPr>
            </w:pPr>
            <w:r w:rsidRPr="00611315">
              <w:rPr>
                <w:rFonts w:ascii="Verdana" w:hAnsi="Verdana" w:cs="Arial"/>
                <w:b/>
                <w:color w:val="000000"/>
                <w:sz w:val="20"/>
                <w:szCs w:val="20"/>
                <w:lang w:eastAsia="es-CO"/>
              </w:rPr>
              <w:t>G</w:t>
            </w:r>
          </w:p>
        </w:tc>
        <w:tc>
          <w:tcPr>
            <w:tcW w:w="6415" w:type="dxa"/>
            <w:tcBorders>
              <w:bottom w:val="single" w:sz="4" w:space="0" w:color="auto"/>
            </w:tcBorders>
            <w:shd w:val="clear" w:color="auto" w:fill="D9D9D9" w:themeFill="background1" w:themeFillShade="D9"/>
            <w:vAlign w:val="center"/>
          </w:tcPr>
          <w:p w14:paraId="161987AF" w14:textId="6BFDF5CC" w:rsidR="00FC1580" w:rsidRPr="00611315" w:rsidRDefault="00F05C2C" w:rsidP="00FC1580">
            <w:pPr>
              <w:rPr>
                <w:rFonts w:ascii="Verdana" w:hAnsi="Verdana" w:cs="Arial"/>
                <w:b/>
                <w:bCs/>
                <w:sz w:val="20"/>
                <w:szCs w:val="20"/>
              </w:rPr>
            </w:pPr>
            <w:r w:rsidRPr="00611315">
              <w:rPr>
                <w:rFonts w:ascii="Verdana" w:hAnsi="Verdana" w:cs="Arial"/>
                <w:b/>
                <w:bCs/>
                <w:sz w:val="20"/>
                <w:szCs w:val="20"/>
              </w:rPr>
              <w:t xml:space="preserve">Comercio al por mayor y al por menor; reparación de vehículos automotores y motocicletas </w:t>
            </w:r>
          </w:p>
        </w:tc>
      </w:tr>
      <w:tr w:rsidR="009206DF" w:rsidRPr="00611315" w14:paraId="0E994D79" w14:textId="77777777" w:rsidTr="00954F93">
        <w:trPr>
          <w:trHeight w:val="20"/>
          <w:jc w:val="center"/>
        </w:trPr>
        <w:tc>
          <w:tcPr>
            <w:tcW w:w="1284" w:type="dxa"/>
            <w:shd w:val="clear" w:color="auto" w:fill="FFFFFF" w:themeFill="background1"/>
            <w:noWrap/>
            <w:vAlign w:val="center"/>
          </w:tcPr>
          <w:p w14:paraId="29A54A0F" w14:textId="241CA6A4" w:rsidR="009206DF" w:rsidRPr="00954F93" w:rsidRDefault="009206DF" w:rsidP="009206DF">
            <w:pPr>
              <w:jc w:val="center"/>
              <w:rPr>
                <w:rFonts w:ascii="Verdana" w:hAnsi="Verdana" w:cs="Arial"/>
                <w:color w:val="000000"/>
                <w:sz w:val="20"/>
                <w:szCs w:val="20"/>
                <w:lang w:eastAsia="es-CO"/>
              </w:rPr>
            </w:pPr>
            <w:r w:rsidRPr="00954F93">
              <w:rPr>
                <w:rFonts w:ascii="Verdana" w:hAnsi="Verdana" w:cs="Arial"/>
                <w:color w:val="000000"/>
                <w:sz w:val="20"/>
                <w:szCs w:val="20"/>
                <w:lang w:eastAsia="es-CO"/>
              </w:rPr>
              <w:lastRenderedPageBreak/>
              <w:t>Clase</w:t>
            </w:r>
          </w:p>
        </w:tc>
        <w:tc>
          <w:tcPr>
            <w:tcW w:w="1003" w:type="dxa"/>
            <w:tcBorders>
              <w:top w:val="single" w:sz="4" w:space="0" w:color="auto"/>
              <w:left w:val="nil"/>
              <w:bottom w:val="single" w:sz="4" w:space="0" w:color="auto"/>
              <w:right w:val="single" w:sz="4" w:space="0" w:color="auto"/>
            </w:tcBorders>
            <w:noWrap/>
            <w:vAlign w:val="center"/>
          </w:tcPr>
          <w:p w14:paraId="4516EF4D" w14:textId="661B0BB4" w:rsidR="009206DF" w:rsidRPr="00954F93" w:rsidRDefault="009206DF" w:rsidP="009206DF">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4659</w:t>
            </w:r>
          </w:p>
        </w:tc>
        <w:tc>
          <w:tcPr>
            <w:tcW w:w="6415" w:type="dxa"/>
            <w:tcBorders>
              <w:top w:val="single" w:sz="4" w:space="0" w:color="auto"/>
              <w:left w:val="single" w:sz="4" w:space="0" w:color="auto"/>
              <w:bottom w:val="single" w:sz="4" w:space="0" w:color="auto"/>
              <w:right w:val="single" w:sz="4" w:space="0" w:color="auto"/>
            </w:tcBorders>
            <w:vAlign w:val="bottom"/>
          </w:tcPr>
          <w:p w14:paraId="1BE72C40" w14:textId="63718EB7" w:rsidR="009206DF" w:rsidRPr="00954F93" w:rsidDel="00B32E4E" w:rsidRDefault="009206DF" w:rsidP="009206DF">
            <w:pPr>
              <w:rPr>
                <w:rFonts w:ascii="Verdana" w:hAnsi="Verdana" w:cs="Arial"/>
                <w:bCs/>
                <w:color w:val="000000"/>
                <w:sz w:val="20"/>
                <w:szCs w:val="20"/>
                <w:lang w:eastAsia="es-CO"/>
              </w:rPr>
            </w:pPr>
            <w:r w:rsidRPr="00954F93">
              <w:rPr>
                <w:rFonts w:ascii="Verdana" w:hAnsi="Verdana" w:cs="Arial"/>
                <w:bCs/>
                <w:color w:val="000000"/>
                <w:sz w:val="20"/>
                <w:szCs w:val="20"/>
                <w:lang w:eastAsia="es-CO"/>
              </w:rPr>
              <w:t xml:space="preserve">Comercio al por mayor de otros tipos de maquinaria y equipo </w:t>
            </w:r>
            <w:proofErr w:type="spellStart"/>
            <w:r w:rsidRPr="00954F93">
              <w:rPr>
                <w:rFonts w:ascii="Verdana" w:hAnsi="Verdana" w:cs="Arial"/>
                <w:bCs/>
                <w:color w:val="000000"/>
                <w:sz w:val="20"/>
                <w:szCs w:val="20"/>
                <w:lang w:eastAsia="es-CO"/>
              </w:rPr>
              <w:t>n.c.p</w:t>
            </w:r>
            <w:proofErr w:type="spellEnd"/>
            <w:r w:rsidRPr="00954F93">
              <w:rPr>
                <w:rFonts w:ascii="Verdana" w:hAnsi="Verdana" w:cs="Arial"/>
                <w:bCs/>
                <w:color w:val="000000"/>
                <w:sz w:val="20"/>
                <w:szCs w:val="20"/>
                <w:lang w:eastAsia="es-CO"/>
              </w:rPr>
              <w:t>.</w:t>
            </w:r>
          </w:p>
        </w:tc>
      </w:tr>
      <w:tr w:rsidR="009206DF" w:rsidRPr="00611315" w14:paraId="6434E8AE" w14:textId="77777777" w:rsidTr="00954F93">
        <w:trPr>
          <w:trHeight w:val="20"/>
          <w:jc w:val="center"/>
        </w:trPr>
        <w:tc>
          <w:tcPr>
            <w:tcW w:w="1284" w:type="dxa"/>
            <w:shd w:val="clear" w:color="auto" w:fill="FFFFFF" w:themeFill="background1"/>
            <w:noWrap/>
            <w:vAlign w:val="center"/>
          </w:tcPr>
          <w:p w14:paraId="565CE1D5" w14:textId="7E141731" w:rsidR="009206DF" w:rsidRPr="00611315" w:rsidRDefault="009206DF" w:rsidP="009206DF">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Clase</w:t>
            </w:r>
          </w:p>
        </w:tc>
        <w:tc>
          <w:tcPr>
            <w:tcW w:w="1003" w:type="dxa"/>
            <w:tcBorders>
              <w:top w:val="single" w:sz="4" w:space="0" w:color="auto"/>
              <w:left w:val="nil"/>
              <w:bottom w:val="single" w:sz="4" w:space="0" w:color="auto"/>
              <w:right w:val="single" w:sz="4" w:space="0" w:color="auto"/>
            </w:tcBorders>
            <w:noWrap/>
            <w:vAlign w:val="center"/>
          </w:tcPr>
          <w:p w14:paraId="44507B79" w14:textId="5B9ECE94" w:rsidR="009206DF" w:rsidRPr="00954F93" w:rsidRDefault="009206DF" w:rsidP="009206DF">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4663</w:t>
            </w:r>
          </w:p>
        </w:tc>
        <w:tc>
          <w:tcPr>
            <w:tcW w:w="6415" w:type="dxa"/>
            <w:tcBorders>
              <w:top w:val="single" w:sz="4" w:space="0" w:color="auto"/>
              <w:left w:val="single" w:sz="4" w:space="0" w:color="auto"/>
              <w:bottom w:val="single" w:sz="4" w:space="0" w:color="auto"/>
              <w:right w:val="single" w:sz="4" w:space="0" w:color="auto"/>
            </w:tcBorders>
            <w:vAlign w:val="bottom"/>
          </w:tcPr>
          <w:p w14:paraId="5E9DBBA7" w14:textId="51958203" w:rsidR="009206DF" w:rsidRPr="00954F93" w:rsidDel="00B32E4E" w:rsidRDefault="009206DF" w:rsidP="009206DF">
            <w:pPr>
              <w:rPr>
                <w:rFonts w:ascii="Verdana" w:hAnsi="Verdana" w:cs="Arial"/>
                <w:bCs/>
                <w:color w:val="000000"/>
                <w:sz w:val="20"/>
                <w:szCs w:val="20"/>
                <w:lang w:eastAsia="es-CO"/>
              </w:rPr>
            </w:pPr>
            <w:r w:rsidRPr="00954F93">
              <w:rPr>
                <w:rFonts w:ascii="Verdana" w:hAnsi="Verdana" w:cs="Arial"/>
                <w:bCs/>
                <w:color w:val="000000"/>
                <w:sz w:val="20"/>
                <w:szCs w:val="20"/>
                <w:lang w:eastAsia="es-CO"/>
              </w:rPr>
              <w:t>Comercio al por mayor de materiales de construcción, artículos de ferretería, pinturas, productos de vidrio, equipo y materiales de fontanería y calefacción</w:t>
            </w:r>
          </w:p>
        </w:tc>
      </w:tr>
      <w:tr w:rsidR="009206DF" w:rsidRPr="00611315" w14:paraId="77516D61" w14:textId="77777777" w:rsidTr="00954F93">
        <w:trPr>
          <w:trHeight w:val="20"/>
          <w:jc w:val="center"/>
        </w:trPr>
        <w:tc>
          <w:tcPr>
            <w:tcW w:w="1284" w:type="dxa"/>
            <w:shd w:val="clear" w:color="auto" w:fill="FFFFFF" w:themeFill="background1"/>
            <w:noWrap/>
            <w:vAlign w:val="center"/>
          </w:tcPr>
          <w:p w14:paraId="3FA396D2" w14:textId="63CAA537" w:rsidR="009206DF" w:rsidRPr="00611315" w:rsidRDefault="009206DF" w:rsidP="009206DF">
            <w:pPr>
              <w:jc w:val="center"/>
              <w:rPr>
                <w:rFonts w:ascii="Verdana" w:hAnsi="Verdana" w:cs="Arial"/>
                <w:b/>
                <w:bCs/>
                <w:color w:val="000000"/>
                <w:sz w:val="20"/>
                <w:szCs w:val="20"/>
                <w:lang w:eastAsia="es-CO"/>
              </w:rPr>
            </w:pPr>
            <w:r w:rsidRPr="00611315">
              <w:rPr>
                <w:rFonts w:ascii="Verdana" w:hAnsi="Verdana" w:cs="Arial"/>
                <w:color w:val="000000"/>
                <w:sz w:val="20"/>
                <w:szCs w:val="20"/>
                <w:lang w:eastAsia="es-CO"/>
              </w:rPr>
              <w:t>Clase</w:t>
            </w:r>
          </w:p>
        </w:tc>
        <w:tc>
          <w:tcPr>
            <w:tcW w:w="1003" w:type="dxa"/>
            <w:tcBorders>
              <w:top w:val="single" w:sz="4" w:space="0" w:color="auto"/>
              <w:left w:val="nil"/>
              <w:bottom w:val="single" w:sz="4" w:space="0" w:color="auto"/>
              <w:right w:val="single" w:sz="4" w:space="0" w:color="auto"/>
            </w:tcBorders>
            <w:noWrap/>
            <w:vAlign w:val="center"/>
          </w:tcPr>
          <w:p w14:paraId="01DDD1C8" w14:textId="65FA898B" w:rsidR="009206DF" w:rsidRPr="00954F93" w:rsidRDefault="009206DF" w:rsidP="009206DF">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4690</w:t>
            </w:r>
          </w:p>
        </w:tc>
        <w:tc>
          <w:tcPr>
            <w:tcW w:w="6415" w:type="dxa"/>
            <w:tcBorders>
              <w:top w:val="single" w:sz="4" w:space="0" w:color="auto"/>
              <w:left w:val="single" w:sz="4" w:space="0" w:color="auto"/>
              <w:bottom w:val="single" w:sz="4" w:space="0" w:color="auto"/>
              <w:right w:val="single" w:sz="4" w:space="0" w:color="auto"/>
            </w:tcBorders>
            <w:vAlign w:val="bottom"/>
          </w:tcPr>
          <w:p w14:paraId="35C590D1" w14:textId="5659823E" w:rsidR="009206DF" w:rsidRPr="00954F93" w:rsidDel="00B32E4E" w:rsidRDefault="009206DF" w:rsidP="009206DF">
            <w:pPr>
              <w:rPr>
                <w:rFonts w:ascii="Verdana" w:hAnsi="Verdana" w:cs="Arial"/>
                <w:bCs/>
                <w:color w:val="000000"/>
                <w:sz w:val="20"/>
                <w:szCs w:val="20"/>
                <w:lang w:eastAsia="es-CO"/>
              </w:rPr>
            </w:pPr>
            <w:r w:rsidRPr="00954F93">
              <w:rPr>
                <w:rFonts w:ascii="Verdana" w:hAnsi="Verdana" w:cs="Arial"/>
                <w:bCs/>
                <w:color w:val="000000"/>
                <w:sz w:val="20"/>
                <w:szCs w:val="20"/>
                <w:lang w:eastAsia="es-CO"/>
              </w:rPr>
              <w:t>Comercio al por mayor no especializado</w:t>
            </w:r>
          </w:p>
        </w:tc>
      </w:tr>
      <w:tr w:rsidR="009206DF" w:rsidRPr="00611315" w14:paraId="64E3801A" w14:textId="77777777" w:rsidTr="00954F93">
        <w:trPr>
          <w:trHeight w:val="20"/>
          <w:jc w:val="center"/>
        </w:trPr>
        <w:tc>
          <w:tcPr>
            <w:tcW w:w="1284" w:type="dxa"/>
            <w:shd w:val="clear" w:color="auto" w:fill="D9D9D9" w:themeFill="background1" w:themeFillShade="D9"/>
            <w:noWrap/>
            <w:vAlign w:val="center"/>
          </w:tcPr>
          <w:p w14:paraId="23F9C248" w14:textId="13AA3021" w:rsidR="009206DF" w:rsidRPr="00611315" w:rsidRDefault="009206DF" w:rsidP="009206DF">
            <w:pPr>
              <w:jc w:val="center"/>
              <w:rPr>
                <w:rFonts w:ascii="Verdana" w:hAnsi="Verdana" w:cs="Arial"/>
                <w:b/>
                <w:bCs/>
                <w:color w:val="000000"/>
                <w:sz w:val="20"/>
                <w:szCs w:val="20"/>
                <w:lang w:eastAsia="es-CO"/>
              </w:rPr>
            </w:pPr>
            <w:r w:rsidRPr="00611315">
              <w:rPr>
                <w:rFonts w:ascii="Verdana" w:hAnsi="Verdana" w:cs="Arial"/>
                <w:b/>
                <w:bCs/>
                <w:color w:val="000000"/>
                <w:sz w:val="20"/>
                <w:szCs w:val="20"/>
                <w:lang w:eastAsia="es-CO"/>
              </w:rPr>
              <w:t>Sección</w:t>
            </w:r>
          </w:p>
        </w:tc>
        <w:tc>
          <w:tcPr>
            <w:tcW w:w="1003" w:type="dxa"/>
            <w:tcBorders>
              <w:top w:val="single" w:sz="4" w:space="0" w:color="auto"/>
            </w:tcBorders>
            <w:shd w:val="clear" w:color="auto" w:fill="D9D9D9" w:themeFill="background1" w:themeFillShade="D9"/>
            <w:noWrap/>
            <w:vAlign w:val="center"/>
          </w:tcPr>
          <w:p w14:paraId="3F9EFDC7" w14:textId="03050D9A" w:rsidR="009206DF" w:rsidRPr="00611315" w:rsidRDefault="009206DF" w:rsidP="009206DF">
            <w:pPr>
              <w:jc w:val="center"/>
              <w:rPr>
                <w:rFonts w:ascii="Verdana" w:hAnsi="Verdana" w:cs="Arial"/>
                <w:b/>
                <w:color w:val="000000"/>
                <w:sz w:val="20"/>
                <w:szCs w:val="20"/>
                <w:lang w:eastAsia="es-CO"/>
              </w:rPr>
            </w:pPr>
            <w:r w:rsidRPr="00611315">
              <w:rPr>
                <w:rFonts w:ascii="Verdana" w:hAnsi="Verdana" w:cs="Arial"/>
                <w:b/>
                <w:color w:val="000000"/>
                <w:sz w:val="20"/>
                <w:szCs w:val="20"/>
                <w:lang w:eastAsia="es-CO"/>
              </w:rPr>
              <w:t>M</w:t>
            </w:r>
          </w:p>
        </w:tc>
        <w:tc>
          <w:tcPr>
            <w:tcW w:w="6415" w:type="dxa"/>
            <w:tcBorders>
              <w:top w:val="single" w:sz="4" w:space="0" w:color="auto"/>
            </w:tcBorders>
            <w:shd w:val="clear" w:color="auto" w:fill="D9D9D9" w:themeFill="background1" w:themeFillShade="D9"/>
            <w:vAlign w:val="center"/>
          </w:tcPr>
          <w:p w14:paraId="517A88EB" w14:textId="73E7757B" w:rsidR="009206DF" w:rsidRPr="00611315" w:rsidRDefault="009206DF" w:rsidP="009206DF">
            <w:pPr>
              <w:rPr>
                <w:rFonts w:ascii="Verdana" w:hAnsi="Verdana" w:cs="Arial"/>
                <w:b/>
                <w:bCs/>
                <w:sz w:val="20"/>
                <w:szCs w:val="20"/>
              </w:rPr>
            </w:pPr>
            <w:r w:rsidRPr="00611315">
              <w:rPr>
                <w:rFonts w:ascii="Verdana" w:hAnsi="Verdana" w:cs="Arial"/>
                <w:b/>
                <w:bCs/>
                <w:sz w:val="20"/>
                <w:szCs w:val="20"/>
              </w:rPr>
              <w:t>Actividades Profesionales, Científicas Y Técnicas</w:t>
            </w:r>
          </w:p>
        </w:tc>
      </w:tr>
      <w:tr w:rsidR="009206DF" w:rsidRPr="00611315" w14:paraId="44F05B06" w14:textId="77777777" w:rsidTr="00954F93">
        <w:trPr>
          <w:trHeight w:val="20"/>
          <w:jc w:val="center"/>
        </w:trPr>
        <w:tc>
          <w:tcPr>
            <w:tcW w:w="1284" w:type="dxa"/>
            <w:shd w:val="clear" w:color="auto" w:fill="FFFFFF" w:themeFill="background1"/>
            <w:noWrap/>
            <w:vAlign w:val="center"/>
          </w:tcPr>
          <w:p w14:paraId="082810CA" w14:textId="0EF5A4C1" w:rsidR="009206DF" w:rsidRPr="00611315" w:rsidRDefault="009206DF" w:rsidP="009206DF">
            <w:pPr>
              <w:jc w:val="center"/>
              <w:rPr>
                <w:rFonts w:ascii="Verdana" w:hAnsi="Verdana" w:cs="Arial"/>
                <w:b/>
                <w:bCs/>
                <w:color w:val="000000"/>
                <w:sz w:val="20"/>
                <w:szCs w:val="20"/>
                <w:lang w:eastAsia="es-CO"/>
              </w:rPr>
            </w:pPr>
            <w:r w:rsidRPr="00611315">
              <w:rPr>
                <w:rFonts w:ascii="Verdana" w:hAnsi="Verdana" w:cs="Arial"/>
                <w:bCs/>
                <w:color w:val="000000"/>
                <w:sz w:val="20"/>
                <w:szCs w:val="20"/>
                <w:lang w:eastAsia="es-CO"/>
              </w:rPr>
              <w:t>Clase</w:t>
            </w:r>
          </w:p>
        </w:tc>
        <w:tc>
          <w:tcPr>
            <w:tcW w:w="1003" w:type="dxa"/>
            <w:shd w:val="clear" w:color="auto" w:fill="FFFFFF" w:themeFill="background1"/>
            <w:noWrap/>
            <w:vAlign w:val="center"/>
          </w:tcPr>
          <w:p w14:paraId="0418BE4C" w14:textId="540E9A7D" w:rsidR="009206DF" w:rsidRPr="00611315" w:rsidRDefault="009206DF" w:rsidP="009206DF">
            <w:pPr>
              <w:jc w:val="center"/>
              <w:rPr>
                <w:rFonts w:ascii="Verdana" w:hAnsi="Verdana" w:cs="Arial"/>
                <w:b/>
                <w:color w:val="000000"/>
                <w:sz w:val="20"/>
                <w:szCs w:val="20"/>
                <w:lang w:eastAsia="es-CO"/>
              </w:rPr>
            </w:pPr>
            <w:r w:rsidRPr="00611315">
              <w:rPr>
                <w:rFonts w:ascii="Verdana" w:hAnsi="Verdana" w:cs="Arial"/>
                <w:bCs/>
                <w:color w:val="000000"/>
                <w:sz w:val="20"/>
                <w:szCs w:val="20"/>
                <w:lang w:eastAsia="es-CO"/>
              </w:rPr>
              <w:t>7020</w:t>
            </w:r>
          </w:p>
        </w:tc>
        <w:tc>
          <w:tcPr>
            <w:tcW w:w="6415" w:type="dxa"/>
            <w:shd w:val="clear" w:color="auto" w:fill="FFFFFF" w:themeFill="background1"/>
            <w:vAlign w:val="center"/>
          </w:tcPr>
          <w:p w14:paraId="444923D4" w14:textId="65A78B05" w:rsidR="009206DF" w:rsidRPr="00611315" w:rsidRDefault="009206DF" w:rsidP="009206DF">
            <w:pPr>
              <w:rPr>
                <w:rFonts w:ascii="Verdana" w:hAnsi="Verdana" w:cs="Arial"/>
                <w:b/>
                <w:bCs/>
                <w:sz w:val="20"/>
                <w:szCs w:val="20"/>
              </w:rPr>
            </w:pPr>
            <w:r w:rsidRPr="00611315">
              <w:rPr>
                <w:rFonts w:ascii="Verdana" w:hAnsi="Verdana" w:cs="Arial"/>
                <w:sz w:val="20"/>
                <w:szCs w:val="20"/>
              </w:rPr>
              <w:t>Actividades de consultaría de gestión</w:t>
            </w:r>
          </w:p>
        </w:tc>
      </w:tr>
      <w:tr w:rsidR="009206DF" w:rsidRPr="00611315" w14:paraId="3C32DDD6" w14:textId="77777777" w:rsidTr="00EE2449">
        <w:trPr>
          <w:trHeight w:val="20"/>
          <w:jc w:val="center"/>
        </w:trPr>
        <w:tc>
          <w:tcPr>
            <w:tcW w:w="1284" w:type="dxa"/>
            <w:noWrap/>
            <w:vAlign w:val="center"/>
          </w:tcPr>
          <w:p w14:paraId="40792E27" w14:textId="77777777" w:rsidR="009206DF" w:rsidRPr="00611315" w:rsidRDefault="009206DF" w:rsidP="009206DF">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noWrap/>
            <w:vAlign w:val="center"/>
          </w:tcPr>
          <w:p w14:paraId="03EC65B0" w14:textId="77777777" w:rsidR="009206DF" w:rsidRPr="00611315" w:rsidRDefault="009206DF" w:rsidP="009206DF">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7110</w:t>
            </w:r>
          </w:p>
        </w:tc>
        <w:tc>
          <w:tcPr>
            <w:tcW w:w="6415" w:type="dxa"/>
            <w:vAlign w:val="center"/>
          </w:tcPr>
          <w:p w14:paraId="1F05CA69" w14:textId="77777777" w:rsidR="009206DF" w:rsidRPr="00611315" w:rsidRDefault="009206DF" w:rsidP="009206DF">
            <w:pPr>
              <w:jc w:val="both"/>
              <w:rPr>
                <w:rFonts w:ascii="Verdana" w:hAnsi="Verdana" w:cs="Arial"/>
                <w:sz w:val="20"/>
                <w:szCs w:val="20"/>
              </w:rPr>
            </w:pPr>
            <w:r w:rsidRPr="00611315">
              <w:rPr>
                <w:rFonts w:ascii="Verdana" w:hAnsi="Verdana" w:cs="Arial"/>
                <w:sz w:val="20"/>
                <w:szCs w:val="20"/>
              </w:rPr>
              <w:t>Actividades de arquitectura e ingeniería y otras actividades conexas de consultoría técnica</w:t>
            </w:r>
          </w:p>
        </w:tc>
      </w:tr>
      <w:tr w:rsidR="009206DF" w:rsidRPr="00611315" w14:paraId="5BF18BA7" w14:textId="77777777" w:rsidTr="00EE2449">
        <w:trPr>
          <w:trHeight w:val="20"/>
          <w:jc w:val="center"/>
        </w:trPr>
        <w:tc>
          <w:tcPr>
            <w:tcW w:w="1284" w:type="dxa"/>
            <w:noWrap/>
            <w:vAlign w:val="center"/>
          </w:tcPr>
          <w:p w14:paraId="06751D5B" w14:textId="77777777" w:rsidR="009206DF" w:rsidRPr="00611315" w:rsidRDefault="009206DF" w:rsidP="009206DF">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Clase</w:t>
            </w:r>
          </w:p>
        </w:tc>
        <w:tc>
          <w:tcPr>
            <w:tcW w:w="1003" w:type="dxa"/>
            <w:noWrap/>
            <w:vAlign w:val="center"/>
          </w:tcPr>
          <w:p w14:paraId="55F3F1E4" w14:textId="77777777" w:rsidR="009206DF" w:rsidRPr="00611315" w:rsidRDefault="009206DF" w:rsidP="009206DF">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7111</w:t>
            </w:r>
          </w:p>
        </w:tc>
        <w:tc>
          <w:tcPr>
            <w:tcW w:w="6415" w:type="dxa"/>
            <w:vAlign w:val="center"/>
          </w:tcPr>
          <w:p w14:paraId="0A939CC3" w14:textId="77777777" w:rsidR="009206DF" w:rsidRPr="00611315" w:rsidRDefault="009206DF" w:rsidP="009206DF">
            <w:pPr>
              <w:jc w:val="both"/>
              <w:rPr>
                <w:rFonts w:ascii="Verdana" w:hAnsi="Verdana" w:cs="Arial"/>
                <w:bCs/>
                <w:color w:val="000000"/>
                <w:sz w:val="20"/>
                <w:szCs w:val="20"/>
                <w:lang w:eastAsia="es-CO"/>
              </w:rPr>
            </w:pPr>
            <w:r w:rsidRPr="00611315">
              <w:rPr>
                <w:rFonts w:ascii="Verdana" w:hAnsi="Verdana" w:cs="Arial"/>
                <w:bCs/>
                <w:color w:val="000000"/>
                <w:sz w:val="20"/>
                <w:szCs w:val="20"/>
                <w:lang w:eastAsia="es-CO"/>
              </w:rPr>
              <w:t>Actividades de arquitectura</w:t>
            </w:r>
          </w:p>
        </w:tc>
      </w:tr>
      <w:tr w:rsidR="009206DF" w:rsidRPr="00611315" w14:paraId="4F4C1277" w14:textId="77777777" w:rsidTr="00EE2449">
        <w:trPr>
          <w:trHeight w:val="20"/>
          <w:jc w:val="center"/>
        </w:trPr>
        <w:tc>
          <w:tcPr>
            <w:tcW w:w="1284" w:type="dxa"/>
            <w:noWrap/>
            <w:vAlign w:val="center"/>
          </w:tcPr>
          <w:p w14:paraId="5C8762F4" w14:textId="77777777" w:rsidR="009206DF" w:rsidRPr="00611315" w:rsidRDefault="009206DF" w:rsidP="009206DF">
            <w:pPr>
              <w:jc w:val="center"/>
              <w:rPr>
                <w:rFonts w:ascii="Verdana" w:hAnsi="Verdana" w:cs="Arial"/>
                <w:color w:val="000000"/>
                <w:sz w:val="20"/>
                <w:szCs w:val="20"/>
                <w:lang w:eastAsia="es-CO"/>
              </w:rPr>
            </w:pPr>
            <w:r w:rsidRPr="00611315">
              <w:rPr>
                <w:rFonts w:ascii="Verdana" w:hAnsi="Verdana" w:cs="Arial"/>
                <w:color w:val="000000"/>
                <w:sz w:val="20"/>
                <w:szCs w:val="20"/>
                <w:lang w:eastAsia="es-CO"/>
              </w:rPr>
              <w:t>Clase</w:t>
            </w:r>
          </w:p>
        </w:tc>
        <w:tc>
          <w:tcPr>
            <w:tcW w:w="1003" w:type="dxa"/>
            <w:noWrap/>
            <w:vAlign w:val="center"/>
          </w:tcPr>
          <w:p w14:paraId="50EC09F3" w14:textId="77777777" w:rsidR="009206DF" w:rsidRPr="00611315" w:rsidRDefault="009206DF" w:rsidP="009206DF">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7112</w:t>
            </w:r>
          </w:p>
        </w:tc>
        <w:tc>
          <w:tcPr>
            <w:tcW w:w="6415" w:type="dxa"/>
            <w:vAlign w:val="center"/>
          </w:tcPr>
          <w:p w14:paraId="0A468AEB" w14:textId="77777777" w:rsidR="009206DF" w:rsidRPr="00611315" w:rsidRDefault="009206DF" w:rsidP="009206DF">
            <w:pPr>
              <w:jc w:val="both"/>
              <w:rPr>
                <w:rFonts w:ascii="Verdana" w:hAnsi="Verdana" w:cs="Arial"/>
                <w:bCs/>
                <w:color w:val="000000"/>
                <w:sz w:val="20"/>
                <w:szCs w:val="20"/>
                <w:lang w:eastAsia="es-CO"/>
              </w:rPr>
            </w:pPr>
            <w:r w:rsidRPr="00611315">
              <w:rPr>
                <w:rFonts w:ascii="Verdana" w:hAnsi="Verdana" w:cs="Arial"/>
                <w:bCs/>
                <w:color w:val="000000"/>
                <w:sz w:val="20"/>
                <w:szCs w:val="20"/>
                <w:lang w:eastAsia="es-CO"/>
              </w:rPr>
              <w:t>Actividades de ingeniería y otras actividades conexas de consultoría</w:t>
            </w:r>
          </w:p>
        </w:tc>
      </w:tr>
      <w:tr w:rsidR="00900C34" w:rsidRPr="00611315" w14:paraId="225CE716" w14:textId="77777777" w:rsidTr="00954F93">
        <w:trPr>
          <w:trHeight w:val="20"/>
          <w:jc w:val="center"/>
        </w:trPr>
        <w:tc>
          <w:tcPr>
            <w:tcW w:w="1284" w:type="dxa"/>
            <w:tcBorders>
              <w:bottom w:val="single" w:sz="4" w:space="0" w:color="auto"/>
            </w:tcBorders>
            <w:shd w:val="clear" w:color="auto" w:fill="D9D9D9" w:themeFill="background1" w:themeFillShade="D9"/>
            <w:noWrap/>
            <w:vAlign w:val="center"/>
          </w:tcPr>
          <w:p w14:paraId="18238D3C" w14:textId="26A7FA09" w:rsidR="00900C34" w:rsidRPr="00611315" w:rsidRDefault="00900C34" w:rsidP="00900C34">
            <w:pPr>
              <w:jc w:val="center"/>
              <w:rPr>
                <w:rFonts w:ascii="Verdana" w:hAnsi="Verdana" w:cs="Arial"/>
                <w:color w:val="000000"/>
                <w:sz w:val="20"/>
                <w:szCs w:val="20"/>
                <w:lang w:eastAsia="es-CO"/>
              </w:rPr>
            </w:pPr>
            <w:r w:rsidRPr="00611315">
              <w:rPr>
                <w:rFonts w:ascii="Verdana" w:hAnsi="Verdana" w:cs="Arial"/>
                <w:b/>
                <w:bCs/>
                <w:color w:val="000000"/>
                <w:sz w:val="20"/>
                <w:szCs w:val="20"/>
                <w:lang w:eastAsia="es-CO"/>
              </w:rPr>
              <w:t>Sección</w:t>
            </w:r>
          </w:p>
        </w:tc>
        <w:tc>
          <w:tcPr>
            <w:tcW w:w="1003" w:type="dxa"/>
            <w:tcBorders>
              <w:bottom w:val="single" w:sz="4" w:space="0" w:color="auto"/>
            </w:tcBorders>
            <w:shd w:val="clear" w:color="auto" w:fill="D9D9D9" w:themeFill="background1" w:themeFillShade="D9"/>
            <w:noWrap/>
            <w:vAlign w:val="center"/>
          </w:tcPr>
          <w:p w14:paraId="26EE0792" w14:textId="500CD373" w:rsidR="00900C34" w:rsidRPr="00954F93" w:rsidRDefault="00900C34" w:rsidP="00900C34">
            <w:pPr>
              <w:jc w:val="center"/>
              <w:rPr>
                <w:rFonts w:ascii="Verdana" w:hAnsi="Verdana" w:cs="Arial"/>
                <w:b/>
                <w:color w:val="000000"/>
                <w:sz w:val="20"/>
                <w:szCs w:val="20"/>
                <w:lang w:eastAsia="es-CO"/>
              </w:rPr>
            </w:pPr>
            <w:r w:rsidRPr="00954F93">
              <w:rPr>
                <w:rFonts w:ascii="Verdana" w:hAnsi="Verdana" w:cs="Arial"/>
                <w:b/>
                <w:color w:val="000000"/>
                <w:sz w:val="20"/>
                <w:szCs w:val="20"/>
                <w:lang w:eastAsia="es-CO"/>
              </w:rPr>
              <w:t>N</w:t>
            </w:r>
          </w:p>
        </w:tc>
        <w:tc>
          <w:tcPr>
            <w:tcW w:w="6415" w:type="dxa"/>
            <w:tcBorders>
              <w:bottom w:val="single" w:sz="4" w:space="0" w:color="auto"/>
            </w:tcBorders>
            <w:shd w:val="clear" w:color="auto" w:fill="D9D9D9" w:themeFill="background1" w:themeFillShade="D9"/>
            <w:vAlign w:val="center"/>
          </w:tcPr>
          <w:p w14:paraId="14A53E8A" w14:textId="09C6B82F" w:rsidR="00900C34" w:rsidRPr="00611315" w:rsidRDefault="00900C34" w:rsidP="00900C34">
            <w:pPr>
              <w:jc w:val="both"/>
              <w:rPr>
                <w:rFonts w:ascii="Verdana" w:hAnsi="Verdana" w:cs="Arial"/>
                <w:bCs/>
                <w:color w:val="000000"/>
                <w:sz w:val="20"/>
                <w:szCs w:val="20"/>
                <w:lang w:eastAsia="es-CO"/>
              </w:rPr>
            </w:pPr>
          </w:p>
        </w:tc>
      </w:tr>
      <w:tr w:rsidR="00D348DA" w:rsidRPr="00611315" w14:paraId="7B627DE1" w14:textId="77777777" w:rsidTr="00954F93">
        <w:trPr>
          <w:trHeight w:val="20"/>
          <w:jc w:val="center"/>
        </w:trPr>
        <w:tc>
          <w:tcPr>
            <w:tcW w:w="1284" w:type="dxa"/>
            <w:tcBorders>
              <w:top w:val="single" w:sz="4" w:space="0" w:color="auto"/>
              <w:bottom w:val="single" w:sz="4" w:space="0" w:color="auto"/>
              <w:right w:val="single" w:sz="4" w:space="0" w:color="auto"/>
            </w:tcBorders>
            <w:noWrap/>
            <w:vAlign w:val="center"/>
          </w:tcPr>
          <w:p w14:paraId="3BABC5BE" w14:textId="307072F5" w:rsidR="00D348DA" w:rsidRPr="00611315" w:rsidRDefault="00D348DA" w:rsidP="00D348DA">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 xml:space="preserve">Clase </w:t>
            </w:r>
          </w:p>
        </w:tc>
        <w:tc>
          <w:tcPr>
            <w:tcW w:w="1003" w:type="dxa"/>
            <w:tcBorders>
              <w:top w:val="single" w:sz="4" w:space="0" w:color="auto"/>
              <w:left w:val="single" w:sz="4" w:space="0" w:color="auto"/>
              <w:bottom w:val="single" w:sz="4" w:space="0" w:color="auto"/>
              <w:right w:val="single" w:sz="4" w:space="0" w:color="auto"/>
            </w:tcBorders>
            <w:noWrap/>
            <w:vAlign w:val="bottom"/>
          </w:tcPr>
          <w:p w14:paraId="47CDCE48" w14:textId="70351197" w:rsidR="00D348DA" w:rsidRPr="00611315" w:rsidRDefault="00D348DA" w:rsidP="00D348DA">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8129</w:t>
            </w:r>
          </w:p>
        </w:tc>
        <w:tc>
          <w:tcPr>
            <w:tcW w:w="6415" w:type="dxa"/>
            <w:tcBorders>
              <w:top w:val="single" w:sz="4" w:space="0" w:color="auto"/>
              <w:left w:val="single" w:sz="4" w:space="0" w:color="auto"/>
              <w:bottom w:val="single" w:sz="4" w:space="0" w:color="auto"/>
              <w:right w:val="single" w:sz="4" w:space="0" w:color="auto"/>
            </w:tcBorders>
            <w:vAlign w:val="bottom"/>
          </w:tcPr>
          <w:p w14:paraId="3D6F8C34" w14:textId="107F9874" w:rsidR="00D348DA" w:rsidRPr="00611315" w:rsidRDefault="00D348DA" w:rsidP="00D348DA">
            <w:pPr>
              <w:jc w:val="both"/>
              <w:rPr>
                <w:rFonts w:ascii="Verdana" w:hAnsi="Verdana" w:cs="Arial"/>
                <w:bCs/>
                <w:color w:val="000000"/>
                <w:sz w:val="20"/>
                <w:szCs w:val="20"/>
                <w:lang w:eastAsia="es-CO"/>
              </w:rPr>
            </w:pPr>
            <w:r w:rsidRPr="00954F93">
              <w:rPr>
                <w:rFonts w:ascii="Verdana" w:hAnsi="Verdana" w:cs="Arial"/>
                <w:bCs/>
                <w:color w:val="000000"/>
                <w:sz w:val="20"/>
                <w:szCs w:val="20"/>
                <w:lang w:eastAsia="es-CO"/>
              </w:rPr>
              <w:t>Otras actividades de limpieza de edificios e instalaciones industriales</w:t>
            </w:r>
          </w:p>
        </w:tc>
      </w:tr>
      <w:tr w:rsidR="00D348DA" w:rsidRPr="00611315" w14:paraId="1419EFF8" w14:textId="77777777" w:rsidTr="00954F93">
        <w:trPr>
          <w:trHeight w:val="20"/>
          <w:jc w:val="center"/>
        </w:trPr>
        <w:tc>
          <w:tcPr>
            <w:tcW w:w="1284" w:type="dxa"/>
            <w:tcBorders>
              <w:top w:val="single" w:sz="4" w:space="0" w:color="auto"/>
              <w:bottom w:val="single" w:sz="4" w:space="0" w:color="auto"/>
              <w:right w:val="single" w:sz="4" w:space="0" w:color="auto"/>
            </w:tcBorders>
            <w:noWrap/>
            <w:vAlign w:val="center"/>
          </w:tcPr>
          <w:p w14:paraId="76323A7D" w14:textId="0C095ACD" w:rsidR="00D348DA" w:rsidRPr="00611315" w:rsidRDefault="00D348DA" w:rsidP="00D348DA">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tcBorders>
              <w:top w:val="single" w:sz="4" w:space="0" w:color="auto"/>
              <w:left w:val="single" w:sz="4" w:space="0" w:color="auto"/>
              <w:bottom w:val="single" w:sz="4" w:space="0" w:color="auto"/>
              <w:right w:val="single" w:sz="4" w:space="0" w:color="auto"/>
            </w:tcBorders>
            <w:noWrap/>
            <w:vAlign w:val="bottom"/>
          </w:tcPr>
          <w:p w14:paraId="7FFAD1CE" w14:textId="1FA48803" w:rsidR="00D348DA" w:rsidRPr="00611315" w:rsidRDefault="00D348DA" w:rsidP="00D348DA">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8130</w:t>
            </w:r>
          </w:p>
        </w:tc>
        <w:tc>
          <w:tcPr>
            <w:tcW w:w="6415" w:type="dxa"/>
            <w:tcBorders>
              <w:top w:val="single" w:sz="4" w:space="0" w:color="auto"/>
              <w:left w:val="single" w:sz="4" w:space="0" w:color="auto"/>
              <w:bottom w:val="single" w:sz="4" w:space="0" w:color="auto"/>
              <w:right w:val="single" w:sz="4" w:space="0" w:color="auto"/>
            </w:tcBorders>
            <w:vAlign w:val="bottom"/>
          </w:tcPr>
          <w:p w14:paraId="544FCA8A" w14:textId="7A3AA7B7" w:rsidR="00D348DA" w:rsidRPr="00611315" w:rsidRDefault="00D348DA" w:rsidP="00D348DA">
            <w:pPr>
              <w:jc w:val="both"/>
              <w:rPr>
                <w:rFonts w:ascii="Verdana" w:hAnsi="Verdana" w:cs="Arial"/>
                <w:bCs/>
                <w:color w:val="000000"/>
                <w:sz w:val="20"/>
                <w:szCs w:val="20"/>
                <w:lang w:eastAsia="es-CO"/>
              </w:rPr>
            </w:pPr>
            <w:r w:rsidRPr="00954F93">
              <w:rPr>
                <w:rFonts w:ascii="Verdana" w:hAnsi="Verdana" w:cs="Arial"/>
                <w:bCs/>
                <w:color w:val="000000"/>
                <w:sz w:val="20"/>
                <w:szCs w:val="20"/>
                <w:lang w:eastAsia="es-CO"/>
              </w:rPr>
              <w:t>Actividades de paisajismo y servicios de mantenimiento conexos</w:t>
            </w:r>
          </w:p>
        </w:tc>
      </w:tr>
      <w:tr w:rsidR="00D348DA" w:rsidRPr="00611315" w14:paraId="10F98FB4" w14:textId="77777777" w:rsidTr="00954F93">
        <w:trPr>
          <w:trHeight w:val="20"/>
          <w:jc w:val="center"/>
        </w:trPr>
        <w:tc>
          <w:tcPr>
            <w:tcW w:w="1284" w:type="dxa"/>
            <w:tcBorders>
              <w:top w:val="single" w:sz="4" w:space="0" w:color="auto"/>
              <w:bottom w:val="single" w:sz="4" w:space="0" w:color="auto"/>
              <w:right w:val="single" w:sz="4" w:space="0" w:color="auto"/>
            </w:tcBorders>
            <w:noWrap/>
            <w:vAlign w:val="center"/>
          </w:tcPr>
          <w:p w14:paraId="13AF99E9" w14:textId="1FEAB885" w:rsidR="00D348DA" w:rsidRPr="00611315" w:rsidRDefault="00D348DA" w:rsidP="00D348DA">
            <w:pPr>
              <w:jc w:val="center"/>
              <w:rPr>
                <w:rFonts w:ascii="Verdana" w:hAnsi="Verdana" w:cs="Arial"/>
                <w:bCs/>
                <w:color w:val="000000"/>
                <w:sz w:val="20"/>
                <w:szCs w:val="20"/>
                <w:lang w:eastAsia="es-CO"/>
              </w:rPr>
            </w:pPr>
            <w:r w:rsidRPr="00611315">
              <w:rPr>
                <w:rFonts w:ascii="Verdana" w:hAnsi="Verdana" w:cs="Arial"/>
                <w:bCs/>
                <w:color w:val="000000"/>
                <w:sz w:val="20"/>
                <w:szCs w:val="20"/>
                <w:lang w:eastAsia="es-CO"/>
              </w:rPr>
              <w:t>Clase</w:t>
            </w:r>
          </w:p>
        </w:tc>
        <w:tc>
          <w:tcPr>
            <w:tcW w:w="1003" w:type="dxa"/>
            <w:tcBorders>
              <w:top w:val="single" w:sz="4" w:space="0" w:color="auto"/>
              <w:left w:val="single" w:sz="4" w:space="0" w:color="auto"/>
              <w:bottom w:val="single" w:sz="4" w:space="0" w:color="auto"/>
              <w:right w:val="single" w:sz="4" w:space="0" w:color="auto"/>
            </w:tcBorders>
            <w:noWrap/>
            <w:vAlign w:val="bottom"/>
          </w:tcPr>
          <w:p w14:paraId="52B039A3" w14:textId="4D7A061E" w:rsidR="00D348DA" w:rsidRPr="00611315" w:rsidRDefault="00D348DA" w:rsidP="00D348DA">
            <w:pPr>
              <w:jc w:val="center"/>
              <w:rPr>
                <w:rFonts w:ascii="Verdana" w:hAnsi="Verdana" w:cs="Arial"/>
                <w:bCs/>
                <w:color w:val="000000"/>
                <w:sz w:val="20"/>
                <w:szCs w:val="20"/>
                <w:lang w:eastAsia="es-CO"/>
              </w:rPr>
            </w:pPr>
            <w:r w:rsidRPr="00954F93">
              <w:rPr>
                <w:rFonts w:ascii="Verdana" w:hAnsi="Verdana" w:cs="Arial"/>
                <w:bCs/>
                <w:color w:val="000000"/>
                <w:sz w:val="20"/>
                <w:szCs w:val="20"/>
                <w:lang w:eastAsia="es-CO"/>
              </w:rPr>
              <w:t>8230</w:t>
            </w:r>
          </w:p>
        </w:tc>
        <w:tc>
          <w:tcPr>
            <w:tcW w:w="6415" w:type="dxa"/>
            <w:tcBorders>
              <w:top w:val="single" w:sz="4" w:space="0" w:color="auto"/>
              <w:left w:val="single" w:sz="4" w:space="0" w:color="auto"/>
              <w:bottom w:val="single" w:sz="4" w:space="0" w:color="auto"/>
              <w:right w:val="single" w:sz="4" w:space="0" w:color="auto"/>
            </w:tcBorders>
            <w:vAlign w:val="bottom"/>
          </w:tcPr>
          <w:p w14:paraId="4DA012AF" w14:textId="57224726" w:rsidR="00D348DA" w:rsidRPr="00611315" w:rsidRDefault="00D348DA" w:rsidP="00D348DA">
            <w:pPr>
              <w:jc w:val="both"/>
              <w:rPr>
                <w:rFonts w:ascii="Verdana" w:hAnsi="Verdana" w:cs="Arial"/>
                <w:bCs/>
                <w:color w:val="000000"/>
                <w:sz w:val="20"/>
                <w:szCs w:val="20"/>
                <w:lang w:eastAsia="es-CO"/>
              </w:rPr>
            </w:pPr>
            <w:r w:rsidRPr="00954F93">
              <w:rPr>
                <w:rFonts w:ascii="Verdana" w:hAnsi="Verdana" w:cs="Arial"/>
                <w:bCs/>
                <w:color w:val="000000"/>
                <w:sz w:val="20"/>
                <w:szCs w:val="20"/>
                <w:lang w:eastAsia="es-CO"/>
              </w:rPr>
              <w:t>Organización de convenciones y eventos comerciales</w:t>
            </w:r>
          </w:p>
        </w:tc>
      </w:tr>
    </w:tbl>
    <w:p w14:paraId="346D48CE" w14:textId="610729E7" w:rsidR="004E6AA4" w:rsidRPr="00A33C10" w:rsidRDefault="004E6AA4" w:rsidP="00A33C10">
      <w:pPr>
        <w:pStyle w:val="Textonotapie"/>
        <w:rPr>
          <w:rFonts w:ascii="Verdana" w:eastAsia="Arial" w:hAnsi="Verdana" w:cs="Arial"/>
          <w:sz w:val="22"/>
          <w:szCs w:val="22"/>
          <w:lang w:val="es-ES"/>
        </w:rPr>
      </w:pPr>
      <w:r w:rsidRPr="00A33C10">
        <w:rPr>
          <w:rFonts w:ascii="Verdana" w:eastAsia="Arial" w:hAnsi="Verdana" w:cs="Arial"/>
          <w:sz w:val="22"/>
          <w:szCs w:val="22"/>
        </w:rPr>
        <w:t xml:space="preserve">Fuente: Elaboración propia a partir del documento Clasificación Industrial Internacional Uniforme de todas las actividades económicas, revisión 4 adaptada para Colombia (CIIU Rev. 4 A.C). </w:t>
      </w:r>
      <w:r w:rsidRPr="00A33C10">
        <w:rPr>
          <w:rFonts w:ascii="Verdana" w:hAnsi="Verdana" w:cs="Arial"/>
          <w:sz w:val="22"/>
          <w:szCs w:val="22"/>
        </w:rPr>
        <w:t xml:space="preserve">Consultado en línea </w:t>
      </w:r>
      <w:r w:rsidRPr="00A33C10">
        <w:rPr>
          <w:rFonts w:ascii="Verdana" w:hAnsi="Verdana" w:cs="Arial"/>
          <w:sz w:val="22"/>
          <w:szCs w:val="22"/>
          <w:lang w:val="es-ES"/>
        </w:rPr>
        <w:t xml:space="preserve">en </w:t>
      </w:r>
      <w:r w:rsidR="00CF05F9" w:rsidRPr="00A33C10">
        <w:rPr>
          <w:rFonts w:ascii="Verdana" w:hAnsi="Verdana" w:cs="Arial"/>
          <w:sz w:val="22"/>
          <w:szCs w:val="22"/>
          <w:lang w:val="es-ES"/>
        </w:rPr>
        <w:t>marzo</w:t>
      </w:r>
      <w:r w:rsidRPr="00A33C10">
        <w:rPr>
          <w:rFonts w:ascii="Verdana" w:hAnsi="Verdana" w:cs="Arial"/>
          <w:sz w:val="22"/>
          <w:szCs w:val="22"/>
          <w:lang w:val="es-ES"/>
        </w:rPr>
        <w:t xml:space="preserve"> </w:t>
      </w:r>
      <w:r w:rsidRPr="00A33C10">
        <w:rPr>
          <w:rFonts w:ascii="Verdana" w:hAnsi="Verdana" w:cs="Arial"/>
          <w:sz w:val="22"/>
          <w:szCs w:val="22"/>
        </w:rPr>
        <w:t>de 20</w:t>
      </w:r>
      <w:r w:rsidRPr="00A33C10">
        <w:rPr>
          <w:rFonts w:ascii="Verdana" w:hAnsi="Verdana" w:cs="Arial"/>
          <w:sz w:val="22"/>
          <w:szCs w:val="22"/>
          <w:lang w:val="es-ES"/>
        </w:rPr>
        <w:t>2</w:t>
      </w:r>
      <w:r w:rsidR="00CF05F9" w:rsidRPr="00A33C10">
        <w:rPr>
          <w:rFonts w:ascii="Verdana" w:hAnsi="Verdana" w:cs="Arial"/>
          <w:sz w:val="22"/>
          <w:szCs w:val="22"/>
          <w:lang w:val="es-ES"/>
        </w:rPr>
        <w:t>6</w:t>
      </w:r>
      <w:r w:rsidRPr="00A33C10">
        <w:rPr>
          <w:rFonts w:ascii="Verdana" w:hAnsi="Verdana" w:cs="Arial"/>
          <w:sz w:val="22"/>
          <w:szCs w:val="22"/>
        </w:rPr>
        <w:t xml:space="preserve">. Disponible en: </w:t>
      </w:r>
      <w:hyperlink r:id="rId14">
        <w:r w:rsidRPr="00A33C10">
          <w:rPr>
            <w:rStyle w:val="Hipervnculo"/>
            <w:rFonts w:ascii="Verdana" w:hAnsi="Verdana" w:cs="Arial"/>
            <w:color w:val="auto"/>
            <w:sz w:val="22"/>
            <w:szCs w:val="22"/>
          </w:rPr>
          <w:t>https://www.dane.gov.co/files/sen/nomenclatura/ciiu/CIIU_Rev_4_AC2022.pdf</w:t>
        </w:r>
      </w:hyperlink>
    </w:p>
    <w:p w14:paraId="49CF48DE" w14:textId="77777777" w:rsidR="004E6AA4" w:rsidRPr="00611315" w:rsidRDefault="004E6AA4" w:rsidP="004E6AA4">
      <w:pPr>
        <w:pStyle w:val="Textoindependiente"/>
        <w:spacing w:line="259" w:lineRule="auto"/>
        <w:ind w:left="140" w:right="141"/>
        <w:jc w:val="both"/>
        <w:rPr>
          <w:rFonts w:ascii="Verdana" w:eastAsia="Verdana Pro" w:hAnsi="Verdana" w:cs="Verdana Pro"/>
          <w:spacing w:val="-2"/>
          <w:sz w:val="22"/>
          <w:szCs w:val="22"/>
          <w:lang w:val="es-ES"/>
        </w:rPr>
      </w:pPr>
    </w:p>
    <w:p w14:paraId="1B9F55E4" w14:textId="77777777" w:rsidR="004E6AA4" w:rsidRPr="00611315" w:rsidRDefault="004E6AA4" w:rsidP="004E6AA4">
      <w:pPr>
        <w:pStyle w:val="Textoindependiente"/>
        <w:spacing w:line="259" w:lineRule="auto"/>
        <w:ind w:left="140" w:right="141"/>
        <w:jc w:val="both"/>
        <w:rPr>
          <w:rFonts w:ascii="Verdana" w:eastAsia="Verdana Pro" w:hAnsi="Verdana" w:cs="Verdana Pro"/>
          <w:spacing w:val="-2"/>
          <w:sz w:val="22"/>
          <w:szCs w:val="22"/>
        </w:rPr>
      </w:pPr>
      <w:r w:rsidRPr="00611315">
        <w:rPr>
          <w:rFonts w:ascii="Verdana" w:eastAsia="Verdana Pro" w:hAnsi="Verdana" w:cs="Verdana Pro"/>
          <w:spacing w:val="-2"/>
          <w:sz w:val="22"/>
          <w:szCs w:val="22"/>
        </w:rPr>
        <w:t>El sector de la construcción está integrado por los subsectores de Edificaciones e Infraestructura, el primero hace referencia a las construcciones en altura que se categorizan de acuerdo con la destinación de su uso ocupacional, y el segundo, a todas aquellas construcciones de obras civiles, esta última desagregada también, de acuerdo con el uso</w:t>
      </w:r>
      <w:r w:rsidRPr="00611315">
        <w:rPr>
          <w:rStyle w:val="Refdenotaalpie"/>
          <w:rFonts w:ascii="Verdana" w:eastAsia="Verdana Pro" w:hAnsi="Verdana" w:cs="Verdana Pro"/>
          <w:spacing w:val="-2"/>
          <w:sz w:val="22"/>
          <w:szCs w:val="22"/>
        </w:rPr>
        <w:footnoteReference w:id="4"/>
      </w:r>
      <w:r w:rsidRPr="00611315">
        <w:rPr>
          <w:rFonts w:ascii="Verdana" w:eastAsia="Verdana Pro" w:hAnsi="Verdana" w:cs="Verdana Pro"/>
          <w:spacing w:val="-2"/>
          <w:sz w:val="22"/>
          <w:szCs w:val="22"/>
        </w:rPr>
        <w:t xml:space="preserve">. </w:t>
      </w:r>
    </w:p>
    <w:p w14:paraId="2510AEAA"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6607B790"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2982251E"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6B8FB948"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54DE3E97"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16294303" w14:textId="77777777" w:rsidR="00300B6C" w:rsidRPr="00611315" w:rsidRDefault="00300B6C" w:rsidP="004E6AA4">
      <w:pPr>
        <w:pStyle w:val="Textoindependiente"/>
        <w:spacing w:line="259" w:lineRule="auto"/>
        <w:ind w:left="140" w:right="141"/>
        <w:jc w:val="both"/>
        <w:rPr>
          <w:rFonts w:ascii="Verdana" w:eastAsia="Verdana Pro" w:hAnsi="Verdana" w:cs="Verdana Pro"/>
          <w:spacing w:val="-2"/>
          <w:sz w:val="22"/>
          <w:szCs w:val="22"/>
        </w:rPr>
      </w:pPr>
    </w:p>
    <w:p w14:paraId="4918E76F" w14:textId="6A842096" w:rsidR="004E6AA4" w:rsidRPr="00611315" w:rsidRDefault="004E6AA4" w:rsidP="004E6AA4">
      <w:pPr>
        <w:pStyle w:val="Descripcin"/>
        <w:jc w:val="center"/>
        <w:rPr>
          <w:rFonts w:ascii="Verdana" w:eastAsia="Verdana Pro" w:hAnsi="Verdana" w:cs="Verdana Pro"/>
          <w:sz w:val="22"/>
          <w:szCs w:val="22"/>
        </w:rPr>
      </w:pPr>
      <w:bookmarkStart w:id="10" w:name="_Toc231368776"/>
      <w:r w:rsidRPr="00611315">
        <w:rPr>
          <w:rFonts w:ascii="Verdana" w:eastAsia="Verdana Pro" w:hAnsi="Verdana" w:cs="Verdana Pro"/>
          <w:sz w:val="22"/>
          <w:szCs w:val="22"/>
        </w:rPr>
        <w:t xml:space="preserve">Gráfica </w:t>
      </w:r>
      <w:r w:rsidRPr="00611315">
        <w:rPr>
          <w:rFonts w:ascii="Verdana" w:eastAsia="Verdana Pro" w:hAnsi="Verdana" w:cs="Verdana Pro"/>
        </w:rPr>
        <w:fldChar w:fldCharType="begin"/>
      </w:r>
      <w:r w:rsidRPr="00611315">
        <w:rPr>
          <w:rFonts w:ascii="Verdana" w:eastAsia="Verdana Pro" w:hAnsi="Verdana" w:cs="Verdana Pro"/>
        </w:rPr>
        <w:instrText xml:space="preserve"> SEQ Gráfica \* ARABIC </w:instrText>
      </w:r>
      <w:r w:rsidRPr="00611315">
        <w:rPr>
          <w:rFonts w:ascii="Verdana" w:eastAsia="Verdana Pro" w:hAnsi="Verdana" w:cs="Verdana Pro"/>
        </w:rPr>
        <w:fldChar w:fldCharType="separate"/>
      </w:r>
      <w:r w:rsidR="00973CF5">
        <w:rPr>
          <w:rFonts w:ascii="Verdana" w:eastAsia="Verdana Pro" w:hAnsi="Verdana" w:cs="Verdana Pro"/>
          <w:noProof/>
        </w:rPr>
        <w:t>1</w:t>
      </w:r>
      <w:r w:rsidRPr="00611315">
        <w:rPr>
          <w:rFonts w:ascii="Verdana" w:eastAsia="Verdana Pro" w:hAnsi="Verdana" w:cs="Verdana Pro"/>
        </w:rPr>
        <w:fldChar w:fldCharType="end"/>
      </w:r>
      <w:r w:rsidRPr="00611315">
        <w:rPr>
          <w:rFonts w:ascii="Verdana" w:eastAsia="Verdana Pro" w:hAnsi="Verdana" w:cs="Verdana Pro"/>
          <w:sz w:val="22"/>
          <w:szCs w:val="22"/>
        </w:rPr>
        <w:t>. Composición sector de la construcción</w:t>
      </w:r>
      <w:bookmarkEnd w:id="10"/>
    </w:p>
    <w:p w14:paraId="1ADA1660" w14:textId="4DC2150A" w:rsidR="004E6AA4" w:rsidRPr="00611315" w:rsidRDefault="004E6AA4" w:rsidP="004E6AA4">
      <w:pPr>
        <w:pStyle w:val="Textoindependiente"/>
        <w:spacing w:line="259" w:lineRule="auto"/>
        <w:ind w:left="140" w:right="141"/>
        <w:jc w:val="center"/>
        <w:rPr>
          <w:rFonts w:ascii="Verdana" w:eastAsia="Verdana Pro" w:hAnsi="Verdana" w:cs="Verdana Pro"/>
          <w:spacing w:val="-2"/>
          <w:sz w:val="22"/>
          <w:szCs w:val="22"/>
        </w:rPr>
      </w:pPr>
      <w:r w:rsidRPr="00611315">
        <w:rPr>
          <w:rFonts w:ascii="Verdana" w:hAnsi="Verdana"/>
          <w:noProof/>
        </w:rPr>
        <w:drawing>
          <wp:inline distT="0" distB="0" distL="0" distR="0" wp14:anchorId="7573C155" wp14:editId="341A2029">
            <wp:extent cx="1990546" cy="1602740"/>
            <wp:effectExtent l="0" t="0" r="0" b="0"/>
            <wp:docPr id="2136999492" name="Imagen 1"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999492" name="Imagen 1" descr="Interfaz de usuario gráfica, Texto&#10;&#10;El contenido generado por IA puede ser incorrecto."/>
                    <pic:cNvPicPr/>
                  </pic:nvPicPr>
                  <pic:blipFill rotWithShape="1">
                    <a:blip r:embed="rId15"/>
                    <a:srcRect l="29256" t="37092" r="51603" b="33567"/>
                    <a:stretch/>
                  </pic:blipFill>
                  <pic:spPr bwMode="auto">
                    <a:xfrm>
                      <a:off x="0" y="0"/>
                      <a:ext cx="2010785" cy="1619036"/>
                    </a:xfrm>
                    <a:prstGeom prst="rect">
                      <a:avLst/>
                    </a:prstGeom>
                    <a:ln>
                      <a:noFill/>
                    </a:ln>
                    <a:extLst>
                      <a:ext uri="{53640926-AAD7-44D8-BBD7-CCE9431645EC}">
                        <a14:shadowObscured xmlns:a14="http://schemas.microsoft.com/office/drawing/2010/main"/>
                      </a:ext>
                    </a:extLst>
                  </pic:spPr>
                </pic:pic>
              </a:graphicData>
            </a:graphic>
          </wp:inline>
        </w:drawing>
      </w:r>
    </w:p>
    <w:p w14:paraId="7D49745C" w14:textId="05879A03" w:rsidR="004E6AA4" w:rsidRPr="00A33C10" w:rsidRDefault="004E6AA4" w:rsidP="004E6AA4">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Pr="00A33C10">
        <w:rPr>
          <w:rFonts w:ascii="Verdana" w:eastAsia="Verdana Pro" w:hAnsi="Verdana" w:cs="Verdana Pro"/>
          <w:sz w:val="22"/>
          <w:szCs w:val="22"/>
        </w:rPr>
        <w:t>Marco Nacional de Cualificaciones. Contextualización del sector de la Construcción</w:t>
      </w:r>
    </w:p>
    <w:p w14:paraId="46414487" w14:textId="77777777" w:rsidR="004E6AA4" w:rsidRPr="00611315" w:rsidRDefault="004E6AA4" w:rsidP="004E6AA4">
      <w:pPr>
        <w:pStyle w:val="Textoindependiente"/>
        <w:spacing w:line="259" w:lineRule="auto"/>
        <w:ind w:left="140" w:right="141"/>
        <w:jc w:val="both"/>
        <w:rPr>
          <w:rFonts w:ascii="Verdana" w:eastAsia="Verdana Pro" w:hAnsi="Verdana" w:cs="Verdana Pro"/>
          <w:spacing w:val="-2"/>
          <w:sz w:val="22"/>
          <w:szCs w:val="22"/>
        </w:rPr>
      </w:pPr>
    </w:p>
    <w:p w14:paraId="7DC7DE45" w14:textId="7E5AC9D8" w:rsidR="004E6AA4" w:rsidRPr="00611315" w:rsidRDefault="004E6AA4" w:rsidP="004E6AA4">
      <w:pPr>
        <w:pStyle w:val="Textoindependiente"/>
        <w:spacing w:line="259" w:lineRule="auto"/>
        <w:ind w:left="140" w:right="141"/>
        <w:jc w:val="both"/>
        <w:rPr>
          <w:rFonts w:ascii="Verdana" w:eastAsia="Verdana Pro" w:hAnsi="Verdana" w:cs="Verdana Pro"/>
          <w:spacing w:val="-2"/>
          <w:sz w:val="22"/>
          <w:szCs w:val="22"/>
        </w:rPr>
      </w:pPr>
      <w:r w:rsidRPr="00611315">
        <w:rPr>
          <w:rFonts w:ascii="Verdana" w:eastAsia="Verdana Pro" w:hAnsi="Verdana" w:cs="Verdana Pro"/>
          <w:spacing w:val="-2"/>
          <w:sz w:val="22"/>
          <w:szCs w:val="22"/>
        </w:rPr>
        <w:t xml:space="preserve">Teniendo en cuenta el subsector objeto de análisis en el presente documento, se describirán algunas de las principales características del subsector de </w:t>
      </w:r>
      <w:r w:rsidR="00722E81" w:rsidRPr="00611315">
        <w:rPr>
          <w:rFonts w:ascii="Verdana" w:eastAsia="Verdana Pro" w:hAnsi="Verdana" w:cs="Verdana Pro"/>
          <w:spacing w:val="-2"/>
          <w:sz w:val="22"/>
          <w:szCs w:val="22"/>
        </w:rPr>
        <w:t>Infraestructura</w:t>
      </w:r>
      <w:r w:rsidRPr="00611315">
        <w:rPr>
          <w:rFonts w:ascii="Verdana" w:eastAsia="Verdana Pro" w:hAnsi="Verdana" w:cs="Verdana Pro"/>
          <w:spacing w:val="-2"/>
          <w:sz w:val="22"/>
          <w:szCs w:val="22"/>
        </w:rPr>
        <w:t>. De acuerdo con la caracterización elaborada por CAMACOL y el Ministerio de Educación para el Sector de la Construcción</w:t>
      </w:r>
      <w:r w:rsidRPr="00611315">
        <w:rPr>
          <w:rStyle w:val="Refdenotaalpie"/>
          <w:rFonts w:ascii="Verdana" w:eastAsia="Verdana Pro" w:hAnsi="Verdana" w:cs="Verdana Pro"/>
          <w:spacing w:val="-2"/>
          <w:sz w:val="22"/>
          <w:szCs w:val="22"/>
        </w:rPr>
        <w:footnoteReference w:id="5"/>
      </w:r>
      <w:r w:rsidRPr="00611315">
        <w:rPr>
          <w:rFonts w:ascii="Verdana" w:eastAsia="Verdana Pro" w:hAnsi="Verdana" w:cs="Verdana Pro"/>
          <w:spacing w:val="-2"/>
          <w:sz w:val="22"/>
          <w:szCs w:val="22"/>
        </w:rPr>
        <w:t xml:space="preserve">, el subsector de </w:t>
      </w:r>
      <w:r w:rsidR="008F2628" w:rsidRPr="00611315">
        <w:rPr>
          <w:rFonts w:ascii="Verdana" w:eastAsia="Verdana Pro" w:hAnsi="Verdana" w:cs="Verdana Pro"/>
          <w:spacing w:val="-2"/>
          <w:sz w:val="22"/>
          <w:szCs w:val="22"/>
        </w:rPr>
        <w:t xml:space="preserve">infraestructura </w:t>
      </w:r>
      <w:r w:rsidRPr="00611315">
        <w:rPr>
          <w:rFonts w:ascii="Verdana" w:eastAsia="Verdana Pro" w:hAnsi="Verdana" w:cs="Verdana Pro"/>
          <w:spacing w:val="-2"/>
          <w:sz w:val="22"/>
          <w:szCs w:val="22"/>
        </w:rPr>
        <w:t xml:space="preserve">se desagrega en </w:t>
      </w:r>
      <w:r w:rsidR="001064E0" w:rsidRPr="00611315">
        <w:rPr>
          <w:rFonts w:ascii="Verdana" w:eastAsia="Verdana Pro" w:hAnsi="Verdana" w:cs="Verdana Pro"/>
          <w:spacing w:val="-2"/>
          <w:sz w:val="22"/>
          <w:szCs w:val="22"/>
        </w:rPr>
        <w:t>cinco</w:t>
      </w:r>
      <w:r w:rsidRPr="00611315">
        <w:rPr>
          <w:rFonts w:ascii="Verdana" w:eastAsia="Verdana Pro" w:hAnsi="Verdana" w:cs="Verdana Pro"/>
          <w:spacing w:val="-2"/>
          <w:sz w:val="22"/>
          <w:szCs w:val="22"/>
        </w:rPr>
        <w:t xml:space="preserve"> categorías: </w:t>
      </w:r>
      <w:r w:rsidR="00AE0EBA" w:rsidRPr="00611315">
        <w:rPr>
          <w:rFonts w:ascii="Verdana" w:eastAsia="Verdana Pro" w:hAnsi="Verdana" w:cs="Verdana Pro"/>
          <w:spacing w:val="-2"/>
          <w:sz w:val="22"/>
          <w:szCs w:val="22"/>
        </w:rPr>
        <w:t xml:space="preserve">Infraestructura de transporte, Infraestructura de Energía, </w:t>
      </w:r>
      <w:r w:rsidR="00EB55E4" w:rsidRPr="00611315">
        <w:rPr>
          <w:rFonts w:ascii="Verdana" w:eastAsia="Verdana Pro" w:hAnsi="Verdana" w:cs="Verdana Pro"/>
          <w:spacing w:val="-2"/>
          <w:sz w:val="22"/>
          <w:szCs w:val="22"/>
        </w:rPr>
        <w:t xml:space="preserve">Infraestructura de Edificaciones, Infraestructura de telecomunicaciones e Infraestructura </w:t>
      </w:r>
      <w:r w:rsidR="00475E1B" w:rsidRPr="00611315">
        <w:rPr>
          <w:rFonts w:ascii="Verdana" w:eastAsia="Verdana Pro" w:hAnsi="Verdana" w:cs="Verdana Pro"/>
          <w:spacing w:val="-2"/>
          <w:sz w:val="22"/>
          <w:szCs w:val="22"/>
        </w:rPr>
        <w:t xml:space="preserve">de </w:t>
      </w:r>
      <w:r w:rsidR="00EB55E4" w:rsidRPr="00611315">
        <w:rPr>
          <w:rFonts w:ascii="Verdana" w:eastAsia="Verdana Pro" w:hAnsi="Verdana" w:cs="Verdana Pro"/>
          <w:spacing w:val="-2"/>
          <w:sz w:val="22"/>
          <w:szCs w:val="22"/>
        </w:rPr>
        <w:t>Hidráulica.</w:t>
      </w:r>
    </w:p>
    <w:p w14:paraId="63BB4241" w14:textId="77777777" w:rsidR="00EB55E4" w:rsidRPr="00611315" w:rsidRDefault="00EB55E4">
      <w:pPr>
        <w:pStyle w:val="Textoindependiente"/>
        <w:spacing w:line="259" w:lineRule="auto"/>
        <w:ind w:left="140" w:right="141"/>
        <w:jc w:val="center"/>
        <w:rPr>
          <w:rFonts w:ascii="Verdana" w:eastAsia="Verdana Pro" w:hAnsi="Verdana" w:cs="Verdana Pro"/>
          <w:b/>
          <w:bCs/>
          <w:sz w:val="22"/>
          <w:szCs w:val="22"/>
          <w:lang w:val="es-ES" w:eastAsia="en-US"/>
        </w:rPr>
      </w:pPr>
    </w:p>
    <w:p w14:paraId="2F0241FB"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27818843"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79D2753B"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7F920E7F"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2554B3C6"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75F814AE"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1CC3A4FB" w14:textId="77777777" w:rsidR="00300B6C" w:rsidRPr="00611315" w:rsidRDefault="00300B6C">
      <w:pPr>
        <w:pStyle w:val="Textoindependiente"/>
        <w:spacing w:line="259" w:lineRule="auto"/>
        <w:ind w:left="140" w:right="141"/>
        <w:jc w:val="center"/>
        <w:rPr>
          <w:rFonts w:ascii="Verdana" w:eastAsia="Verdana Pro" w:hAnsi="Verdana" w:cs="Verdana Pro"/>
          <w:b/>
          <w:bCs/>
          <w:sz w:val="22"/>
          <w:szCs w:val="22"/>
          <w:lang w:val="es-ES" w:eastAsia="en-US"/>
        </w:rPr>
      </w:pPr>
    </w:p>
    <w:p w14:paraId="0325D77F" w14:textId="77777777" w:rsidR="00300B6C" w:rsidRPr="00954F93" w:rsidRDefault="00300B6C" w:rsidP="00954F93">
      <w:pPr>
        <w:pStyle w:val="Textoindependiente"/>
        <w:spacing w:line="259" w:lineRule="auto"/>
        <w:ind w:left="140" w:right="141"/>
        <w:jc w:val="center"/>
        <w:rPr>
          <w:rFonts w:ascii="Verdana" w:eastAsia="Verdana Pro" w:hAnsi="Verdana" w:cs="Verdana Pro"/>
          <w:b/>
          <w:bCs/>
          <w:sz w:val="22"/>
          <w:szCs w:val="22"/>
          <w:lang w:val="es-ES" w:eastAsia="en-US"/>
        </w:rPr>
      </w:pPr>
    </w:p>
    <w:p w14:paraId="04F8146E" w14:textId="1FFC9045" w:rsidR="00EB55E4" w:rsidRPr="00954F93" w:rsidRDefault="00EB55E4" w:rsidP="003B27EE">
      <w:pPr>
        <w:pStyle w:val="Descripcin"/>
        <w:jc w:val="center"/>
        <w:rPr>
          <w:rFonts w:ascii="Verdana" w:eastAsia="Verdana Pro" w:hAnsi="Verdana" w:cs="Verdana Pro"/>
          <w:sz w:val="22"/>
          <w:szCs w:val="22"/>
        </w:rPr>
      </w:pPr>
      <w:bookmarkStart w:id="11" w:name="_Toc231368777"/>
      <w:r w:rsidRPr="00954F93">
        <w:rPr>
          <w:rFonts w:ascii="Verdana" w:eastAsia="Verdana Pro" w:hAnsi="Verdana" w:cs="Verdana Pro"/>
          <w:sz w:val="22"/>
          <w:szCs w:val="22"/>
        </w:rPr>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2</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Subsectores Sector Infraestructura</w:t>
      </w:r>
      <w:bookmarkEnd w:id="11"/>
    </w:p>
    <w:p w14:paraId="12B8D8D9" w14:textId="2D6443E2" w:rsidR="00EB55E4" w:rsidRPr="00611315" w:rsidRDefault="006D2D80" w:rsidP="00954F93">
      <w:pPr>
        <w:pStyle w:val="Textoindependiente"/>
        <w:spacing w:line="259" w:lineRule="auto"/>
        <w:ind w:left="140" w:right="141"/>
        <w:jc w:val="center"/>
        <w:rPr>
          <w:rFonts w:ascii="Verdana" w:eastAsia="Verdana Pro" w:hAnsi="Verdana" w:cs="Verdana Pro"/>
          <w:spacing w:val="-2"/>
          <w:sz w:val="22"/>
          <w:szCs w:val="22"/>
        </w:rPr>
      </w:pPr>
      <w:r w:rsidRPr="00611315">
        <w:rPr>
          <w:rFonts w:ascii="Verdana" w:hAnsi="Verdana"/>
          <w:noProof/>
        </w:rPr>
        <w:drawing>
          <wp:inline distT="0" distB="0" distL="0" distR="0" wp14:anchorId="7A8CF251" wp14:editId="413E2F2D">
            <wp:extent cx="4796717" cy="3530009"/>
            <wp:effectExtent l="0" t="0" r="4445" b="0"/>
            <wp:docPr id="1140978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78998" name=""/>
                    <pic:cNvPicPr/>
                  </pic:nvPicPr>
                  <pic:blipFill rotWithShape="1">
                    <a:blip r:embed="rId16"/>
                    <a:srcRect l="16157" t="29045" r="37105" b="9774"/>
                    <a:stretch>
                      <a:fillRect/>
                    </a:stretch>
                  </pic:blipFill>
                  <pic:spPr bwMode="auto">
                    <a:xfrm>
                      <a:off x="0" y="0"/>
                      <a:ext cx="4827114" cy="3552378"/>
                    </a:xfrm>
                    <a:prstGeom prst="rect">
                      <a:avLst/>
                    </a:prstGeom>
                    <a:ln>
                      <a:noFill/>
                    </a:ln>
                    <a:extLst>
                      <a:ext uri="{53640926-AAD7-44D8-BBD7-CCE9431645EC}">
                        <a14:shadowObscured xmlns:a14="http://schemas.microsoft.com/office/drawing/2010/main"/>
                      </a:ext>
                    </a:extLst>
                  </pic:spPr>
                </pic:pic>
              </a:graphicData>
            </a:graphic>
          </wp:inline>
        </w:drawing>
      </w:r>
    </w:p>
    <w:p w14:paraId="2305750E" w14:textId="77777777" w:rsidR="00EB55E4" w:rsidRPr="00A33C10" w:rsidRDefault="00EB55E4" w:rsidP="00A33C10">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Pr="00A33C10">
        <w:rPr>
          <w:rFonts w:ascii="Verdana" w:eastAsia="Verdana Pro" w:hAnsi="Verdana" w:cs="Verdana Pro"/>
          <w:sz w:val="22"/>
          <w:szCs w:val="22"/>
        </w:rPr>
        <w:t>Marco Nacional de Cualificaciones. Contextualización del sector de la Construcción</w:t>
      </w:r>
    </w:p>
    <w:p w14:paraId="3E4549C1" w14:textId="77777777" w:rsidR="004E6AA4" w:rsidRPr="00611315" w:rsidRDefault="004E6AA4" w:rsidP="004E6AA4">
      <w:pPr>
        <w:pStyle w:val="Textoindependiente"/>
        <w:spacing w:line="259" w:lineRule="auto"/>
        <w:ind w:left="140" w:right="141"/>
        <w:jc w:val="both"/>
        <w:rPr>
          <w:rFonts w:ascii="Verdana" w:eastAsia="Verdana Pro" w:hAnsi="Verdana" w:cs="Verdana Pro"/>
          <w:spacing w:val="-2"/>
          <w:sz w:val="22"/>
          <w:szCs w:val="22"/>
        </w:rPr>
      </w:pPr>
    </w:p>
    <w:p w14:paraId="032B4736" w14:textId="54B00995" w:rsidR="004E6AA4" w:rsidRDefault="004E6AA4" w:rsidP="004E6AA4">
      <w:pPr>
        <w:pStyle w:val="Textoindependiente"/>
        <w:spacing w:line="259" w:lineRule="auto"/>
        <w:ind w:right="141"/>
        <w:jc w:val="both"/>
        <w:rPr>
          <w:rFonts w:ascii="Verdana" w:eastAsia="Verdana Pro" w:hAnsi="Verdana" w:cs="Verdana Pro"/>
          <w:spacing w:val="-2"/>
          <w:sz w:val="22"/>
          <w:szCs w:val="22"/>
        </w:rPr>
      </w:pPr>
      <w:r w:rsidRPr="00611315">
        <w:rPr>
          <w:rFonts w:ascii="Verdana" w:eastAsia="Verdana Pro" w:hAnsi="Verdana" w:cs="Verdana Pro"/>
          <w:spacing w:val="-2"/>
          <w:sz w:val="22"/>
          <w:szCs w:val="22"/>
        </w:rPr>
        <w:t>Como se puede evidenciar, en el marco de la categoría &lt;&lt;</w:t>
      </w:r>
      <w:r w:rsidR="00475E1B" w:rsidRPr="00954F93">
        <w:rPr>
          <w:rFonts w:ascii="Verdana" w:eastAsia="Verdana Pro" w:hAnsi="Verdana" w:cs="Verdana Pro"/>
          <w:b/>
          <w:bCs/>
          <w:spacing w:val="-2"/>
          <w:sz w:val="22"/>
          <w:szCs w:val="22"/>
        </w:rPr>
        <w:t>Infraestructura de Hidráulica</w:t>
      </w:r>
      <w:r w:rsidRPr="00611315">
        <w:rPr>
          <w:rFonts w:ascii="Verdana" w:eastAsia="Verdana Pro" w:hAnsi="Verdana" w:cs="Verdana Pro"/>
          <w:spacing w:val="-2"/>
          <w:sz w:val="22"/>
          <w:szCs w:val="22"/>
        </w:rPr>
        <w:t xml:space="preserve">&gt;&gt; se encuentra el nicho del sector para el cual tendrá aplicabilidad el documento tipo de infraestructura </w:t>
      </w:r>
      <w:r w:rsidR="00475E1B" w:rsidRPr="00954F93">
        <w:rPr>
          <w:rFonts w:ascii="Verdana" w:eastAsia="Verdana Pro" w:hAnsi="Verdana" w:cs="Verdana Pro"/>
          <w:spacing w:val="-2"/>
          <w:sz w:val="22"/>
          <w:szCs w:val="22"/>
        </w:rPr>
        <w:t>de agua potable</w:t>
      </w:r>
      <w:r w:rsidRPr="00611315">
        <w:rPr>
          <w:rFonts w:ascii="Verdana" w:eastAsia="Verdana Pro" w:hAnsi="Verdana" w:cs="Verdana Pro"/>
          <w:spacing w:val="-2"/>
          <w:sz w:val="22"/>
          <w:szCs w:val="22"/>
        </w:rPr>
        <w:t xml:space="preserve"> que será actualizado, por lo anterior, a continuación, se describirá el comportamiento de las principales variables del sector de la construcción, acotado al subsector y categoría objeto de análisis.</w:t>
      </w:r>
    </w:p>
    <w:p w14:paraId="48D5AEE0" w14:textId="77777777" w:rsidR="00A33C10" w:rsidRPr="00611315" w:rsidRDefault="00A33C10" w:rsidP="004E6AA4">
      <w:pPr>
        <w:pStyle w:val="Textoindependiente"/>
        <w:spacing w:line="259" w:lineRule="auto"/>
        <w:ind w:right="141"/>
        <w:jc w:val="both"/>
        <w:rPr>
          <w:rFonts w:ascii="Verdana" w:eastAsia="Verdana Pro" w:hAnsi="Verdana" w:cs="Verdana Pro"/>
          <w:spacing w:val="-2"/>
          <w:sz w:val="22"/>
          <w:szCs w:val="22"/>
        </w:rPr>
      </w:pPr>
    </w:p>
    <w:p w14:paraId="6143D6DA" w14:textId="4241224C" w:rsidR="004E6AA4" w:rsidRPr="00611315" w:rsidRDefault="00A33C10" w:rsidP="004E6AA4">
      <w:pPr>
        <w:pStyle w:val="Ttulo2"/>
        <w:numPr>
          <w:ilvl w:val="0"/>
          <w:numId w:val="46"/>
        </w:numPr>
        <w:rPr>
          <w:rFonts w:ascii="Verdana" w:hAnsi="Verdana" w:cs="Arial"/>
          <w:b w:val="0"/>
          <w:color w:val="000000" w:themeColor="text1"/>
        </w:rPr>
      </w:pPr>
      <w:bookmarkStart w:id="12" w:name="_Toc230851119"/>
      <w:bookmarkStart w:id="13" w:name="_Toc230869953"/>
      <w:bookmarkStart w:id="14" w:name="_Toc230962332"/>
      <w:bookmarkStart w:id="15" w:name="_Toc198718818"/>
      <w:bookmarkStart w:id="16" w:name="_Toc231368609"/>
      <w:bookmarkEnd w:id="12"/>
      <w:bookmarkEnd w:id="13"/>
      <w:bookmarkEnd w:id="14"/>
      <w:r w:rsidRPr="00611315">
        <w:rPr>
          <w:rFonts w:ascii="Verdana" w:hAnsi="Verdana" w:cs="Arial"/>
          <w:color w:val="000000" w:themeColor="text1"/>
          <w:szCs w:val="22"/>
        </w:rPr>
        <w:lastRenderedPageBreak/>
        <w:t>CONTEXTO ECONÓMIC</w:t>
      </w:r>
      <w:bookmarkEnd w:id="15"/>
      <w:r w:rsidRPr="00611315">
        <w:rPr>
          <w:rFonts w:ascii="Verdana" w:hAnsi="Verdana" w:cs="Arial"/>
          <w:color w:val="000000" w:themeColor="text1"/>
          <w:szCs w:val="22"/>
        </w:rPr>
        <w:t>O</w:t>
      </w:r>
      <w:bookmarkEnd w:id="16"/>
    </w:p>
    <w:p w14:paraId="3A021000" w14:textId="77777777" w:rsidR="004E6AA4" w:rsidRPr="00611315" w:rsidRDefault="004E6AA4" w:rsidP="004E6AA4">
      <w:pPr>
        <w:rPr>
          <w:rFonts w:ascii="Verdana" w:eastAsia="Verdana Pro" w:hAnsi="Verdana" w:cs="Verdana Pro"/>
          <w:sz w:val="22"/>
          <w:szCs w:val="22"/>
        </w:rPr>
      </w:pPr>
    </w:p>
    <w:p w14:paraId="60032FD7" w14:textId="056F97CE" w:rsidR="009C1BE9" w:rsidRPr="00611315" w:rsidRDefault="00E335B8"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 xml:space="preserve">De acuerdo con el Informe Sectorial de Dinámica Sectorial </w:t>
      </w:r>
      <w:r w:rsidR="00427FB0" w:rsidRPr="00611315">
        <w:rPr>
          <w:rFonts w:ascii="Verdana" w:eastAsia="Verdana Pro" w:hAnsi="Verdana" w:cs="Verdana Pro"/>
          <w:sz w:val="22"/>
          <w:szCs w:val="22"/>
        </w:rPr>
        <w:t>del subsector de i</w:t>
      </w:r>
      <w:r w:rsidR="00BC5861" w:rsidRPr="00611315">
        <w:rPr>
          <w:rFonts w:ascii="Verdana" w:eastAsia="Verdana Pro" w:hAnsi="Verdana" w:cs="Verdana Pro"/>
          <w:sz w:val="22"/>
          <w:szCs w:val="22"/>
        </w:rPr>
        <w:t xml:space="preserve">nfraestructura </w:t>
      </w:r>
      <w:r w:rsidR="00AC3BE5" w:rsidRPr="00611315">
        <w:rPr>
          <w:rFonts w:ascii="Verdana" w:eastAsia="Verdana Pro" w:hAnsi="Verdana" w:cs="Verdana Pro"/>
          <w:sz w:val="22"/>
          <w:szCs w:val="22"/>
        </w:rPr>
        <w:t xml:space="preserve">elaborado por Corficolombiana en 2026, </w:t>
      </w:r>
      <w:r w:rsidR="00F504F3" w:rsidRPr="00611315">
        <w:rPr>
          <w:rFonts w:ascii="Verdana" w:eastAsia="Verdana Pro" w:hAnsi="Verdana" w:cs="Verdana Pro"/>
          <w:sz w:val="22"/>
          <w:szCs w:val="22"/>
        </w:rPr>
        <w:t xml:space="preserve">en el primer trimestre de 2026 </w:t>
      </w:r>
      <w:r w:rsidR="00AC3BE5" w:rsidRPr="00611315">
        <w:rPr>
          <w:rFonts w:ascii="Verdana" w:eastAsia="Verdana Pro" w:hAnsi="Verdana" w:cs="Verdana Pro"/>
          <w:sz w:val="22"/>
          <w:szCs w:val="22"/>
        </w:rPr>
        <w:t xml:space="preserve">el sector de obras civiles alcanzó un crecimiento </w:t>
      </w:r>
      <w:r w:rsidR="004427B3" w:rsidRPr="00611315">
        <w:rPr>
          <w:rFonts w:ascii="Verdana" w:eastAsia="Verdana Pro" w:hAnsi="Verdana" w:cs="Verdana Pro"/>
          <w:sz w:val="22"/>
          <w:szCs w:val="22"/>
        </w:rPr>
        <w:t xml:space="preserve">de </w:t>
      </w:r>
      <w:r w:rsidR="00AC3BE5" w:rsidRPr="00611315">
        <w:rPr>
          <w:rFonts w:ascii="Verdana" w:eastAsia="Verdana Pro" w:hAnsi="Verdana" w:cs="Verdana Pro"/>
          <w:sz w:val="22"/>
          <w:szCs w:val="22"/>
        </w:rPr>
        <w:t>1,</w:t>
      </w:r>
      <w:r w:rsidR="00193CFD" w:rsidRPr="00611315">
        <w:rPr>
          <w:rFonts w:ascii="Verdana" w:eastAsia="Verdana Pro" w:hAnsi="Verdana" w:cs="Verdana Pro"/>
          <w:sz w:val="22"/>
          <w:szCs w:val="22"/>
        </w:rPr>
        <w:t>5</w:t>
      </w:r>
      <w:r w:rsidR="00AC3BE5" w:rsidRPr="00611315">
        <w:rPr>
          <w:rFonts w:ascii="Verdana" w:eastAsia="Verdana Pro" w:hAnsi="Verdana" w:cs="Verdana Pro"/>
          <w:sz w:val="22"/>
          <w:szCs w:val="22"/>
        </w:rPr>
        <w:t>%</w:t>
      </w:r>
      <w:r w:rsidR="0063100C" w:rsidRPr="00611315">
        <w:rPr>
          <w:rFonts w:ascii="Verdana" w:eastAsia="Verdana Pro" w:hAnsi="Verdana" w:cs="Verdana Pro"/>
          <w:sz w:val="22"/>
          <w:szCs w:val="22"/>
        </w:rPr>
        <w:t xml:space="preserve">, </w:t>
      </w:r>
      <w:r w:rsidR="004427B3" w:rsidRPr="00611315">
        <w:rPr>
          <w:rFonts w:ascii="Verdana" w:eastAsia="Verdana Pro" w:hAnsi="Verdana" w:cs="Verdana Pro"/>
          <w:sz w:val="22"/>
          <w:szCs w:val="22"/>
        </w:rPr>
        <w:t xml:space="preserve">el cual </w:t>
      </w:r>
      <w:r w:rsidR="0011500E" w:rsidRPr="00611315">
        <w:rPr>
          <w:rFonts w:ascii="Verdana" w:eastAsia="Verdana Pro" w:hAnsi="Verdana" w:cs="Verdana Pro"/>
          <w:sz w:val="22"/>
          <w:szCs w:val="22"/>
        </w:rPr>
        <w:t>corresponde a su menor registro desde el primer trimestre de 2023</w:t>
      </w:r>
      <w:r w:rsidR="00AC3BE5" w:rsidRPr="00611315">
        <w:rPr>
          <w:rFonts w:ascii="Verdana" w:eastAsia="Verdana Pro" w:hAnsi="Verdana" w:cs="Verdana Pro"/>
          <w:sz w:val="22"/>
          <w:szCs w:val="22"/>
        </w:rPr>
        <w:t>.</w:t>
      </w:r>
      <w:r w:rsidR="0011500E" w:rsidRPr="00611315">
        <w:rPr>
          <w:rFonts w:ascii="Verdana" w:eastAsia="Verdana Pro" w:hAnsi="Verdana" w:cs="Verdana Pro"/>
          <w:sz w:val="22"/>
          <w:szCs w:val="22"/>
        </w:rPr>
        <w:t xml:space="preserve"> Esto se corresponde</w:t>
      </w:r>
      <w:r w:rsidR="00B55EA7" w:rsidRPr="00611315">
        <w:rPr>
          <w:rFonts w:ascii="Verdana" w:eastAsia="Verdana Pro" w:hAnsi="Verdana" w:cs="Verdana Pro"/>
          <w:sz w:val="22"/>
          <w:szCs w:val="22"/>
        </w:rPr>
        <w:t xml:space="preserve"> con lo reflejado en el</w:t>
      </w:r>
      <w:r w:rsidR="009C1BE9" w:rsidRPr="00611315">
        <w:rPr>
          <w:rFonts w:ascii="Verdana" w:eastAsia="Verdana Pro" w:hAnsi="Verdana" w:cs="Verdana Pro"/>
          <w:sz w:val="22"/>
          <w:szCs w:val="22"/>
        </w:rPr>
        <w:t xml:space="preserve"> reporte</w:t>
      </w:r>
      <w:r w:rsidR="00B55EA7" w:rsidRPr="00611315">
        <w:rPr>
          <w:rFonts w:ascii="Verdana" w:eastAsia="Verdana Pro" w:hAnsi="Verdana" w:cs="Verdana Pro"/>
          <w:sz w:val="22"/>
          <w:szCs w:val="22"/>
        </w:rPr>
        <w:t xml:space="preserve"> en donde se</w:t>
      </w:r>
      <w:r w:rsidR="009C1BE9" w:rsidRPr="00611315">
        <w:rPr>
          <w:rFonts w:ascii="Verdana" w:eastAsia="Verdana Pro" w:hAnsi="Verdana" w:cs="Verdana Pro"/>
          <w:sz w:val="22"/>
          <w:szCs w:val="22"/>
        </w:rPr>
        <w:t xml:space="preserve"> indica que persiste un rezago</w:t>
      </w:r>
      <w:r w:rsidR="00B55EA7" w:rsidRPr="00611315">
        <w:rPr>
          <w:rFonts w:ascii="Verdana" w:eastAsia="Verdana Pro" w:hAnsi="Verdana" w:cs="Verdana Pro"/>
          <w:sz w:val="22"/>
          <w:szCs w:val="22"/>
        </w:rPr>
        <w:t xml:space="preserve"> </w:t>
      </w:r>
      <w:r w:rsidR="00D13A6B" w:rsidRPr="00611315">
        <w:rPr>
          <w:rFonts w:ascii="Verdana" w:eastAsia="Verdana Pro" w:hAnsi="Verdana" w:cs="Verdana Pro"/>
          <w:sz w:val="22"/>
          <w:szCs w:val="22"/>
        </w:rPr>
        <w:t>de 36% en</w:t>
      </w:r>
      <w:r w:rsidR="00B55EA7" w:rsidRPr="00611315">
        <w:rPr>
          <w:rFonts w:ascii="Verdana" w:eastAsia="Verdana Pro" w:hAnsi="Verdana" w:cs="Verdana Pro"/>
          <w:sz w:val="22"/>
          <w:szCs w:val="22"/>
        </w:rPr>
        <w:t xml:space="preserve"> el valor agregado del sector</w:t>
      </w:r>
      <w:r w:rsidR="009C1BE9" w:rsidRPr="00611315">
        <w:rPr>
          <w:rFonts w:ascii="Verdana" w:eastAsia="Verdana Pro" w:hAnsi="Verdana" w:cs="Verdana Pro"/>
          <w:sz w:val="22"/>
          <w:szCs w:val="22"/>
        </w:rPr>
        <w:t xml:space="preserve"> </w:t>
      </w:r>
      <w:r w:rsidR="00D13A6B" w:rsidRPr="00611315">
        <w:rPr>
          <w:rFonts w:ascii="Verdana" w:eastAsia="Verdana Pro" w:hAnsi="Verdana" w:cs="Verdana Pro"/>
          <w:sz w:val="22"/>
          <w:szCs w:val="22"/>
        </w:rPr>
        <w:t>f</w:t>
      </w:r>
      <w:r w:rsidR="009C1BE9" w:rsidRPr="00611315">
        <w:rPr>
          <w:rFonts w:ascii="Verdana" w:eastAsia="Verdana Pro" w:hAnsi="Verdana" w:cs="Verdana Pro"/>
          <w:sz w:val="22"/>
          <w:szCs w:val="22"/>
        </w:rPr>
        <w:t>rente a los niveles prepandemia</w:t>
      </w:r>
      <w:r w:rsidR="00705018" w:rsidRPr="00611315">
        <w:rPr>
          <w:rStyle w:val="Refdenotaalpie"/>
          <w:rFonts w:ascii="Verdana" w:eastAsia="Verdana Pro" w:hAnsi="Verdana" w:cs="Verdana Pro"/>
          <w:sz w:val="22"/>
          <w:szCs w:val="22"/>
        </w:rPr>
        <w:footnoteReference w:id="6"/>
      </w:r>
      <w:r w:rsidR="009C1BE9" w:rsidRPr="00611315">
        <w:rPr>
          <w:rFonts w:ascii="Verdana" w:eastAsia="Verdana Pro" w:hAnsi="Verdana" w:cs="Verdana Pro"/>
          <w:sz w:val="22"/>
          <w:szCs w:val="22"/>
        </w:rPr>
        <w:t>.</w:t>
      </w:r>
    </w:p>
    <w:p w14:paraId="6DFE441B" w14:textId="77777777" w:rsidR="00006F43" w:rsidRPr="00611315" w:rsidRDefault="00006F43">
      <w:pPr>
        <w:pStyle w:val="Descripcin"/>
        <w:jc w:val="center"/>
        <w:rPr>
          <w:rFonts w:ascii="Verdana" w:eastAsia="Verdana Pro" w:hAnsi="Verdana" w:cs="Verdana Pro"/>
          <w:sz w:val="22"/>
          <w:szCs w:val="22"/>
        </w:rPr>
      </w:pPr>
    </w:p>
    <w:p w14:paraId="158A81CF" w14:textId="4D8F9851" w:rsidR="009C1BE9" w:rsidRPr="00611315" w:rsidRDefault="00705018" w:rsidP="00954F93">
      <w:pPr>
        <w:pStyle w:val="Descripcin"/>
        <w:jc w:val="center"/>
        <w:rPr>
          <w:rFonts w:ascii="Verdana" w:eastAsia="Verdana Pro" w:hAnsi="Verdana" w:cs="Verdana Pro"/>
          <w:sz w:val="22"/>
          <w:szCs w:val="22"/>
        </w:rPr>
      </w:pPr>
      <w:bookmarkStart w:id="17" w:name="_Toc231368778"/>
      <w:r w:rsidRPr="00954F93">
        <w:rPr>
          <w:rFonts w:ascii="Verdana" w:eastAsia="Verdana Pro" w:hAnsi="Verdana" w:cs="Verdana Pro"/>
          <w:sz w:val="22"/>
          <w:szCs w:val="22"/>
        </w:rPr>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3</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Valor agregado de obras civiles</w:t>
      </w:r>
      <w:bookmarkEnd w:id="17"/>
    </w:p>
    <w:p w14:paraId="7F0C7BF1" w14:textId="5B6A92C0" w:rsidR="009C1BE9" w:rsidRPr="00611315" w:rsidRDefault="00E7744E" w:rsidP="00954F93">
      <w:pPr>
        <w:pStyle w:val="Textoindependiente"/>
        <w:spacing w:before="9"/>
        <w:ind w:right="141"/>
        <w:jc w:val="center"/>
        <w:rPr>
          <w:rFonts w:ascii="Verdana" w:eastAsia="Verdana Pro" w:hAnsi="Verdana" w:cs="Verdana Pro"/>
          <w:sz w:val="22"/>
          <w:szCs w:val="22"/>
        </w:rPr>
      </w:pPr>
      <w:r w:rsidRPr="00611315">
        <w:rPr>
          <w:rFonts w:ascii="Verdana" w:hAnsi="Verdana"/>
          <w:noProof/>
        </w:rPr>
        <w:drawing>
          <wp:inline distT="0" distB="0" distL="0" distR="0" wp14:anchorId="228CB5BB" wp14:editId="7FAA6825">
            <wp:extent cx="4086225" cy="2196935"/>
            <wp:effectExtent l="0" t="0" r="0" b="0"/>
            <wp:docPr id="84601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1683" name=""/>
                    <pic:cNvPicPr/>
                  </pic:nvPicPr>
                  <pic:blipFill rotWithShape="1">
                    <a:blip r:embed="rId17"/>
                    <a:srcRect l="16689" t="38652" r="48967" b="17501"/>
                    <a:stretch>
                      <a:fillRect/>
                    </a:stretch>
                  </pic:blipFill>
                  <pic:spPr bwMode="auto">
                    <a:xfrm>
                      <a:off x="0" y="0"/>
                      <a:ext cx="4135640" cy="2223503"/>
                    </a:xfrm>
                    <a:prstGeom prst="rect">
                      <a:avLst/>
                    </a:prstGeom>
                    <a:ln>
                      <a:noFill/>
                    </a:ln>
                    <a:extLst>
                      <a:ext uri="{53640926-AAD7-44D8-BBD7-CCE9431645EC}">
                        <a14:shadowObscured xmlns:a14="http://schemas.microsoft.com/office/drawing/2010/main"/>
                      </a:ext>
                    </a:extLst>
                  </pic:spPr>
                </pic:pic>
              </a:graphicData>
            </a:graphic>
          </wp:inline>
        </w:drawing>
      </w:r>
    </w:p>
    <w:p w14:paraId="6AD70F14" w14:textId="1627E936" w:rsidR="00BC5861" w:rsidRPr="00A33C10" w:rsidRDefault="00BC5861" w:rsidP="00BC5861">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Pr="00A33C10">
        <w:rPr>
          <w:rFonts w:ascii="Verdana" w:eastAsia="Verdana Pro" w:hAnsi="Verdana" w:cs="Verdana Pro"/>
          <w:sz w:val="22"/>
          <w:szCs w:val="22"/>
        </w:rPr>
        <w:t>Informe Sectorial de Dinámica Sectorial – Sector Infraestructura</w:t>
      </w:r>
    </w:p>
    <w:p w14:paraId="5D818AF1" w14:textId="77777777" w:rsidR="009C1BE9" w:rsidRPr="00611315" w:rsidRDefault="009C1BE9" w:rsidP="004A42BA">
      <w:pPr>
        <w:pStyle w:val="Textoindependiente"/>
        <w:spacing w:before="9"/>
        <w:ind w:right="141"/>
        <w:jc w:val="both"/>
        <w:rPr>
          <w:rFonts w:ascii="Verdana" w:eastAsia="Verdana Pro" w:hAnsi="Verdana" w:cs="Verdana Pro"/>
          <w:sz w:val="22"/>
          <w:szCs w:val="22"/>
        </w:rPr>
      </w:pPr>
    </w:p>
    <w:p w14:paraId="2E98CE2E" w14:textId="6CEA1CE5" w:rsidR="00F94C2E" w:rsidRPr="00611315" w:rsidRDefault="00F94C2E"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 xml:space="preserve">La dinámica del comportamiento del sector de obras </w:t>
      </w:r>
      <w:r w:rsidR="00365650" w:rsidRPr="00611315">
        <w:rPr>
          <w:rFonts w:ascii="Verdana" w:eastAsia="Verdana Pro" w:hAnsi="Verdana" w:cs="Verdana Pro"/>
          <w:sz w:val="22"/>
          <w:szCs w:val="22"/>
        </w:rPr>
        <w:t>civiles</w:t>
      </w:r>
      <w:r w:rsidRPr="00611315">
        <w:rPr>
          <w:rFonts w:ascii="Verdana" w:eastAsia="Verdana Pro" w:hAnsi="Verdana" w:cs="Verdana Pro"/>
          <w:sz w:val="22"/>
          <w:szCs w:val="22"/>
        </w:rPr>
        <w:t xml:space="preserve"> </w:t>
      </w:r>
      <w:r w:rsidR="00614559" w:rsidRPr="00611315">
        <w:rPr>
          <w:rFonts w:ascii="Verdana" w:eastAsia="Verdana Pro" w:hAnsi="Verdana" w:cs="Verdana Pro"/>
          <w:sz w:val="22"/>
          <w:szCs w:val="22"/>
        </w:rPr>
        <w:t xml:space="preserve">durante el primer trimestre de 2026 </w:t>
      </w:r>
      <w:r w:rsidRPr="00611315">
        <w:rPr>
          <w:rFonts w:ascii="Verdana" w:eastAsia="Verdana Pro" w:hAnsi="Verdana" w:cs="Verdana Pro"/>
          <w:sz w:val="22"/>
          <w:szCs w:val="22"/>
        </w:rPr>
        <w:t xml:space="preserve">obedece a un comportamiento mixto en sus diversas actividades: </w:t>
      </w:r>
      <w:r w:rsidR="008035AB" w:rsidRPr="00611315">
        <w:rPr>
          <w:rFonts w:ascii="Verdana" w:eastAsia="Verdana Pro" w:hAnsi="Verdana" w:cs="Verdana Pro"/>
          <w:sz w:val="22"/>
          <w:szCs w:val="22"/>
        </w:rPr>
        <w:t xml:space="preserve">por un lado, crecieron actividades </w:t>
      </w:r>
      <w:r w:rsidR="00365650" w:rsidRPr="00611315">
        <w:rPr>
          <w:rFonts w:ascii="Verdana" w:eastAsia="Verdana Pro" w:hAnsi="Verdana" w:cs="Verdana Pro"/>
          <w:sz w:val="22"/>
          <w:szCs w:val="22"/>
        </w:rPr>
        <w:t>de construcción de carreteras y puentes, líneas eléctricas y obras deportivas</w:t>
      </w:r>
      <w:r w:rsidR="00614559" w:rsidRPr="00611315">
        <w:rPr>
          <w:rFonts w:ascii="Verdana" w:eastAsia="Verdana Pro" w:hAnsi="Verdana" w:cs="Verdana Pro"/>
          <w:sz w:val="22"/>
          <w:szCs w:val="22"/>
        </w:rPr>
        <w:t>, mientras que se evidenció un decrecimiento en las obras hidráulicas y de minería.</w:t>
      </w:r>
      <w:r w:rsidR="008035AB" w:rsidRPr="00611315">
        <w:rPr>
          <w:rFonts w:ascii="Verdana" w:eastAsia="Verdana Pro" w:hAnsi="Verdana" w:cs="Verdana Pro"/>
          <w:sz w:val="22"/>
          <w:szCs w:val="22"/>
        </w:rPr>
        <w:t xml:space="preserve"> </w:t>
      </w:r>
    </w:p>
    <w:p w14:paraId="345031E0" w14:textId="77777777" w:rsidR="00F94C2E" w:rsidRPr="00611315" w:rsidRDefault="00F94C2E" w:rsidP="004A42BA">
      <w:pPr>
        <w:pStyle w:val="Textoindependiente"/>
        <w:spacing w:before="9"/>
        <w:ind w:right="141"/>
        <w:jc w:val="both"/>
        <w:rPr>
          <w:rFonts w:ascii="Verdana" w:eastAsia="Verdana Pro" w:hAnsi="Verdana" w:cs="Verdana Pro"/>
          <w:sz w:val="22"/>
          <w:szCs w:val="22"/>
        </w:rPr>
      </w:pPr>
    </w:p>
    <w:p w14:paraId="037C4B99" w14:textId="7EEB7FE1" w:rsidR="00C210C3" w:rsidRPr="00611315" w:rsidRDefault="00137995" w:rsidP="00954F93">
      <w:pPr>
        <w:pStyle w:val="Descripcin"/>
        <w:jc w:val="center"/>
        <w:rPr>
          <w:rFonts w:ascii="Verdana" w:eastAsia="Verdana Pro" w:hAnsi="Verdana" w:cs="Verdana Pro"/>
          <w:sz w:val="22"/>
          <w:szCs w:val="22"/>
        </w:rPr>
      </w:pPr>
      <w:bookmarkStart w:id="18" w:name="_Toc231368779"/>
      <w:r w:rsidRPr="00954F93">
        <w:rPr>
          <w:rFonts w:ascii="Verdana" w:eastAsia="Verdana Pro" w:hAnsi="Verdana" w:cs="Verdana Pro"/>
          <w:sz w:val="22"/>
          <w:szCs w:val="22"/>
        </w:rPr>
        <w:lastRenderedPageBreak/>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4</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Construcción de obras civiles (IPOC)</w:t>
      </w:r>
      <w:bookmarkEnd w:id="18"/>
    </w:p>
    <w:p w14:paraId="4E8DC202" w14:textId="751DF18C" w:rsidR="00C210C3" w:rsidRPr="00611315" w:rsidRDefault="00B8015F">
      <w:pPr>
        <w:pStyle w:val="Textoindependiente"/>
        <w:spacing w:before="9"/>
        <w:ind w:right="141"/>
        <w:jc w:val="center"/>
        <w:rPr>
          <w:rFonts w:ascii="Verdana" w:eastAsia="Verdana Pro" w:hAnsi="Verdana" w:cs="Verdana Pro"/>
          <w:sz w:val="22"/>
          <w:szCs w:val="22"/>
        </w:rPr>
      </w:pPr>
      <w:r w:rsidRPr="00611315">
        <w:rPr>
          <w:rFonts w:ascii="Verdana" w:hAnsi="Verdana"/>
          <w:noProof/>
        </w:rPr>
        <w:drawing>
          <wp:inline distT="0" distB="0" distL="0" distR="0" wp14:anchorId="18C86D78" wp14:editId="69249591">
            <wp:extent cx="5918100" cy="2291938"/>
            <wp:effectExtent l="0" t="0" r="6985" b="0"/>
            <wp:docPr id="1158595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95025" name=""/>
                    <pic:cNvPicPr/>
                  </pic:nvPicPr>
                  <pic:blipFill rotWithShape="1">
                    <a:blip r:embed="rId18"/>
                    <a:srcRect l="18440" t="32099" r="16923" b="23376"/>
                    <a:stretch>
                      <a:fillRect/>
                    </a:stretch>
                  </pic:blipFill>
                  <pic:spPr bwMode="auto">
                    <a:xfrm>
                      <a:off x="0" y="0"/>
                      <a:ext cx="5950114" cy="2304336"/>
                    </a:xfrm>
                    <a:prstGeom prst="rect">
                      <a:avLst/>
                    </a:prstGeom>
                    <a:ln>
                      <a:noFill/>
                    </a:ln>
                    <a:extLst>
                      <a:ext uri="{53640926-AAD7-44D8-BBD7-CCE9431645EC}">
                        <a14:shadowObscured xmlns:a14="http://schemas.microsoft.com/office/drawing/2010/main"/>
                      </a:ext>
                    </a:extLst>
                  </pic:spPr>
                </pic:pic>
              </a:graphicData>
            </a:graphic>
          </wp:inline>
        </w:drawing>
      </w:r>
    </w:p>
    <w:p w14:paraId="56DAF8A4" w14:textId="77777777" w:rsidR="000A4C34" w:rsidRPr="00A33C10" w:rsidRDefault="000A4C34" w:rsidP="000A4C34">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Pr="00A33C10">
        <w:rPr>
          <w:rFonts w:ascii="Verdana" w:eastAsia="Verdana Pro" w:hAnsi="Verdana" w:cs="Verdana Pro"/>
          <w:sz w:val="22"/>
          <w:szCs w:val="22"/>
        </w:rPr>
        <w:t>Informe Sectorial de Dinámica Sectorial – Sector Infraestructura</w:t>
      </w:r>
    </w:p>
    <w:p w14:paraId="2328DF1A" w14:textId="77777777" w:rsidR="00B06987" w:rsidRPr="00611315" w:rsidRDefault="00B06987" w:rsidP="004A42BA">
      <w:pPr>
        <w:pStyle w:val="Textoindependiente"/>
        <w:spacing w:before="9"/>
        <w:ind w:right="141"/>
        <w:jc w:val="both"/>
        <w:rPr>
          <w:rFonts w:ascii="Verdana" w:eastAsia="Verdana Pro" w:hAnsi="Verdana" w:cs="Verdana Pro"/>
          <w:sz w:val="22"/>
          <w:szCs w:val="22"/>
        </w:rPr>
      </w:pPr>
    </w:p>
    <w:p w14:paraId="4BEFD945" w14:textId="5848F5E1" w:rsidR="005845A7" w:rsidRPr="00611315" w:rsidRDefault="006452D0"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 xml:space="preserve">Cuando el comportamiento desagregado del sector se analiza desde una perspectiva anual </w:t>
      </w:r>
      <w:r w:rsidR="00346D48" w:rsidRPr="00611315">
        <w:rPr>
          <w:rFonts w:ascii="Verdana" w:eastAsia="Verdana Pro" w:hAnsi="Verdana" w:cs="Verdana Pro"/>
          <w:sz w:val="22"/>
          <w:szCs w:val="22"/>
        </w:rPr>
        <w:t>(I trimestre 2025 vs I trimestre 2026), se evidenció que la construcción de carreteras y calles aumentó 13,3% anual, mientras que la construcción de centrales eléctricas,</w:t>
      </w:r>
      <w:r w:rsidR="00A6039C" w:rsidRPr="00611315">
        <w:rPr>
          <w:rFonts w:ascii="Verdana" w:eastAsia="Verdana Pro" w:hAnsi="Verdana" w:cs="Verdana Pro"/>
          <w:sz w:val="22"/>
          <w:szCs w:val="22"/>
        </w:rPr>
        <w:t xml:space="preserve"> acueductos y represas</w:t>
      </w:r>
      <w:r w:rsidR="00346D48" w:rsidRPr="00611315">
        <w:rPr>
          <w:rFonts w:ascii="Verdana" w:eastAsia="Verdana Pro" w:hAnsi="Verdana" w:cs="Verdana Pro"/>
          <w:sz w:val="22"/>
          <w:szCs w:val="22"/>
        </w:rPr>
        <w:t xml:space="preserve"> y construcciones en minas, que fueron determinantes en el crecimiento de 2025, presentaron caídas de dos dígitos</w:t>
      </w:r>
      <w:r w:rsidR="00EB577B" w:rsidRPr="00611315">
        <w:rPr>
          <w:rStyle w:val="Refdenotaalpie"/>
          <w:rFonts w:ascii="Verdana" w:eastAsia="Verdana Pro" w:hAnsi="Verdana" w:cs="Verdana Pro"/>
          <w:sz w:val="22"/>
          <w:szCs w:val="22"/>
        </w:rPr>
        <w:footnoteReference w:id="7"/>
      </w:r>
      <w:r w:rsidR="00EB577B" w:rsidRPr="00611315">
        <w:rPr>
          <w:rFonts w:ascii="Verdana" w:eastAsia="Verdana Pro" w:hAnsi="Verdana" w:cs="Verdana Pro"/>
          <w:sz w:val="22"/>
          <w:szCs w:val="22"/>
        </w:rPr>
        <w:t>.</w:t>
      </w:r>
    </w:p>
    <w:p w14:paraId="7C98CE94" w14:textId="77777777" w:rsidR="005845A7" w:rsidRPr="00611315" w:rsidRDefault="005845A7" w:rsidP="004A42BA">
      <w:pPr>
        <w:pStyle w:val="Textoindependiente"/>
        <w:spacing w:before="9"/>
        <w:ind w:right="141"/>
        <w:jc w:val="both"/>
        <w:rPr>
          <w:rFonts w:ascii="Verdana" w:eastAsia="Verdana Pro" w:hAnsi="Verdana" w:cs="Verdana Pro"/>
          <w:sz w:val="22"/>
          <w:szCs w:val="22"/>
        </w:rPr>
      </w:pPr>
    </w:p>
    <w:p w14:paraId="3211755E"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24510DC1"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6D55DDA5"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38479FF9"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002F0A7F"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18F439A9"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6EDE5161"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1ABE1864" w14:textId="77777777" w:rsidR="00E07CC5" w:rsidRPr="00611315" w:rsidRDefault="00E07CC5" w:rsidP="004A42BA">
      <w:pPr>
        <w:pStyle w:val="Textoindependiente"/>
        <w:spacing w:before="9"/>
        <w:ind w:right="141"/>
        <w:jc w:val="both"/>
        <w:rPr>
          <w:rFonts w:ascii="Verdana" w:eastAsia="Verdana Pro" w:hAnsi="Verdana" w:cs="Verdana Pro"/>
          <w:sz w:val="22"/>
          <w:szCs w:val="22"/>
        </w:rPr>
      </w:pPr>
    </w:p>
    <w:p w14:paraId="07DB7C79" w14:textId="7DD161CE" w:rsidR="00E07CC5" w:rsidRPr="00611315" w:rsidRDefault="003B27EE" w:rsidP="00954F93">
      <w:pPr>
        <w:pStyle w:val="Descripcin"/>
        <w:jc w:val="center"/>
        <w:rPr>
          <w:rFonts w:ascii="Verdana" w:eastAsia="Verdana Pro" w:hAnsi="Verdana" w:cs="Verdana Pro"/>
          <w:sz w:val="22"/>
          <w:szCs w:val="22"/>
        </w:rPr>
      </w:pPr>
      <w:bookmarkStart w:id="19" w:name="_Toc231368780"/>
      <w:r w:rsidRPr="00954F93">
        <w:rPr>
          <w:rFonts w:ascii="Verdana" w:eastAsia="Verdana Pro" w:hAnsi="Verdana" w:cs="Verdana Pro"/>
          <w:sz w:val="22"/>
          <w:szCs w:val="22"/>
        </w:rPr>
        <w:lastRenderedPageBreak/>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5</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Variación anual I-</w:t>
      </w:r>
      <w:proofErr w:type="spellStart"/>
      <w:r w:rsidRPr="00954F93">
        <w:rPr>
          <w:rFonts w:ascii="Verdana" w:eastAsia="Verdana Pro" w:hAnsi="Verdana" w:cs="Verdana Pro"/>
          <w:sz w:val="22"/>
          <w:szCs w:val="22"/>
        </w:rPr>
        <w:t>trim</w:t>
      </w:r>
      <w:proofErr w:type="spellEnd"/>
      <w:r w:rsidRPr="00954F93">
        <w:rPr>
          <w:rFonts w:ascii="Verdana" w:eastAsia="Verdana Pro" w:hAnsi="Verdana" w:cs="Verdana Pro"/>
          <w:sz w:val="22"/>
          <w:szCs w:val="22"/>
        </w:rPr>
        <w:t xml:space="preserve"> 2025 vs I-</w:t>
      </w:r>
      <w:proofErr w:type="spellStart"/>
      <w:r w:rsidRPr="00954F93">
        <w:rPr>
          <w:rFonts w:ascii="Verdana" w:eastAsia="Verdana Pro" w:hAnsi="Verdana" w:cs="Verdana Pro"/>
          <w:sz w:val="22"/>
          <w:szCs w:val="22"/>
        </w:rPr>
        <w:t>trim</w:t>
      </w:r>
      <w:proofErr w:type="spellEnd"/>
      <w:r w:rsidRPr="00954F93">
        <w:rPr>
          <w:rFonts w:ascii="Verdana" w:eastAsia="Verdana Pro" w:hAnsi="Verdana" w:cs="Verdana Pro"/>
          <w:sz w:val="22"/>
          <w:szCs w:val="22"/>
        </w:rPr>
        <w:t xml:space="preserve"> 2026 (IPOC)</w:t>
      </w:r>
      <w:bookmarkEnd w:id="19"/>
    </w:p>
    <w:p w14:paraId="07971D52" w14:textId="3F9642E9" w:rsidR="005845A7" w:rsidRPr="00611315" w:rsidRDefault="00EB577B" w:rsidP="00954F93">
      <w:pPr>
        <w:pStyle w:val="Textoindependiente"/>
        <w:spacing w:before="9"/>
        <w:ind w:right="141"/>
        <w:jc w:val="center"/>
        <w:rPr>
          <w:rFonts w:ascii="Verdana" w:eastAsia="Verdana Pro" w:hAnsi="Verdana" w:cs="Verdana Pro"/>
          <w:sz w:val="22"/>
          <w:szCs w:val="22"/>
        </w:rPr>
      </w:pPr>
      <w:r w:rsidRPr="00611315">
        <w:rPr>
          <w:rFonts w:ascii="Verdana" w:hAnsi="Verdana"/>
          <w:noProof/>
        </w:rPr>
        <w:drawing>
          <wp:inline distT="0" distB="0" distL="0" distR="0" wp14:anchorId="0291B8F1" wp14:editId="7A093DAE">
            <wp:extent cx="5361881" cy="2481943"/>
            <wp:effectExtent l="0" t="0" r="0" b="0"/>
            <wp:docPr id="14705075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07599" name=""/>
                    <pic:cNvPicPr/>
                  </pic:nvPicPr>
                  <pic:blipFill rotWithShape="1">
                    <a:blip r:embed="rId19"/>
                    <a:srcRect l="17463" t="38307" r="17600" b="13376"/>
                    <a:stretch>
                      <a:fillRect/>
                    </a:stretch>
                  </pic:blipFill>
                  <pic:spPr bwMode="auto">
                    <a:xfrm>
                      <a:off x="0" y="0"/>
                      <a:ext cx="5405311" cy="2502046"/>
                    </a:xfrm>
                    <a:prstGeom prst="rect">
                      <a:avLst/>
                    </a:prstGeom>
                    <a:ln>
                      <a:noFill/>
                    </a:ln>
                    <a:extLst>
                      <a:ext uri="{53640926-AAD7-44D8-BBD7-CCE9431645EC}">
                        <a14:shadowObscured xmlns:a14="http://schemas.microsoft.com/office/drawing/2010/main"/>
                      </a:ext>
                    </a:extLst>
                  </pic:spPr>
                </pic:pic>
              </a:graphicData>
            </a:graphic>
          </wp:inline>
        </w:drawing>
      </w:r>
    </w:p>
    <w:p w14:paraId="742D4B80" w14:textId="77777777" w:rsidR="006B45B6" w:rsidRPr="00A33C10" w:rsidRDefault="006B45B6" w:rsidP="006B45B6">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Pr="00A33C10">
        <w:rPr>
          <w:rFonts w:ascii="Verdana" w:eastAsia="Verdana Pro" w:hAnsi="Verdana" w:cs="Verdana Pro"/>
          <w:sz w:val="22"/>
          <w:szCs w:val="22"/>
        </w:rPr>
        <w:t>Informe Sectorial de Dinámica Sectorial – Sector Infraestructura</w:t>
      </w:r>
    </w:p>
    <w:p w14:paraId="54263516" w14:textId="77777777" w:rsidR="005845A7" w:rsidRPr="00611315" w:rsidRDefault="005845A7" w:rsidP="004A42BA">
      <w:pPr>
        <w:pStyle w:val="Textoindependiente"/>
        <w:spacing w:before="9"/>
        <w:ind w:right="141"/>
        <w:jc w:val="both"/>
        <w:rPr>
          <w:rFonts w:ascii="Verdana" w:eastAsia="Verdana Pro" w:hAnsi="Verdana" w:cs="Verdana Pro"/>
          <w:sz w:val="22"/>
          <w:szCs w:val="22"/>
        </w:rPr>
      </w:pPr>
    </w:p>
    <w:p w14:paraId="28B9F1BF" w14:textId="7FD2A7F2" w:rsidR="00006F43" w:rsidRPr="00611315" w:rsidRDefault="001828EE"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De acuerdo con el informe</w:t>
      </w:r>
      <w:r w:rsidR="002603AD" w:rsidRPr="00611315">
        <w:rPr>
          <w:rFonts w:ascii="Verdana" w:eastAsia="Verdana Pro" w:hAnsi="Verdana" w:cs="Verdana Pro"/>
          <w:sz w:val="22"/>
          <w:szCs w:val="22"/>
        </w:rPr>
        <w:t>,</w:t>
      </w:r>
      <w:r w:rsidR="008B54C5" w:rsidRPr="00611315">
        <w:rPr>
          <w:rFonts w:ascii="Verdana" w:eastAsia="Verdana Pro" w:hAnsi="Verdana" w:cs="Verdana Pro"/>
          <w:sz w:val="22"/>
          <w:szCs w:val="22"/>
        </w:rPr>
        <w:t xml:space="preserve"> </w:t>
      </w:r>
      <w:r w:rsidR="00655B76" w:rsidRPr="00611315">
        <w:rPr>
          <w:rFonts w:ascii="Verdana" w:eastAsia="Verdana Pro" w:hAnsi="Verdana" w:cs="Verdana Pro"/>
          <w:sz w:val="22"/>
          <w:szCs w:val="22"/>
        </w:rPr>
        <w:t xml:space="preserve">en </w:t>
      </w:r>
      <w:r w:rsidR="008B54C5" w:rsidRPr="00611315">
        <w:rPr>
          <w:rFonts w:ascii="Verdana" w:eastAsia="Verdana Pro" w:hAnsi="Verdana" w:cs="Verdana Pro"/>
          <w:sz w:val="22"/>
          <w:szCs w:val="22"/>
        </w:rPr>
        <w:t>el sector de obras civiles se</w:t>
      </w:r>
      <w:r w:rsidR="00F44762" w:rsidRPr="00611315">
        <w:rPr>
          <w:rFonts w:ascii="Verdana" w:eastAsia="Verdana Pro" w:hAnsi="Verdana" w:cs="Verdana Pro"/>
          <w:sz w:val="22"/>
          <w:szCs w:val="22"/>
        </w:rPr>
        <w:t xml:space="preserve"> prevé </w:t>
      </w:r>
      <w:r w:rsidR="00EF6038" w:rsidRPr="00611315">
        <w:rPr>
          <w:rFonts w:ascii="Verdana" w:eastAsia="Verdana Pro" w:hAnsi="Verdana" w:cs="Verdana Pro"/>
          <w:sz w:val="22"/>
          <w:szCs w:val="22"/>
        </w:rPr>
        <w:t xml:space="preserve">que </w:t>
      </w:r>
      <w:r w:rsidR="002603AD" w:rsidRPr="00611315">
        <w:rPr>
          <w:rFonts w:ascii="Verdana" w:eastAsia="Verdana Pro" w:hAnsi="Verdana" w:cs="Verdana Pro"/>
          <w:sz w:val="22"/>
          <w:szCs w:val="22"/>
        </w:rPr>
        <w:t>se</w:t>
      </w:r>
      <w:r w:rsidR="008B54C5" w:rsidRPr="00611315">
        <w:rPr>
          <w:rFonts w:ascii="Verdana" w:eastAsia="Verdana Pro" w:hAnsi="Verdana" w:cs="Verdana Pro"/>
          <w:sz w:val="22"/>
          <w:szCs w:val="22"/>
        </w:rPr>
        <w:t xml:space="preserve"> desaceleraría a 1,5% en 2026, en línea con la fuerte corrección en el primer trimestre</w:t>
      </w:r>
      <w:r w:rsidR="00E23C00" w:rsidRPr="00611315">
        <w:rPr>
          <w:rStyle w:val="Refdenotaalpie"/>
          <w:rFonts w:ascii="Verdana" w:eastAsia="Verdana Pro" w:hAnsi="Verdana" w:cs="Verdana Pro"/>
          <w:sz w:val="22"/>
          <w:szCs w:val="22"/>
        </w:rPr>
        <w:footnoteReference w:id="8"/>
      </w:r>
      <w:r w:rsidR="002603AD" w:rsidRPr="00611315">
        <w:rPr>
          <w:rFonts w:ascii="Verdana" w:eastAsia="Verdana Pro" w:hAnsi="Verdana" w:cs="Verdana Pro"/>
          <w:sz w:val="22"/>
          <w:szCs w:val="22"/>
        </w:rPr>
        <w:t>.</w:t>
      </w:r>
    </w:p>
    <w:p w14:paraId="4FB8A490" w14:textId="77777777" w:rsidR="000F7666" w:rsidRPr="00611315" w:rsidRDefault="000F7666" w:rsidP="004A42BA">
      <w:pPr>
        <w:pStyle w:val="Textoindependiente"/>
        <w:spacing w:before="9"/>
        <w:ind w:right="141"/>
        <w:jc w:val="both"/>
        <w:rPr>
          <w:rFonts w:ascii="Verdana" w:eastAsia="Verdana Pro" w:hAnsi="Verdana" w:cs="Verdana Pro"/>
          <w:sz w:val="22"/>
          <w:szCs w:val="22"/>
        </w:rPr>
      </w:pPr>
    </w:p>
    <w:p w14:paraId="46889964" w14:textId="59049FA9" w:rsidR="004A42BA" w:rsidRPr="00611315" w:rsidRDefault="00633200"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De forma complementari</w:t>
      </w:r>
      <w:r w:rsidR="00E11DC0" w:rsidRPr="00611315">
        <w:rPr>
          <w:rFonts w:ascii="Verdana" w:eastAsia="Verdana Pro" w:hAnsi="Verdana" w:cs="Verdana Pro"/>
          <w:sz w:val="22"/>
          <w:szCs w:val="22"/>
        </w:rPr>
        <w:t xml:space="preserve">a con el panorama reflejado por el Informe anterior, </w:t>
      </w:r>
      <w:r w:rsidR="00F11BB0" w:rsidRPr="00611315">
        <w:rPr>
          <w:rFonts w:ascii="Verdana" w:eastAsia="Verdana Pro" w:hAnsi="Verdana" w:cs="Verdana Pro"/>
          <w:sz w:val="22"/>
          <w:szCs w:val="22"/>
        </w:rPr>
        <w:t xml:space="preserve">resulta relevante </w:t>
      </w:r>
      <w:r w:rsidR="002E545A" w:rsidRPr="00611315">
        <w:rPr>
          <w:rFonts w:ascii="Verdana" w:eastAsia="Verdana Pro" w:hAnsi="Verdana" w:cs="Verdana Pro"/>
          <w:sz w:val="22"/>
          <w:szCs w:val="22"/>
        </w:rPr>
        <w:t>incorporar en el análisis el</w:t>
      </w:r>
      <w:r w:rsidR="00F11BB0" w:rsidRPr="00611315">
        <w:rPr>
          <w:rFonts w:ascii="Verdana" w:eastAsia="Verdana Pro" w:hAnsi="Verdana" w:cs="Verdana Pro"/>
          <w:sz w:val="22"/>
          <w:szCs w:val="22"/>
        </w:rPr>
        <w:t xml:space="preserve"> comportamiento del PIB para el año 202</w:t>
      </w:r>
      <w:r w:rsidR="00816A04" w:rsidRPr="00954F93">
        <w:rPr>
          <w:rFonts w:ascii="Verdana" w:eastAsia="Verdana Pro" w:hAnsi="Verdana" w:cs="Verdana Pro"/>
          <w:sz w:val="22"/>
          <w:szCs w:val="22"/>
        </w:rPr>
        <w:t>6</w:t>
      </w:r>
      <w:r w:rsidR="00F11BB0" w:rsidRPr="00611315">
        <w:rPr>
          <w:rFonts w:ascii="Verdana" w:eastAsia="Verdana Pro" w:hAnsi="Verdana" w:cs="Verdana Pro"/>
          <w:sz w:val="22"/>
          <w:szCs w:val="22"/>
        </w:rPr>
        <w:t xml:space="preserve"> </w:t>
      </w:r>
      <w:r w:rsidR="00A167F6" w:rsidRPr="00611315">
        <w:rPr>
          <w:rFonts w:ascii="Verdana" w:eastAsia="Verdana Pro" w:hAnsi="Verdana" w:cs="Verdana Pro"/>
          <w:sz w:val="22"/>
          <w:szCs w:val="22"/>
        </w:rPr>
        <w:t>relacionado</w:t>
      </w:r>
      <w:r w:rsidR="00F11BB0" w:rsidRPr="00611315">
        <w:rPr>
          <w:rFonts w:ascii="Verdana" w:eastAsia="Verdana Pro" w:hAnsi="Verdana" w:cs="Verdana Pro"/>
          <w:sz w:val="22"/>
          <w:szCs w:val="22"/>
        </w:rPr>
        <w:t xml:space="preserve"> en el boletín </w:t>
      </w:r>
      <w:r w:rsidR="00A167F6" w:rsidRPr="00611315">
        <w:rPr>
          <w:rFonts w:ascii="Verdana" w:eastAsia="Verdana Pro" w:hAnsi="Verdana" w:cs="Verdana Pro"/>
          <w:sz w:val="22"/>
          <w:szCs w:val="22"/>
        </w:rPr>
        <w:t>técnico I trimestre 202</w:t>
      </w:r>
      <w:r w:rsidR="00816A04" w:rsidRPr="00954F93">
        <w:rPr>
          <w:rFonts w:ascii="Verdana" w:eastAsia="Verdana Pro" w:hAnsi="Verdana" w:cs="Verdana Pro"/>
          <w:sz w:val="22"/>
          <w:szCs w:val="22"/>
        </w:rPr>
        <w:t>6</w:t>
      </w:r>
      <w:r w:rsidR="002E545A" w:rsidRPr="00611315">
        <w:rPr>
          <w:rFonts w:ascii="Verdana" w:eastAsia="Verdana Pro" w:hAnsi="Verdana" w:cs="Verdana Pro"/>
          <w:sz w:val="22"/>
          <w:szCs w:val="22"/>
        </w:rPr>
        <w:t xml:space="preserve"> emitido por el DANE en </w:t>
      </w:r>
      <w:r w:rsidR="00816A04" w:rsidRPr="00954F93">
        <w:rPr>
          <w:rFonts w:ascii="Verdana" w:eastAsia="Verdana Pro" w:hAnsi="Verdana" w:cs="Verdana Pro"/>
          <w:sz w:val="22"/>
          <w:szCs w:val="22"/>
        </w:rPr>
        <w:t>mayo</w:t>
      </w:r>
      <w:r w:rsidR="002E545A" w:rsidRPr="00611315">
        <w:rPr>
          <w:rFonts w:ascii="Verdana" w:eastAsia="Verdana Pro" w:hAnsi="Verdana" w:cs="Verdana Pro"/>
          <w:sz w:val="22"/>
          <w:szCs w:val="22"/>
        </w:rPr>
        <w:t xml:space="preserve"> de 2026</w:t>
      </w:r>
      <w:r w:rsidR="002E545A" w:rsidRPr="00611315">
        <w:rPr>
          <w:rStyle w:val="Refdenotaalpie"/>
          <w:rFonts w:ascii="Verdana" w:eastAsia="Verdana Pro" w:hAnsi="Verdana" w:cs="Verdana Pro"/>
          <w:sz w:val="22"/>
          <w:szCs w:val="22"/>
        </w:rPr>
        <w:footnoteReference w:id="9"/>
      </w:r>
      <w:r w:rsidR="004C18DA" w:rsidRPr="00611315">
        <w:rPr>
          <w:rFonts w:ascii="Verdana" w:eastAsia="Verdana Pro" w:hAnsi="Verdana" w:cs="Verdana Pro"/>
          <w:sz w:val="22"/>
          <w:szCs w:val="22"/>
        </w:rPr>
        <w:t xml:space="preserve">. De acuerdo con el boletín, el </w:t>
      </w:r>
      <w:r w:rsidR="004B61C3" w:rsidRPr="00954F93">
        <w:rPr>
          <w:rFonts w:ascii="Verdana" w:eastAsia="Verdana Pro" w:hAnsi="Verdana" w:cs="Verdana Pro"/>
          <w:sz w:val="22"/>
          <w:szCs w:val="22"/>
        </w:rPr>
        <w:t xml:space="preserve">PIB </w:t>
      </w:r>
      <w:r w:rsidR="004C18DA" w:rsidRPr="00611315">
        <w:rPr>
          <w:rFonts w:ascii="Verdana" w:eastAsia="Verdana Pro" w:hAnsi="Verdana" w:cs="Verdana Pro"/>
          <w:sz w:val="22"/>
          <w:szCs w:val="22"/>
        </w:rPr>
        <w:t>crece 2,</w:t>
      </w:r>
      <w:r w:rsidR="004B61C3" w:rsidRPr="00954F93">
        <w:rPr>
          <w:rFonts w:ascii="Verdana" w:eastAsia="Verdana Pro" w:hAnsi="Verdana" w:cs="Verdana Pro"/>
          <w:sz w:val="22"/>
          <w:szCs w:val="22"/>
        </w:rPr>
        <w:t>2</w:t>
      </w:r>
      <w:r w:rsidR="004C18DA" w:rsidRPr="00611315">
        <w:rPr>
          <w:rFonts w:ascii="Verdana" w:eastAsia="Verdana Pro" w:hAnsi="Verdana" w:cs="Verdana Pro"/>
          <w:sz w:val="22"/>
          <w:szCs w:val="22"/>
        </w:rPr>
        <w:t xml:space="preserve">% en el </w:t>
      </w:r>
      <w:r w:rsidR="004B61C3" w:rsidRPr="00954F93">
        <w:rPr>
          <w:rFonts w:ascii="Verdana" w:eastAsia="Verdana Pro" w:hAnsi="Verdana" w:cs="Verdana Pro"/>
          <w:sz w:val="22"/>
          <w:szCs w:val="22"/>
        </w:rPr>
        <w:t xml:space="preserve">primer trimestre </w:t>
      </w:r>
      <w:r w:rsidR="004C18DA" w:rsidRPr="00611315">
        <w:rPr>
          <w:rFonts w:ascii="Verdana" w:eastAsia="Verdana Pro" w:hAnsi="Verdana" w:cs="Verdana Pro"/>
          <w:sz w:val="22"/>
          <w:szCs w:val="22"/>
        </w:rPr>
        <w:t>202</w:t>
      </w:r>
      <w:r w:rsidR="004B61C3" w:rsidRPr="00954F93">
        <w:rPr>
          <w:rFonts w:ascii="Verdana" w:eastAsia="Verdana Pro" w:hAnsi="Verdana" w:cs="Verdana Pro"/>
          <w:sz w:val="22"/>
          <w:szCs w:val="22"/>
        </w:rPr>
        <w:t>6</w:t>
      </w:r>
      <w:r w:rsidR="004C18DA" w:rsidRPr="00611315">
        <w:rPr>
          <w:rFonts w:ascii="Verdana" w:eastAsia="Verdana Pro" w:hAnsi="Verdana" w:cs="Verdana Pro"/>
          <w:sz w:val="22"/>
          <w:szCs w:val="22"/>
        </w:rPr>
        <w:t xml:space="preserve">pr respecto al </w:t>
      </w:r>
      <w:r w:rsidR="004B61C3" w:rsidRPr="00954F93">
        <w:rPr>
          <w:rFonts w:ascii="Verdana" w:eastAsia="Verdana Pro" w:hAnsi="Verdana" w:cs="Verdana Pro"/>
          <w:sz w:val="22"/>
          <w:szCs w:val="22"/>
        </w:rPr>
        <w:t>mismo periodo en el año</w:t>
      </w:r>
      <w:r w:rsidR="004C18DA" w:rsidRPr="00611315">
        <w:rPr>
          <w:rFonts w:ascii="Verdana" w:eastAsia="Verdana Pro" w:hAnsi="Verdana" w:cs="Verdana Pro"/>
          <w:sz w:val="22"/>
          <w:szCs w:val="22"/>
        </w:rPr>
        <w:t xml:space="preserve"> 202</w:t>
      </w:r>
      <w:r w:rsidR="004B61C3" w:rsidRPr="00954F93">
        <w:rPr>
          <w:rFonts w:ascii="Verdana" w:eastAsia="Verdana Pro" w:hAnsi="Verdana" w:cs="Verdana Pro"/>
          <w:sz w:val="22"/>
          <w:szCs w:val="22"/>
        </w:rPr>
        <w:t>5</w:t>
      </w:r>
      <w:r w:rsidR="004C18DA" w:rsidRPr="00611315">
        <w:rPr>
          <w:rFonts w:ascii="Verdana" w:eastAsia="Verdana Pro" w:hAnsi="Verdana" w:cs="Verdana Pro"/>
          <w:sz w:val="22"/>
          <w:szCs w:val="22"/>
        </w:rPr>
        <w:t>p</w:t>
      </w:r>
      <w:r w:rsidR="001902FA" w:rsidRPr="00611315">
        <w:rPr>
          <w:rFonts w:ascii="Verdana" w:eastAsia="Verdana Pro" w:hAnsi="Verdana" w:cs="Verdana Pro"/>
          <w:sz w:val="22"/>
          <w:szCs w:val="22"/>
        </w:rPr>
        <w:t xml:space="preserve">; pese a lo anterior, el sector de construcción en el periodo analizado presentó un comportamiento negativo del </w:t>
      </w:r>
      <w:r w:rsidR="006B317A" w:rsidRPr="00954F93">
        <w:rPr>
          <w:rFonts w:ascii="Verdana" w:eastAsia="Verdana Pro" w:hAnsi="Verdana" w:cs="Verdana Pro"/>
          <w:sz w:val="22"/>
          <w:szCs w:val="22"/>
        </w:rPr>
        <w:t>5</w:t>
      </w:r>
      <w:r w:rsidR="00953173" w:rsidRPr="00611315">
        <w:rPr>
          <w:rFonts w:ascii="Verdana" w:eastAsia="Verdana Pro" w:hAnsi="Verdana" w:cs="Verdana Pro"/>
          <w:sz w:val="22"/>
          <w:szCs w:val="22"/>
        </w:rPr>
        <w:t>,</w:t>
      </w:r>
      <w:r w:rsidR="006B317A" w:rsidRPr="00954F93">
        <w:rPr>
          <w:rFonts w:ascii="Verdana" w:eastAsia="Verdana Pro" w:hAnsi="Verdana" w:cs="Verdana Pro"/>
          <w:sz w:val="22"/>
          <w:szCs w:val="22"/>
        </w:rPr>
        <w:t>4</w:t>
      </w:r>
      <w:r w:rsidR="00953173" w:rsidRPr="00611315">
        <w:rPr>
          <w:rFonts w:ascii="Verdana" w:eastAsia="Verdana Pro" w:hAnsi="Verdana" w:cs="Verdana Pro"/>
          <w:sz w:val="22"/>
          <w:szCs w:val="22"/>
        </w:rPr>
        <w:t>%.</w:t>
      </w:r>
    </w:p>
    <w:p w14:paraId="483FE612" w14:textId="77777777" w:rsidR="00953173" w:rsidRPr="00611315" w:rsidRDefault="00953173" w:rsidP="004A42BA">
      <w:pPr>
        <w:pStyle w:val="Textoindependiente"/>
        <w:spacing w:before="9"/>
        <w:ind w:right="141"/>
        <w:jc w:val="both"/>
        <w:rPr>
          <w:rFonts w:ascii="Verdana" w:eastAsia="Verdana Pro" w:hAnsi="Verdana" w:cs="Verdana Pro"/>
          <w:sz w:val="22"/>
          <w:szCs w:val="22"/>
        </w:rPr>
      </w:pPr>
    </w:p>
    <w:p w14:paraId="36DC4C87" w14:textId="77777777" w:rsidR="00D6783B" w:rsidRPr="00611315" w:rsidRDefault="00D6783B" w:rsidP="004A42BA">
      <w:pPr>
        <w:pStyle w:val="Textoindependiente"/>
        <w:spacing w:before="9"/>
        <w:ind w:right="141"/>
        <w:jc w:val="both"/>
        <w:rPr>
          <w:rFonts w:ascii="Verdana" w:eastAsia="Verdana Pro" w:hAnsi="Verdana" w:cs="Verdana Pro"/>
          <w:sz w:val="22"/>
          <w:szCs w:val="22"/>
        </w:rPr>
      </w:pPr>
    </w:p>
    <w:p w14:paraId="26F30B41" w14:textId="77777777" w:rsidR="000F7666" w:rsidRPr="00611315" w:rsidRDefault="000F7666" w:rsidP="004A42BA">
      <w:pPr>
        <w:pStyle w:val="Textoindependiente"/>
        <w:spacing w:before="9"/>
        <w:ind w:right="141"/>
        <w:jc w:val="both"/>
        <w:rPr>
          <w:rFonts w:ascii="Verdana" w:eastAsia="Verdana Pro" w:hAnsi="Verdana" w:cs="Verdana Pro"/>
          <w:sz w:val="22"/>
          <w:szCs w:val="22"/>
        </w:rPr>
      </w:pPr>
    </w:p>
    <w:p w14:paraId="41B540DB" w14:textId="77777777" w:rsidR="000F7666" w:rsidRPr="00611315" w:rsidRDefault="000F7666" w:rsidP="004A42BA">
      <w:pPr>
        <w:pStyle w:val="Textoindependiente"/>
        <w:spacing w:before="9"/>
        <w:ind w:right="141"/>
        <w:jc w:val="both"/>
        <w:rPr>
          <w:rFonts w:ascii="Verdana" w:eastAsia="Verdana Pro" w:hAnsi="Verdana" w:cs="Verdana Pro"/>
          <w:sz w:val="22"/>
          <w:szCs w:val="22"/>
        </w:rPr>
      </w:pPr>
    </w:p>
    <w:p w14:paraId="32A5EEF9" w14:textId="168F8055" w:rsidR="00953173" w:rsidRPr="00611315" w:rsidRDefault="00D6783B" w:rsidP="00954F93">
      <w:pPr>
        <w:pStyle w:val="Descripcin"/>
        <w:jc w:val="center"/>
        <w:rPr>
          <w:rFonts w:ascii="Verdana" w:eastAsia="Verdana Pro" w:hAnsi="Verdana" w:cs="Verdana Pro"/>
          <w:sz w:val="22"/>
          <w:szCs w:val="22"/>
        </w:rPr>
      </w:pPr>
      <w:bookmarkStart w:id="20" w:name="_Toc231368781"/>
      <w:r w:rsidRPr="00954F93">
        <w:rPr>
          <w:rFonts w:ascii="Verdana" w:eastAsia="Verdana Pro" w:hAnsi="Verdana" w:cs="Verdana Pro"/>
          <w:sz w:val="22"/>
          <w:szCs w:val="22"/>
        </w:rPr>
        <w:lastRenderedPageBreak/>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6</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xml:space="preserve">. Valor agregado por actividad económica Tasas de crecimiento en volumen1 </w:t>
      </w:r>
      <w:r w:rsidR="00845852" w:rsidRPr="00611315">
        <w:rPr>
          <w:rFonts w:ascii="Verdana" w:eastAsia="Verdana Pro" w:hAnsi="Verdana" w:cs="Verdana Pro"/>
          <w:sz w:val="22"/>
          <w:szCs w:val="22"/>
        </w:rPr>
        <w:t>Primer</w:t>
      </w:r>
      <w:r w:rsidRPr="00954F93">
        <w:rPr>
          <w:rFonts w:ascii="Verdana" w:eastAsia="Verdana Pro" w:hAnsi="Verdana" w:cs="Verdana Pro"/>
          <w:sz w:val="22"/>
          <w:szCs w:val="22"/>
        </w:rPr>
        <w:t xml:space="preserve"> trimestre 202</w:t>
      </w:r>
      <w:r w:rsidR="00845852" w:rsidRPr="00611315">
        <w:rPr>
          <w:rFonts w:ascii="Verdana" w:eastAsia="Verdana Pro" w:hAnsi="Verdana" w:cs="Verdana Pro"/>
          <w:sz w:val="22"/>
          <w:szCs w:val="22"/>
        </w:rPr>
        <w:t>6</w:t>
      </w:r>
      <w:r w:rsidRPr="00954F93">
        <w:rPr>
          <w:rFonts w:ascii="Verdana" w:eastAsia="Verdana Pro" w:hAnsi="Verdana" w:cs="Verdana Pro"/>
          <w:sz w:val="22"/>
          <w:szCs w:val="22"/>
        </w:rPr>
        <w:t>pr</w:t>
      </w:r>
      <w:bookmarkEnd w:id="20"/>
    </w:p>
    <w:p w14:paraId="4665CB74" w14:textId="0D29DFAC" w:rsidR="00953173" w:rsidRPr="00611315" w:rsidRDefault="006F4530" w:rsidP="00954F93">
      <w:pPr>
        <w:pStyle w:val="Textoindependiente"/>
        <w:spacing w:before="9"/>
        <w:ind w:right="141"/>
        <w:jc w:val="center"/>
        <w:rPr>
          <w:rFonts w:ascii="Verdana" w:eastAsia="Verdana Pro" w:hAnsi="Verdana" w:cs="Verdana Pro"/>
          <w:sz w:val="22"/>
          <w:szCs w:val="22"/>
        </w:rPr>
      </w:pPr>
      <w:r w:rsidRPr="00611315">
        <w:rPr>
          <w:rFonts w:ascii="Verdana" w:hAnsi="Verdana"/>
          <w:noProof/>
        </w:rPr>
        <w:drawing>
          <wp:inline distT="0" distB="0" distL="0" distR="0" wp14:anchorId="1A766EE0" wp14:editId="67523E22">
            <wp:extent cx="4829034" cy="4037610"/>
            <wp:effectExtent l="0" t="0" r="0" b="1270"/>
            <wp:docPr id="411052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52596" name=""/>
                    <pic:cNvPicPr/>
                  </pic:nvPicPr>
                  <pic:blipFill rotWithShape="1">
                    <a:blip r:embed="rId20"/>
                    <a:srcRect l="26971" t="23468" r="30329" b="13028"/>
                    <a:stretch>
                      <a:fillRect/>
                    </a:stretch>
                  </pic:blipFill>
                  <pic:spPr bwMode="auto">
                    <a:xfrm>
                      <a:off x="0" y="0"/>
                      <a:ext cx="4857390" cy="4061319"/>
                    </a:xfrm>
                    <a:prstGeom prst="rect">
                      <a:avLst/>
                    </a:prstGeom>
                    <a:ln>
                      <a:noFill/>
                    </a:ln>
                    <a:extLst>
                      <a:ext uri="{53640926-AAD7-44D8-BBD7-CCE9431645EC}">
                        <a14:shadowObscured xmlns:a14="http://schemas.microsoft.com/office/drawing/2010/main"/>
                      </a:ext>
                    </a:extLst>
                  </pic:spPr>
                </pic:pic>
              </a:graphicData>
            </a:graphic>
          </wp:inline>
        </w:drawing>
      </w:r>
    </w:p>
    <w:p w14:paraId="5139805C" w14:textId="4D9E7B12" w:rsidR="00D6783B" w:rsidRPr="00A33C10" w:rsidRDefault="00D6783B" w:rsidP="00D6783B">
      <w:pPr>
        <w:pStyle w:val="Textoindependiente"/>
        <w:spacing w:line="259" w:lineRule="auto"/>
        <w:ind w:left="140" w:right="141"/>
        <w:jc w:val="center"/>
        <w:rPr>
          <w:rFonts w:ascii="Verdana" w:eastAsia="Verdana Pro" w:hAnsi="Verdana" w:cs="Verdana Pro"/>
          <w:spacing w:val="-2"/>
          <w:sz w:val="32"/>
          <w:szCs w:val="32"/>
        </w:rPr>
      </w:pPr>
      <w:r w:rsidRPr="00A33C10">
        <w:rPr>
          <w:rFonts w:ascii="Verdana" w:eastAsia="Verdana Pro" w:hAnsi="Verdana" w:cs="Verdana Pro"/>
          <w:b/>
          <w:bCs/>
          <w:sz w:val="22"/>
          <w:szCs w:val="22"/>
        </w:rPr>
        <w:t xml:space="preserve">Fuente: </w:t>
      </w:r>
      <w:r w:rsidR="001623A2" w:rsidRPr="00A33C10">
        <w:rPr>
          <w:rFonts w:ascii="Verdana" w:eastAsia="Verdana Pro" w:hAnsi="Verdana" w:cs="Verdana Pro"/>
          <w:sz w:val="22"/>
          <w:szCs w:val="22"/>
        </w:rPr>
        <w:t xml:space="preserve">Boletín técnico </w:t>
      </w:r>
      <w:proofErr w:type="spellStart"/>
      <w:r w:rsidR="001623A2" w:rsidRPr="00A33C10">
        <w:rPr>
          <w:rFonts w:ascii="Verdana" w:eastAsia="Verdana Pro" w:hAnsi="Verdana" w:cs="Verdana Pro"/>
          <w:sz w:val="22"/>
          <w:szCs w:val="22"/>
        </w:rPr>
        <w:t>Dane</w:t>
      </w:r>
      <w:proofErr w:type="spellEnd"/>
      <w:r w:rsidR="001623A2" w:rsidRPr="00A33C10">
        <w:rPr>
          <w:rFonts w:ascii="Verdana" w:eastAsia="Verdana Pro" w:hAnsi="Verdana" w:cs="Verdana Pro"/>
          <w:sz w:val="22"/>
          <w:szCs w:val="22"/>
        </w:rPr>
        <w:t>. Producto Interno Bruto (PIB) I trimestre 202</w:t>
      </w:r>
      <w:r w:rsidR="00863F71" w:rsidRPr="00A33C10">
        <w:rPr>
          <w:rFonts w:ascii="Verdana" w:eastAsia="Verdana Pro" w:hAnsi="Verdana" w:cs="Verdana Pro"/>
          <w:sz w:val="22"/>
          <w:szCs w:val="22"/>
        </w:rPr>
        <w:t>6</w:t>
      </w:r>
      <w:r w:rsidR="001623A2" w:rsidRPr="00A33C10">
        <w:rPr>
          <w:rFonts w:ascii="Verdana" w:eastAsia="Verdana Pro" w:hAnsi="Verdana" w:cs="Verdana Pro"/>
          <w:sz w:val="22"/>
          <w:szCs w:val="22"/>
        </w:rPr>
        <w:t xml:space="preserve"> preliminar</w:t>
      </w:r>
    </w:p>
    <w:p w14:paraId="52B88C7E" w14:textId="77777777" w:rsidR="00953173" w:rsidRPr="00611315" w:rsidRDefault="00953173" w:rsidP="004A42BA">
      <w:pPr>
        <w:pStyle w:val="Textoindependiente"/>
        <w:spacing w:before="9"/>
        <w:ind w:right="141"/>
        <w:jc w:val="both"/>
        <w:rPr>
          <w:rFonts w:ascii="Verdana" w:eastAsia="Verdana Pro" w:hAnsi="Verdana" w:cs="Verdana Pro"/>
          <w:sz w:val="22"/>
          <w:szCs w:val="22"/>
        </w:rPr>
      </w:pPr>
    </w:p>
    <w:p w14:paraId="55750841" w14:textId="1B430C6E" w:rsidR="00953173" w:rsidRPr="00611315" w:rsidRDefault="0035787F" w:rsidP="004A42BA">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 xml:space="preserve">Es importante señalar, que este comportamiento obedece </w:t>
      </w:r>
      <w:r w:rsidR="005F0E9A" w:rsidRPr="00611315">
        <w:rPr>
          <w:rFonts w:ascii="Verdana" w:eastAsia="Verdana Pro" w:hAnsi="Verdana" w:cs="Verdana Pro"/>
          <w:sz w:val="22"/>
          <w:szCs w:val="22"/>
        </w:rPr>
        <w:t xml:space="preserve">por los siguientes comportamientos: </w:t>
      </w:r>
    </w:p>
    <w:p w14:paraId="18141958" w14:textId="14988447" w:rsidR="005F0E9A" w:rsidRPr="00954F93" w:rsidRDefault="005F0E9A" w:rsidP="00954F93">
      <w:pPr>
        <w:pStyle w:val="Textoindependiente"/>
        <w:spacing w:before="9"/>
        <w:ind w:left="720" w:right="141"/>
        <w:jc w:val="both"/>
        <w:rPr>
          <w:rFonts w:ascii="Verdana" w:eastAsia="Verdana Pro" w:hAnsi="Verdana" w:cs="Verdana Pro"/>
          <w:i/>
          <w:iCs/>
          <w:sz w:val="22"/>
          <w:szCs w:val="22"/>
        </w:rPr>
      </w:pPr>
      <w:r w:rsidRPr="00954F93">
        <w:rPr>
          <w:rFonts w:ascii="Verdana" w:eastAsia="Verdana Pro" w:hAnsi="Verdana" w:cs="Verdana Pro"/>
          <w:i/>
          <w:iCs/>
          <w:sz w:val="22"/>
          <w:szCs w:val="22"/>
        </w:rPr>
        <w:t xml:space="preserve">• Construcción de edificaciones residenciales y no residenciales decrece </w:t>
      </w:r>
      <w:r w:rsidR="00863F71" w:rsidRPr="00611315">
        <w:rPr>
          <w:rFonts w:ascii="Verdana" w:eastAsia="Verdana Pro" w:hAnsi="Verdana" w:cs="Verdana Pro"/>
          <w:i/>
          <w:iCs/>
          <w:sz w:val="22"/>
          <w:szCs w:val="22"/>
        </w:rPr>
        <w:t>8</w:t>
      </w:r>
      <w:r w:rsidRPr="00954F93">
        <w:rPr>
          <w:rFonts w:ascii="Verdana" w:eastAsia="Verdana Pro" w:hAnsi="Verdana" w:cs="Verdana Pro"/>
          <w:i/>
          <w:iCs/>
          <w:sz w:val="22"/>
          <w:szCs w:val="22"/>
        </w:rPr>
        <w:t>,</w:t>
      </w:r>
      <w:r w:rsidR="00863F71" w:rsidRPr="00611315">
        <w:rPr>
          <w:rFonts w:ascii="Verdana" w:eastAsia="Verdana Pro" w:hAnsi="Verdana" w:cs="Verdana Pro"/>
          <w:i/>
          <w:iCs/>
          <w:sz w:val="22"/>
          <w:szCs w:val="22"/>
        </w:rPr>
        <w:t>2</w:t>
      </w:r>
      <w:r w:rsidRPr="00954F93">
        <w:rPr>
          <w:rFonts w:ascii="Verdana" w:eastAsia="Verdana Pro" w:hAnsi="Verdana" w:cs="Verdana Pro"/>
          <w:i/>
          <w:iCs/>
          <w:sz w:val="22"/>
          <w:szCs w:val="22"/>
        </w:rPr>
        <w:t xml:space="preserve">%. </w:t>
      </w:r>
    </w:p>
    <w:p w14:paraId="4D4A5AA3" w14:textId="55B42D48" w:rsidR="005F0E9A" w:rsidRPr="00954F93" w:rsidRDefault="005F0E9A" w:rsidP="00954F93">
      <w:pPr>
        <w:pStyle w:val="Textoindependiente"/>
        <w:spacing w:before="9"/>
        <w:ind w:left="720" w:right="141"/>
        <w:jc w:val="both"/>
        <w:rPr>
          <w:rFonts w:ascii="Verdana" w:eastAsia="Verdana Pro" w:hAnsi="Verdana" w:cs="Verdana Pro"/>
          <w:i/>
          <w:iCs/>
          <w:sz w:val="22"/>
          <w:szCs w:val="22"/>
        </w:rPr>
      </w:pPr>
      <w:r w:rsidRPr="00954F93">
        <w:rPr>
          <w:rFonts w:ascii="Verdana" w:eastAsia="Verdana Pro" w:hAnsi="Verdana" w:cs="Verdana Pro"/>
          <w:i/>
          <w:iCs/>
          <w:sz w:val="22"/>
          <w:szCs w:val="22"/>
        </w:rPr>
        <w:t xml:space="preserve">• Construcción de carreteras y vías de ferrocarril, de proyectos de servicio público y de otras obras de ingeniería civil crece </w:t>
      </w:r>
      <w:r w:rsidR="00863F71" w:rsidRPr="00611315">
        <w:rPr>
          <w:rFonts w:ascii="Verdana" w:eastAsia="Verdana Pro" w:hAnsi="Verdana" w:cs="Verdana Pro"/>
          <w:i/>
          <w:iCs/>
          <w:sz w:val="22"/>
          <w:szCs w:val="22"/>
        </w:rPr>
        <w:t>0</w:t>
      </w:r>
      <w:r w:rsidRPr="00954F93">
        <w:rPr>
          <w:rFonts w:ascii="Verdana" w:eastAsia="Verdana Pro" w:hAnsi="Verdana" w:cs="Verdana Pro"/>
          <w:i/>
          <w:iCs/>
          <w:sz w:val="22"/>
          <w:szCs w:val="22"/>
        </w:rPr>
        <w:t>,</w:t>
      </w:r>
      <w:r w:rsidR="00863F71" w:rsidRPr="00611315">
        <w:rPr>
          <w:rFonts w:ascii="Verdana" w:eastAsia="Verdana Pro" w:hAnsi="Verdana" w:cs="Verdana Pro"/>
          <w:i/>
          <w:iCs/>
          <w:sz w:val="22"/>
          <w:szCs w:val="22"/>
        </w:rPr>
        <w:t>6</w:t>
      </w:r>
      <w:r w:rsidRPr="00954F93">
        <w:rPr>
          <w:rFonts w:ascii="Verdana" w:eastAsia="Verdana Pro" w:hAnsi="Verdana" w:cs="Verdana Pro"/>
          <w:i/>
          <w:iCs/>
          <w:sz w:val="22"/>
          <w:szCs w:val="22"/>
        </w:rPr>
        <w:t xml:space="preserve">%. </w:t>
      </w:r>
    </w:p>
    <w:p w14:paraId="3AF2624C" w14:textId="3241D557" w:rsidR="005F0E9A" w:rsidRPr="00954F93" w:rsidRDefault="005F0E9A" w:rsidP="00954F93">
      <w:pPr>
        <w:pStyle w:val="Textoindependiente"/>
        <w:spacing w:before="9"/>
        <w:ind w:left="720" w:right="141"/>
        <w:jc w:val="both"/>
        <w:rPr>
          <w:rFonts w:ascii="Verdana" w:eastAsia="Verdana Pro" w:hAnsi="Verdana" w:cs="Verdana Pro"/>
          <w:i/>
          <w:iCs/>
          <w:sz w:val="22"/>
          <w:szCs w:val="22"/>
        </w:rPr>
      </w:pPr>
      <w:r w:rsidRPr="00954F93">
        <w:rPr>
          <w:rFonts w:ascii="Verdana" w:eastAsia="Verdana Pro" w:hAnsi="Verdana" w:cs="Verdana Pro"/>
          <w:i/>
          <w:iCs/>
          <w:sz w:val="22"/>
          <w:szCs w:val="22"/>
        </w:rPr>
        <w:lastRenderedPageBreak/>
        <w:t xml:space="preserve">• Actividades especializadas para la construcción de edificaciones y obras de ingeniería civil (alquiler de maquinaria y equipo de construcción con operadores) decrece </w:t>
      </w:r>
      <w:r w:rsidR="00863F71" w:rsidRPr="00611315">
        <w:rPr>
          <w:rFonts w:ascii="Verdana" w:eastAsia="Verdana Pro" w:hAnsi="Verdana" w:cs="Verdana Pro"/>
          <w:i/>
          <w:iCs/>
          <w:sz w:val="22"/>
          <w:szCs w:val="22"/>
        </w:rPr>
        <w:t>5</w:t>
      </w:r>
      <w:r w:rsidRPr="00954F93">
        <w:rPr>
          <w:rFonts w:ascii="Verdana" w:eastAsia="Verdana Pro" w:hAnsi="Verdana" w:cs="Verdana Pro"/>
          <w:i/>
          <w:iCs/>
          <w:sz w:val="22"/>
          <w:szCs w:val="22"/>
        </w:rPr>
        <w:t>,</w:t>
      </w:r>
      <w:r w:rsidR="00863F71" w:rsidRPr="00611315">
        <w:rPr>
          <w:rFonts w:ascii="Verdana" w:eastAsia="Verdana Pro" w:hAnsi="Verdana" w:cs="Verdana Pro"/>
          <w:i/>
          <w:iCs/>
          <w:sz w:val="22"/>
          <w:szCs w:val="22"/>
        </w:rPr>
        <w:t>6</w:t>
      </w:r>
      <w:r w:rsidRPr="00954F93">
        <w:rPr>
          <w:rFonts w:ascii="Verdana" w:eastAsia="Verdana Pro" w:hAnsi="Verdana" w:cs="Verdana Pro"/>
          <w:i/>
          <w:iCs/>
          <w:sz w:val="22"/>
          <w:szCs w:val="22"/>
        </w:rPr>
        <w:t>%.</w:t>
      </w:r>
    </w:p>
    <w:p w14:paraId="2769D784" w14:textId="77777777" w:rsidR="00A55E87" w:rsidRPr="00611315" w:rsidRDefault="00A55E87" w:rsidP="004A42BA">
      <w:pPr>
        <w:pStyle w:val="Textoindependiente"/>
        <w:spacing w:before="9"/>
        <w:ind w:right="141"/>
        <w:jc w:val="both"/>
        <w:rPr>
          <w:rFonts w:ascii="Verdana" w:eastAsia="Verdana Pro" w:hAnsi="Verdana" w:cs="Verdana Pro"/>
          <w:sz w:val="22"/>
          <w:szCs w:val="22"/>
        </w:rPr>
      </w:pPr>
    </w:p>
    <w:p w14:paraId="4CC64929" w14:textId="3B4C4BEC" w:rsidR="00A55E87" w:rsidRPr="00611315" w:rsidRDefault="00A55E87" w:rsidP="00954F93">
      <w:pPr>
        <w:pStyle w:val="Descripcin"/>
        <w:jc w:val="center"/>
        <w:rPr>
          <w:rFonts w:ascii="Verdana" w:eastAsia="Verdana Pro" w:hAnsi="Verdana" w:cs="Verdana Pro"/>
          <w:sz w:val="22"/>
          <w:szCs w:val="22"/>
        </w:rPr>
      </w:pPr>
      <w:bookmarkStart w:id="21" w:name="_Toc231368782"/>
      <w:r w:rsidRPr="00954F93">
        <w:rPr>
          <w:rFonts w:ascii="Verdana" w:eastAsia="Verdana Pro" w:hAnsi="Verdana" w:cs="Verdana Pro"/>
          <w:sz w:val="22"/>
          <w:szCs w:val="22"/>
        </w:rPr>
        <w:t xml:space="preserve">Gráfica </w:t>
      </w:r>
      <w:r w:rsidRPr="00954F93">
        <w:rPr>
          <w:rFonts w:ascii="Verdana" w:eastAsia="Verdana Pro" w:hAnsi="Verdana" w:cs="Verdana Pro"/>
          <w:sz w:val="22"/>
          <w:szCs w:val="22"/>
        </w:rPr>
        <w:fldChar w:fldCharType="begin"/>
      </w:r>
      <w:r w:rsidRPr="00954F93">
        <w:rPr>
          <w:rFonts w:ascii="Verdana" w:eastAsia="Verdana Pro" w:hAnsi="Verdana" w:cs="Verdana Pro"/>
          <w:sz w:val="22"/>
          <w:szCs w:val="22"/>
        </w:rPr>
        <w:instrText xml:space="preserve"> SEQ Gráfica \* ARABIC </w:instrText>
      </w:r>
      <w:r w:rsidRPr="00954F93">
        <w:rPr>
          <w:rFonts w:ascii="Verdana" w:eastAsia="Verdana Pro" w:hAnsi="Verdana" w:cs="Verdana Pro"/>
          <w:sz w:val="22"/>
          <w:szCs w:val="22"/>
        </w:rPr>
        <w:fldChar w:fldCharType="separate"/>
      </w:r>
      <w:r w:rsidR="00973CF5">
        <w:rPr>
          <w:rFonts w:ascii="Verdana" w:eastAsia="Verdana Pro" w:hAnsi="Verdana" w:cs="Verdana Pro"/>
          <w:noProof/>
          <w:sz w:val="22"/>
          <w:szCs w:val="22"/>
        </w:rPr>
        <w:t>7</w:t>
      </w:r>
      <w:r w:rsidRPr="00954F93">
        <w:rPr>
          <w:rFonts w:ascii="Verdana" w:eastAsia="Verdana Pro" w:hAnsi="Verdana" w:cs="Verdana Pro"/>
          <w:sz w:val="22"/>
          <w:szCs w:val="22"/>
        </w:rPr>
        <w:fldChar w:fldCharType="end"/>
      </w:r>
      <w:r w:rsidRPr="00954F93">
        <w:rPr>
          <w:rFonts w:ascii="Verdana" w:eastAsia="Verdana Pro" w:hAnsi="Verdana" w:cs="Verdana Pro"/>
          <w:sz w:val="22"/>
          <w:szCs w:val="22"/>
        </w:rPr>
        <w:t xml:space="preserve">. Construcción Tasas de crecimiento en volumen </w:t>
      </w:r>
      <w:r w:rsidR="006D6FD6" w:rsidRPr="00611315">
        <w:rPr>
          <w:rFonts w:ascii="Verdana" w:eastAsia="Verdana Pro" w:hAnsi="Verdana" w:cs="Verdana Pro"/>
          <w:sz w:val="22"/>
          <w:szCs w:val="22"/>
        </w:rPr>
        <w:t>Primer</w:t>
      </w:r>
      <w:r w:rsidRPr="00954F93">
        <w:rPr>
          <w:rFonts w:ascii="Verdana" w:eastAsia="Verdana Pro" w:hAnsi="Verdana" w:cs="Verdana Pro"/>
          <w:sz w:val="22"/>
          <w:szCs w:val="22"/>
        </w:rPr>
        <w:t xml:space="preserve"> trimestre 202</w:t>
      </w:r>
      <w:r w:rsidR="006D6FD6" w:rsidRPr="00611315">
        <w:rPr>
          <w:rFonts w:ascii="Verdana" w:eastAsia="Verdana Pro" w:hAnsi="Verdana" w:cs="Verdana Pro"/>
          <w:sz w:val="22"/>
          <w:szCs w:val="22"/>
        </w:rPr>
        <w:t>6</w:t>
      </w:r>
      <w:r w:rsidRPr="00954F93">
        <w:rPr>
          <w:rFonts w:ascii="Verdana" w:eastAsia="Verdana Pro" w:hAnsi="Verdana" w:cs="Verdana Pro"/>
          <w:sz w:val="22"/>
          <w:szCs w:val="22"/>
        </w:rPr>
        <w:t>pr</w:t>
      </w:r>
      <w:bookmarkEnd w:id="21"/>
    </w:p>
    <w:p w14:paraId="4E3CEC13" w14:textId="1FE79C1A" w:rsidR="0079117A" w:rsidRPr="00611315" w:rsidRDefault="006D6FD6" w:rsidP="00954F93">
      <w:pPr>
        <w:pStyle w:val="Textoindependiente"/>
        <w:spacing w:before="9"/>
        <w:ind w:right="141"/>
        <w:jc w:val="center"/>
        <w:rPr>
          <w:rFonts w:ascii="Verdana" w:eastAsia="Verdana Pro" w:hAnsi="Verdana" w:cs="Verdana Pro"/>
          <w:sz w:val="22"/>
          <w:szCs w:val="22"/>
        </w:rPr>
      </w:pPr>
      <w:r w:rsidRPr="00611315">
        <w:rPr>
          <w:rFonts w:ascii="Verdana" w:hAnsi="Verdana"/>
          <w:noProof/>
        </w:rPr>
        <w:drawing>
          <wp:inline distT="0" distB="0" distL="0" distR="0" wp14:anchorId="48DFC1A4" wp14:editId="78841280">
            <wp:extent cx="5093157" cy="2311902"/>
            <wp:effectExtent l="0" t="0" r="0" b="0"/>
            <wp:docPr id="6232627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62786" name=""/>
                    <pic:cNvPicPr/>
                  </pic:nvPicPr>
                  <pic:blipFill rotWithShape="1">
                    <a:blip r:embed="rId21"/>
                    <a:srcRect l="26594" t="35891" r="28954" b="28217"/>
                    <a:stretch>
                      <a:fillRect/>
                    </a:stretch>
                  </pic:blipFill>
                  <pic:spPr bwMode="auto">
                    <a:xfrm>
                      <a:off x="0" y="0"/>
                      <a:ext cx="5127558" cy="2327517"/>
                    </a:xfrm>
                    <a:prstGeom prst="rect">
                      <a:avLst/>
                    </a:prstGeom>
                    <a:ln>
                      <a:noFill/>
                    </a:ln>
                    <a:extLst>
                      <a:ext uri="{53640926-AAD7-44D8-BBD7-CCE9431645EC}">
                        <a14:shadowObscured xmlns:a14="http://schemas.microsoft.com/office/drawing/2010/main"/>
                      </a:ext>
                    </a:extLst>
                  </pic:spPr>
                </pic:pic>
              </a:graphicData>
            </a:graphic>
          </wp:inline>
        </w:drawing>
      </w:r>
      <w:r w:rsidRPr="00611315" w:rsidDel="004A42BA">
        <w:rPr>
          <w:rFonts w:ascii="Verdana" w:eastAsia="Verdana Pro" w:hAnsi="Verdana" w:cs="Verdana Pro"/>
          <w:sz w:val="22"/>
          <w:szCs w:val="22"/>
        </w:rPr>
        <w:t xml:space="preserve"> </w:t>
      </w:r>
    </w:p>
    <w:p w14:paraId="42290BE0" w14:textId="4810B143" w:rsidR="0079117A" w:rsidRPr="00A33C10" w:rsidRDefault="00964F47" w:rsidP="00954F93">
      <w:pPr>
        <w:pStyle w:val="Textoindependiente"/>
        <w:spacing w:before="9"/>
        <w:ind w:right="141"/>
        <w:jc w:val="center"/>
        <w:rPr>
          <w:rFonts w:ascii="Verdana" w:eastAsia="Verdana Pro" w:hAnsi="Verdana" w:cs="Verdana Pro"/>
          <w:sz w:val="32"/>
          <w:szCs w:val="32"/>
        </w:rPr>
      </w:pPr>
      <w:r w:rsidRPr="00954F93">
        <w:rPr>
          <w:rFonts w:ascii="Verdana" w:hAnsi="Verdana"/>
          <w:b/>
          <w:bCs/>
          <w:sz w:val="22"/>
          <w:szCs w:val="22"/>
        </w:rPr>
        <w:t>Fuente</w:t>
      </w:r>
      <w:r w:rsidRPr="00A33C10">
        <w:rPr>
          <w:rFonts w:ascii="Verdana" w:hAnsi="Verdana"/>
          <w:sz w:val="22"/>
          <w:szCs w:val="22"/>
        </w:rPr>
        <w:t xml:space="preserve">: </w:t>
      </w:r>
      <w:r w:rsidR="001623A2" w:rsidRPr="00A33C10">
        <w:rPr>
          <w:rFonts w:ascii="Verdana" w:hAnsi="Verdana"/>
          <w:sz w:val="22"/>
          <w:szCs w:val="22"/>
        </w:rPr>
        <w:t>Boletín técnico. Producto Interno Bruto (PIB) I trimestre 202</w:t>
      </w:r>
      <w:r w:rsidR="006D6FD6" w:rsidRPr="00A33C10">
        <w:rPr>
          <w:rFonts w:ascii="Verdana" w:hAnsi="Verdana"/>
          <w:sz w:val="22"/>
          <w:szCs w:val="22"/>
        </w:rPr>
        <w:t>6</w:t>
      </w:r>
      <w:r w:rsidR="001623A2" w:rsidRPr="00A33C10">
        <w:rPr>
          <w:rFonts w:ascii="Verdana" w:hAnsi="Verdana"/>
          <w:sz w:val="22"/>
          <w:szCs w:val="22"/>
        </w:rPr>
        <w:t xml:space="preserve"> preliminar</w:t>
      </w:r>
    </w:p>
    <w:p w14:paraId="13AEA5C4" w14:textId="77777777" w:rsidR="0079117A" w:rsidRPr="00611315" w:rsidRDefault="0079117A" w:rsidP="004A42BA">
      <w:pPr>
        <w:pStyle w:val="Textoindependiente"/>
        <w:spacing w:before="9"/>
        <w:ind w:right="141"/>
        <w:jc w:val="both"/>
        <w:rPr>
          <w:rFonts w:ascii="Verdana" w:eastAsia="Verdana Pro" w:hAnsi="Verdana" w:cs="Verdana Pro"/>
          <w:sz w:val="22"/>
          <w:szCs w:val="22"/>
        </w:rPr>
      </w:pPr>
    </w:p>
    <w:p w14:paraId="3F96CC18" w14:textId="674CD3E3" w:rsidR="004E6AA4" w:rsidRPr="00611315" w:rsidRDefault="004E6AA4" w:rsidP="004E6AA4">
      <w:pPr>
        <w:pStyle w:val="Textoindependiente"/>
        <w:numPr>
          <w:ilvl w:val="0"/>
          <w:numId w:val="49"/>
        </w:numPr>
        <w:spacing w:before="9"/>
        <w:ind w:right="141"/>
        <w:jc w:val="both"/>
        <w:rPr>
          <w:rFonts w:ascii="Verdana" w:eastAsia="Verdana Pro" w:hAnsi="Verdana" w:cs="Verdana Pro"/>
          <w:b/>
          <w:bCs/>
          <w:sz w:val="22"/>
          <w:szCs w:val="22"/>
        </w:rPr>
      </w:pPr>
      <w:r w:rsidRPr="00611315">
        <w:rPr>
          <w:rFonts w:ascii="Verdana" w:eastAsia="Verdana Pro" w:hAnsi="Verdana" w:cs="Verdana Pro"/>
          <w:b/>
          <w:bCs/>
          <w:sz w:val="22"/>
          <w:szCs w:val="22"/>
        </w:rPr>
        <w:t xml:space="preserve">Índice de Costos de la Construcción de </w:t>
      </w:r>
      <w:r w:rsidR="00F66486" w:rsidRPr="00954F93">
        <w:rPr>
          <w:rFonts w:ascii="Verdana" w:eastAsia="Verdana Pro" w:hAnsi="Verdana" w:cs="Verdana Pro"/>
          <w:b/>
          <w:bCs/>
          <w:sz w:val="22"/>
          <w:szCs w:val="22"/>
        </w:rPr>
        <w:t>Obras civiles</w:t>
      </w:r>
    </w:p>
    <w:p w14:paraId="0A4ADC9A" w14:textId="77777777" w:rsidR="004E6AA4" w:rsidRPr="00954F93" w:rsidRDefault="004E6AA4" w:rsidP="004E6AA4">
      <w:pPr>
        <w:pStyle w:val="Textoindependiente"/>
        <w:spacing w:before="9"/>
        <w:ind w:left="720" w:right="141"/>
        <w:jc w:val="both"/>
        <w:rPr>
          <w:rFonts w:ascii="Verdana" w:eastAsia="Verdana Pro" w:hAnsi="Verdana" w:cs="Verdana Pro"/>
          <w:b/>
          <w:bCs/>
          <w:sz w:val="22"/>
          <w:szCs w:val="22"/>
          <w:highlight w:val="yellow"/>
        </w:rPr>
      </w:pPr>
    </w:p>
    <w:p w14:paraId="57DEBF81" w14:textId="5DC4D348" w:rsidR="003C2FF7" w:rsidRPr="00611315" w:rsidRDefault="003D0DF6" w:rsidP="004E6AA4">
      <w:pPr>
        <w:pStyle w:val="Textoindependiente"/>
        <w:spacing w:before="9"/>
        <w:jc w:val="both"/>
        <w:rPr>
          <w:rFonts w:ascii="Verdana" w:eastAsia="Verdana Pro" w:hAnsi="Verdana" w:cs="Verdana Pro"/>
          <w:sz w:val="22"/>
          <w:szCs w:val="22"/>
        </w:rPr>
      </w:pPr>
      <w:r w:rsidRPr="00954F93">
        <w:rPr>
          <w:rFonts w:ascii="Verdana" w:eastAsia="Verdana Pro" w:hAnsi="Verdana" w:cs="Verdana Pro"/>
          <w:sz w:val="22"/>
          <w:szCs w:val="22"/>
        </w:rPr>
        <w:t>Con el ánimo de ahondar en la dinámica económica del sector de infraest</w:t>
      </w:r>
      <w:r w:rsidR="00BF6A78" w:rsidRPr="00954F93">
        <w:rPr>
          <w:rFonts w:ascii="Verdana" w:eastAsia="Verdana Pro" w:hAnsi="Verdana" w:cs="Verdana Pro"/>
          <w:sz w:val="22"/>
          <w:szCs w:val="22"/>
        </w:rPr>
        <w:t xml:space="preserve">ructura de </w:t>
      </w:r>
      <w:r w:rsidR="00170B35" w:rsidRPr="00611315">
        <w:rPr>
          <w:rFonts w:ascii="Verdana" w:eastAsia="Verdana Pro" w:hAnsi="Verdana" w:cs="Verdana Pro"/>
          <w:sz w:val="22"/>
          <w:szCs w:val="22"/>
        </w:rPr>
        <w:t>agua potable</w:t>
      </w:r>
      <w:r w:rsidR="00BF6A78" w:rsidRPr="00954F93">
        <w:rPr>
          <w:rFonts w:ascii="Verdana" w:eastAsia="Verdana Pro" w:hAnsi="Verdana" w:cs="Verdana Pro"/>
          <w:sz w:val="22"/>
          <w:szCs w:val="22"/>
        </w:rPr>
        <w:t xml:space="preserve">, resulta pertinente analizar la variación </w:t>
      </w:r>
      <w:r w:rsidR="00170B35" w:rsidRPr="00611315">
        <w:rPr>
          <w:rFonts w:ascii="Verdana" w:eastAsia="Verdana Pro" w:hAnsi="Verdana" w:cs="Verdana Pro"/>
          <w:sz w:val="22"/>
          <w:szCs w:val="22"/>
        </w:rPr>
        <w:t>de precios asociados a las obras del sector de infraestructura de obras civiles a través de</w:t>
      </w:r>
      <w:r w:rsidR="00887B1B" w:rsidRPr="00611315">
        <w:rPr>
          <w:rFonts w:ascii="Verdana" w:eastAsia="Verdana Pro" w:hAnsi="Verdana" w:cs="Verdana Pro"/>
          <w:sz w:val="22"/>
          <w:szCs w:val="22"/>
        </w:rPr>
        <w:t xml:space="preserve">l comportamiento </w:t>
      </w:r>
      <w:r w:rsidR="00A651FD" w:rsidRPr="00611315">
        <w:rPr>
          <w:rFonts w:ascii="Verdana" w:eastAsia="Verdana Pro" w:hAnsi="Verdana" w:cs="Verdana Pro"/>
          <w:sz w:val="22"/>
          <w:szCs w:val="22"/>
        </w:rPr>
        <w:t xml:space="preserve">anual </w:t>
      </w:r>
      <w:r w:rsidR="00887B1B" w:rsidRPr="00611315">
        <w:rPr>
          <w:rFonts w:ascii="Verdana" w:eastAsia="Verdana Pro" w:hAnsi="Verdana" w:cs="Verdana Pro"/>
          <w:sz w:val="22"/>
          <w:szCs w:val="22"/>
        </w:rPr>
        <w:t>que tuvo el</w:t>
      </w:r>
      <w:r w:rsidR="00A651FD" w:rsidRPr="00611315">
        <w:rPr>
          <w:rFonts w:ascii="Verdana" w:eastAsia="Verdana Pro" w:hAnsi="Verdana" w:cs="Verdana Pro"/>
          <w:sz w:val="22"/>
          <w:szCs w:val="22"/>
        </w:rPr>
        <w:t xml:space="preserve"> Índice de Costos de la Construcción de Obras Civiles - </w:t>
      </w:r>
      <w:r w:rsidR="00887B1B" w:rsidRPr="00611315">
        <w:rPr>
          <w:rFonts w:ascii="Verdana" w:eastAsia="Verdana Pro" w:hAnsi="Verdana" w:cs="Verdana Pro"/>
          <w:sz w:val="22"/>
          <w:szCs w:val="22"/>
        </w:rPr>
        <w:t>ICOCIV</w:t>
      </w:r>
      <w:r w:rsidR="005F17E0" w:rsidRPr="00611315">
        <w:rPr>
          <w:rStyle w:val="Refdenotaalpie"/>
          <w:rFonts w:ascii="Verdana" w:eastAsia="Verdana Pro" w:hAnsi="Verdana" w:cs="Verdana Pro"/>
          <w:sz w:val="22"/>
          <w:szCs w:val="22"/>
        </w:rPr>
        <w:footnoteReference w:id="10"/>
      </w:r>
      <w:r w:rsidR="00887B1B" w:rsidRPr="00611315">
        <w:rPr>
          <w:rFonts w:ascii="Verdana" w:eastAsia="Verdana Pro" w:hAnsi="Verdana" w:cs="Verdana Pro"/>
          <w:sz w:val="22"/>
          <w:szCs w:val="22"/>
        </w:rPr>
        <w:t xml:space="preserve"> </w:t>
      </w:r>
      <w:r w:rsidR="00A651FD" w:rsidRPr="00611315">
        <w:rPr>
          <w:rFonts w:ascii="Verdana" w:eastAsia="Verdana Pro" w:hAnsi="Verdana" w:cs="Verdana Pro"/>
          <w:sz w:val="22"/>
          <w:szCs w:val="22"/>
        </w:rPr>
        <w:t xml:space="preserve">conforme con el Boletín técnico para </w:t>
      </w:r>
      <w:proofErr w:type="gramStart"/>
      <w:r w:rsidR="008D3125" w:rsidRPr="00611315">
        <w:rPr>
          <w:rFonts w:ascii="Verdana" w:eastAsia="Verdana Pro" w:hAnsi="Verdana" w:cs="Verdana Pro"/>
          <w:sz w:val="22"/>
          <w:szCs w:val="22"/>
        </w:rPr>
        <w:t>Marzo</w:t>
      </w:r>
      <w:proofErr w:type="gramEnd"/>
      <w:r w:rsidR="005F17E0" w:rsidRPr="00611315">
        <w:rPr>
          <w:rFonts w:ascii="Verdana" w:eastAsia="Verdana Pro" w:hAnsi="Verdana" w:cs="Verdana Pro"/>
          <w:sz w:val="22"/>
          <w:szCs w:val="22"/>
        </w:rPr>
        <w:t xml:space="preserve"> de 2026 publicado por el DANE</w:t>
      </w:r>
      <w:r w:rsidR="002F7131" w:rsidRPr="00611315">
        <w:rPr>
          <w:rStyle w:val="Refdenotaalpie"/>
          <w:rFonts w:ascii="Verdana" w:eastAsia="Verdana Pro" w:hAnsi="Verdana" w:cs="Verdana Pro"/>
          <w:sz w:val="22"/>
          <w:szCs w:val="22"/>
        </w:rPr>
        <w:footnoteReference w:id="11"/>
      </w:r>
      <w:r w:rsidR="005F17E0" w:rsidRPr="00611315">
        <w:rPr>
          <w:rFonts w:ascii="Verdana" w:eastAsia="Verdana Pro" w:hAnsi="Verdana" w:cs="Verdana Pro"/>
          <w:sz w:val="22"/>
          <w:szCs w:val="22"/>
        </w:rPr>
        <w:t>.</w:t>
      </w:r>
      <w:r w:rsidR="004F70D9" w:rsidRPr="00611315">
        <w:rPr>
          <w:rFonts w:ascii="Verdana" w:eastAsia="Verdana Pro" w:hAnsi="Verdana" w:cs="Verdana Pro"/>
          <w:sz w:val="22"/>
          <w:szCs w:val="22"/>
        </w:rPr>
        <w:t xml:space="preserve"> </w:t>
      </w:r>
    </w:p>
    <w:p w14:paraId="45EB9DD6" w14:textId="38CECA36" w:rsidR="008917FF" w:rsidRPr="00611315" w:rsidRDefault="004F70D9" w:rsidP="004E6AA4">
      <w:pPr>
        <w:pStyle w:val="Textoindependiente"/>
        <w:spacing w:before="9"/>
        <w:jc w:val="both"/>
        <w:rPr>
          <w:rFonts w:ascii="Verdana" w:eastAsia="Verdana Pro" w:hAnsi="Verdana" w:cs="Verdana Pro"/>
          <w:sz w:val="22"/>
          <w:szCs w:val="22"/>
        </w:rPr>
      </w:pPr>
      <w:r w:rsidRPr="00611315">
        <w:rPr>
          <w:rFonts w:ascii="Verdana" w:eastAsia="Verdana Pro" w:hAnsi="Verdana" w:cs="Verdana Pro"/>
          <w:sz w:val="22"/>
          <w:szCs w:val="22"/>
        </w:rPr>
        <w:t xml:space="preserve">De acuerdo con el informe señalado, </w:t>
      </w:r>
      <w:r w:rsidR="003C2FF7" w:rsidRPr="00611315">
        <w:rPr>
          <w:rFonts w:ascii="Verdana" w:eastAsia="Verdana Pro" w:hAnsi="Verdana" w:cs="Verdana Pro"/>
          <w:sz w:val="22"/>
          <w:szCs w:val="22"/>
        </w:rPr>
        <w:t xml:space="preserve">en </w:t>
      </w:r>
      <w:r w:rsidR="005A3CB3" w:rsidRPr="00611315">
        <w:rPr>
          <w:rFonts w:ascii="Verdana" w:eastAsia="Verdana Pro" w:hAnsi="Verdana" w:cs="Verdana Pro"/>
          <w:sz w:val="22"/>
          <w:szCs w:val="22"/>
        </w:rPr>
        <w:t>marzo</w:t>
      </w:r>
      <w:r w:rsidR="003C2FF7" w:rsidRPr="00611315">
        <w:rPr>
          <w:rFonts w:ascii="Verdana" w:eastAsia="Verdana Pro" w:hAnsi="Verdana" w:cs="Verdana Pro"/>
          <w:sz w:val="22"/>
          <w:szCs w:val="22"/>
        </w:rPr>
        <w:t xml:space="preserve"> de 2026, la variación anual del ICOCIV fue </w:t>
      </w:r>
      <w:r w:rsidR="005A3CB3" w:rsidRPr="00611315">
        <w:rPr>
          <w:rFonts w:ascii="Verdana" w:eastAsia="Verdana Pro" w:hAnsi="Verdana" w:cs="Verdana Pro"/>
          <w:sz w:val="22"/>
          <w:szCs w:val="22"/>
        </w:rPr>
        <w:t>1</w:t>
      </w:r>
      <w:r w:rsidR="003C2FF7" w:rsidRPr="00611315">
        <w:rPr>
          <w:rFonts w:ascii="Verdana" w:eastAsia="Verdana Pro" w:hAnsi="Verdana" w:cs="Verdana Pro"/>
          <w:sz w:val="22"/>
          <w:szCs w:val="22"/>
        </w:rPr>
        <w:t>,</w:t>
      </w:r>
      <w:r w:rsidR="005A3CB3" w:rsidRPr="00611315">
        <w:rPr>
          <w:rFonts w:ascii="Verdana" w:eastAsia="Verdana Pro" w:hAnsi="Verdana" w:cs="Verdana Pro"/>
          <w:sz w:val="22"/>
          <w:szCs w:val="22"/>
        </w:rPr>
        <w:t>02</w:t>
      </w:r>
      <w:r w:rsidR="003C2FF7" w:rsidRPr="00611315">
        <w:rPr>
          <w:rFonts w:ascii="Verdana" w:eastAsia="Verdana Pro" w:hAnsi="Verdana" w:cs="Verdana Pro"/>
          <w:sz w:val="22"/>
          <w:szCs w:val="22"/>
        </w:rPr>
        <w:t xml:space="preserve">%, en comparación con </w:t>
      </w:r>
      <w:r w:rsidR="00E57B6A" w:rsidRPr="00611315">
        <w:rPr>
          <w:rFonts w:ascii="Verdana" w:eastAsia="Verdana Pro" w:hAnsi="Verdana" w:cs="Verdana Pro"/>
          <w:sz w:val="22"/>
          <w:szCs w:val="22"/>
        </w:rPr>
        <w:t xml:space="preserve">febrero </w:t>
      </w:r>
      <w:r w:rsidR="003C2FF7" w:rsidRPr="00611315">
        <w:rPr>
          <w:rFonts w:ascii="Verdana" w:eastAsia="Verdana Pro" w:hAnsi="Verdana" w:cs="Verdana Pro"/>
          <w:sz w:val="22"/>
          <w:szCs w:val="22"/>
        </w:rPr>
        <w:t>de 202</w:t>
      </w:r>
      <w:r w:rsidR="00E57B6A" w:rsidRPr="00611315">
        <w:rPr>
          <w:rFonts w:ascii="Verdana" w:eastAsia="Verdana Pro" w:hAnsi="Verdana" w:cs="Verdana Pro"/>
          <w:sz w:val="22"/>
          <w:szCs w:val="22"/>
        </w:rPr>
        <w:t>6</w:t>
      </w:r>
      <w:r w:rsidR="003C2FF7" w:rsidRPr="00611315">
        <w:rPr>
          <w:rFonts w:ascii="Verdana" w:eastAsia="Verdana Pro" w:hAnsi="Verdana" w:cs="Verdana Pro"/>
          <w:sz w:val="22"/>
          <w:szCs w:val="22"/>
        </w:rPr>
        <w:t xml:space="preserve">. </w:t>
      </w:r>
      <w:r w:rsidR="00E57B6A" w:rsidRPr="00611315">
        <w:rPr>
          <w:rFonts w:ascii="Verdana" w:eastAsia="Verdana Pro" w:hAnsi="Verdana" w:cs="Verdana Pro"/>
          <w:sz w:val="22"/>
          <w:szCs w:val="22"/>
        </w:rPr>
        <w:t>Tres</w:t>
      </w:r>
      <w:r w:rsidR="003C2FF7" w:rsidRPr="00611315">
        <w:rPr>
          <w:rFonts w:ascii="Verdana" w:eastAsia="Verdana Pro" w:hAnsi="Verdana" w:cs="Verdana Pro"/>
          <w:sz w:val="22"/>
          <w:szCs w:val="22"/>
        </w:rPr>
        <w:t xml:space="preserve"> de las cinco agrupaciones CPC</w:t>
      </w:r>
      <w:r w:rsidR="00F83BCE" w:rsidRPr="00611315">
        <w:rPr>
          <w:rStyle w:val="Refdenotaalpie"/>
          <w:rFonts w:ascii="Verdana" w:eastAsia="Verdana Pro" w:hAnsi="Verdana" w:cs="Verdana Pro"/>
          <w:sz w:val="22"/>
          <w:szCs w:val="22"/>
        </w:rPr>
        <w:footnoteReference w:id="12"/>
      </w:r>
      <w:r w:rsidR="003C2FF7" w:rsidRPr="00611315">
        <w:rPr>
          <w:rFonts w:ascii="Verdana" w:eastAsia="Verdana Pro" w:hAnsi="Verdana" w:cs="Verdana Pro"/>
          <w:sz w:val="22"/>
          <w:szCs w:val="22"/>
        </w:rPr>
        <w:t xml:space="preserve"> </w:t>
      </w:r>
      <w:r w:rsidR="003C2FF7" w:rsidRPr="00611315">
        <w:rPr>
          <w:rFonts w:ascii="Verdana" w:eastAsia="Verdana Pro" w:hAnsi="Verdana" w:cs="Verdana Pro"/>
          <w:sz w:val="22"/>
          <w:szCs w:val="22"/>
        </w:rPr>
        <w:lastRenderedPageBreak/>
        <w:t>relacionadas con la construcción de obras civiles presento una variación por encima del promedio nacional (</w:t>
      </w:r>
      <w:r w:rsidR="00A44C87" w:rsidRPr="00611315">
        <w:rPr>
          <w:rFonts w:ascii="Verdana" w:eastAsia="Verdana Pro" w:hAnsi="Verdana" w:cs="Verdana Pro"/>
          <w:sz w:val="22"/>
          <w:szCs w:val="22"/>
        </w:rPr>
        <w:t>1</w:t>
      </w:r>
      <w:r w:rsidR="003C2FF7" w:rsidRPr="00611315">
        <w:rPr>
          <w:rFonts w:ascii="Verdana" w:eastAsia="Verdana Pro" w:hAnsi="Verdana" w:cs="Verdana Pro"/>
          <w:sz w:val="22"/>
          <w:szCs w:val="22"/>
        </w:rPr>
        <w:t>,</w:t>
      </w:r>
      <w:r w:rsidR="00A44C87" w:rsidRPr="00611315">
        <w:rPr>
          <w:rFonts w:ascii="Verdana" w:eastAsia="Verdana Pro" w:hAnsi="Verdana" w:cs="Verdana Pro"/>
          <w:sz w:val="22"/>
          <w:szCs w:val="22"/>
        </w:rPr>
        <w:t>02</w:t>
      </w:r>
      <w:r w:rsidR="003C2FF7" w:rsidRPr="00611315">
        <w:rPr>
          <w:rFonts w:ascii="Verdana" w:eastAsia="Verdana Pro" w:hAnsi="Verdana" w:cs="Verdana Pro"/>
          <w:sz w:val="22"/>
          <w:szCs w:val="22"/>
        </w:rPr>
        <w:t xml:space="preserve">%): </w:t>
      </w:r>
      <w:r w:rsidR="00A44C87" w:rsidRPr="00611315">
        <w:rPr>
          <w:rFonts w:ascii="Verdana" w:eastAsia="Verdana Pro" w:hAnsi="Verdana" w:cs="Verdana Pro"/>
          <w:sz w:val="22"/>
          <w:szCs w:val="22"/>
        </w:rPr>
        <w:t>Puertos, canales, presas, sistemas de riego y otras obras hidráulicas (acueductos) (1,46%), Tuberías para la conducción de gas a larga distancia, líneas de comunicación y cables de poder; tuberías y cables locales, y obras conexas (1,41%) y Construcciones deportivas al aire libre y otras obras de ingeniería civil (1,20%).</w:t>
      </w:r>
      <w:r w:rsidR="009808E7" w:rsidRPr="00611315">
        <w:rPr>
          <w:rFonts w:ascii="Verdana" w:eastAsia="Verdana Pro" w:hAnsi="Verdana" w:cs="Verdana Pro"/>
          <w:sz w:val="22"/>
          <w:szCs w:val="22"/>
        </w:rPr>
        <w:t xml:space="preserve"> Por otra parte, las agrupaciones: Carreteras, calles, vías férreas y pistas de aterrizaje, puentes, carreteras elevadas y túneles (0,89%) y Construcciones en minas y plantas industriales (0,61%), se ubicaron por debajo del promedio nacional.</w:t>
      </w:r>
    </w:p>
    <w:p w14:paraId="3A0FCF0B" w14:textId="77777777" w:rsidR="003B664F" w:rsidRPr="00611315" w:rsidRDefault="003B664F" w:rsidP="004E6AA4">
      <w:pPr>
        <w:pStyle w:val="Textoindependiente"/>
        <w:spacing w:before="9"/>
        <w:jc w:val="both"/>
        <w:rPr>
          <w:rFonts w:ascii="Verdana" w:eastAsia="Verdana Pro" w:hAnsi="Verdana" w:cs="Verdana Pro"/>
          <w:sz w:val="22"/>
          <w:szCs w:val="22"/>
        </w:rPr>
      </w:pPr>
    </w:p>
    <w:p w14:paraId="476E0599" w14:textId="5436FE76" w:rsidR="003B664F" w:rsidRPr="00611315" w:rsidRDefault="00964F47" w:rsidP="00A33C10">
      <w:pPr>
        <w:pStyle w:val="Descripcin"/>
        <w:jc w:val="center"/>
        <w:rPr>
          <w:rFonts w:ascii="Verdana" w:eastAsia="Verdana Pro" w:hAnsi="Verdana" w:cs="Verdana Pro"/>
          <w:sz w:val="22"/>
          <w:szCs w:val="22"/>
        </w:rPr>
      </w:pPr>
      <w:bookmarkStart w:id="22" w:name="_Toc231368783"/>
      <w:r w:rsidRPr="00A33C10">
        <w:rPr>
          <w:rFonts w:ascii="Verdana" w:eastAsia="Verdana Pro" w:hAnsi="Verdana" w:cs="Verdana Pro"/>
          <w:sz w:val="22"/>
          <w:szCs w:val="22"/>
        </w:rPr>
        <w:t xml:space="preserve">Gráfica </w:t>
      </w:r>
      <w:r w:rsidRPr="00A33C10">
        <w:rPr>
          <w:rFonts w:ascii="Verdana" w:eastAsia="Verdana Pro" w:hAnsi="Verdana" w:cs="Verdana Pro"/>
          <w:sz w:val="22"/>
          <w:szCs w:val="22"/>
        </w:rPr>
        <w:fldChar w:fldCharType="begin"/>
      </w:r>
      <w:r w:rsidRPr="00A33C10">
        <w:rPr>
          <w:rFonts w:ascii="Verdana" w:eastAsia="Verdana Pro" w:hAnsi="Verdana" w:cs="Verdana Pro"/>
          <w:sz w:val="22"/>
          <w:szCs w:val="22"/>
        </w:rPr>
        <w:instrText xml:space="preserve"> SEQ Gráfica \* ARABIC </w:instrText>
      </w:r>
      <w:r w:rsidRPr="00A33C10">
        <w:rPr>
          <w:rFonts w:ascii="Verdana" w:eastAsia="Verdana Pro" w:hAnsi="Verdana" w:cs="Verdana Pro"/>
          <w:sz w:val="22"/>
          <w:szCs w:val="22"/>
        </w:rPr>
        <w:fldChar w:fldCharType="separate"/>
      </w:r>
      <w:r w:rsidR="00973CF5">
        <w:rPr>
          <w:rFonts w:ascii="Verdana" w:eastAsia="Verdana Pro" w:hAnsi="Verdana" w:cs="Verdana Pro"/>
          <w:noProof/>
          <w:sz w:val="22"/>
          <w:szCs w:val="22"/>
        </w:rPr>
        <w:t>8</w:t>
      </w:r>
      <w:r w:rsidRPr="00A33C10">
        <w:rPr>
          <w:rFonts w:ascii="Verdana" w:eastAsia="Verdana Pro" w:hAnsi="Verdana" w:cs="Verdana Pro"/>
          <w:sz w:val="22"/>
          <w:szCs w:val="22"/>
        </w:rPr>
        <w:fldChar w:fldCharType="end"/>
      </w:r>
      <w:r w:rsidRPr="00A33C10">
        <w:rPr>
          <w:rFonts w:ascii="Verdana" w:eastAsia="Verdana Pro" w:hAnsi="Verdana" w:cs="Verdana Pro"/>
          <w:sz w:val="22"/>
          <w:szCs w:val="22"/>
        </w:rPr>
        <w:t xml:space="preserve">. ICOCIV. Variación y contribución </w:t>
      </w:r>
      <w:r w:rsidR="004A5F2D" w:rsidRPr="00611315">
        <w:rPr>
          <w:rFonts w:ascii="Verdana" w:eastAsia="Verdana Pro" w:hAnsi="Verdana" w:cs="Verdana Pro"/>
          <w:sz w:val="22"/>
          <w:szCs w:val="22"/>
        </w:rPr>
        <w:t>mens</w:t>
      </w:r>
      <w:r w:rsidRPr="00954F93">
        <w:rPr>
          <w:rFonts w:ascii="Verdana" w:eastAsia="Verdana Pro" w:hAnsi="Verdana" w:cs="Verdana Pro"/>
          <w:sz w:val="22"/>
          <w:szCs w:val="22"/>
        </w:rPr>
        <w:t>ual de las cinco agrupaciones de subclases CPC V 2.0 al total.</w:t>
      </w:r>
      <w:bookmarkEnd w:id="22"/>
    </w:p>
    <w:p w14:paraId="7525CD9D" w14:textId="47BEA930" w:rsidR="003B664F" w:rsidRPr="00611315" w:rsidRDefault="004A5F2D" w:rsidP="00954F93">
      <w:pPr>
        <w:pStyle w:val="Textoindependiente"/>
        <w:spacing w:before="9"/>
        <w:jc w:val="center"/>
        <w:rPr>
          <w:rFonts w:ascii="Verdana" w:eastAsia="Verdana Pro" w:hAnsi="Verdana" w:cs="Verdana Pro"/>
          <w:sz w:val="22"/>
          <w:szCs w:val="22"/>
        </w:rPr>
      </w:pPr>
      <w:r w:rsidRPr="00611315">
        <w:rPr>
          <w:rFonts w:ascii="Verdana" w:hAnsi="Verdana"/>
          <w:noProof/>
        </w:rPr>
        <w:drawing>
          <wp:inline distT="0" distB="0" distL="0" distR="0" wp14:anchorId="786D81E2" wp14:editId="1894E8DB">
            <wp:extent cx="6136968" cy="2434441"/>
            <wp:effectExtent l="0" t="0" r="0" b="4445"/>
            <wp:docPr id="943820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20047" name=""/>
                    <pic:cNvPicPr/>
                  </pic:nvPicPr>
                  <pic:blipFill rotWithShape="1">
                    <a:blip r:embed="rId22"/>
                    <a:srcRect l="26778" t="35202" r="27228" b="32345"/>
                    <a:stretch>
                      <a:fillRect/>
                    </a:stretch>
                  </pic:blipFill>
                  <pic:spPr bwMode="auto">
                    <a:xfrm>
                      <a:off x="0" y="0"/>
                      <a:ext cx="6182265" cy="2452410"/>
                    </a:xfrm>
                    <a:prstGeom prst="rect">
                      <a:avLst/>
                    </a:prstGeom>
                    <a:ln>
                      <a:noFill/>
                    </a:ln>
                    <a:extLst>
                      <a:ext uri="{53640926-AAD7-44D8-BBD7-CCE9431645EC}">
                        <a14:shadowObscured xmlns:a14="http://schemas.microsoft.com/office/drawing/2010/main"/>
                      </a:ext>
                    </a:extLst>
                  </pic:spPr>
                </pic:pic>
              </a:graphicData>
            </a:graphic>
          </wp:inline>
        </w:drawing>
      </w:r>
    </w:p>
    <w:p w14:paraId="4F418627" w14:textId="3C248FBB" w:rsidR="00964F47" w:rsidRPr="00A33C10" w:rsidRDefault="00964F47" w:rsidP="00964F47">
      <w:pPr>
        <w:pStyle w:val="Textoindependiente"/>
        <w:spacing w:before="9"/>
        <w:ind w:right="141"/>
        <w:jc w:val="center"/>
        <w:rPr>
          <w:rFonts w:ascii="Verdana" w:eastAsia="Verdana Pro" w:hAnsi="Verdana" w:cs="Verdana Pro"/>
          <w:sz w:val="32"/>
          <w:szCs w:val="32"/>
        </w:rPr>
      </w:pPr>
      <w:r w:rsidRPr="00A33C10">
        <w:rPr>
          <w:rFonts w:ascii="Verdana" w:hAnsi="Verdana"/>
          <w:b/>
          <w:bCs/>
          <w:sz w:val="22"/>
          <w:szCs w:val="22"/>
        </w:rPr>
        <w:t>Fuente</w:t>
      </w:r>
      <w:r w:rsidRPr="00A33C10">
        <w:rPr>
          <w:rFonts w:ascii="Verdana" w:hAnsi="Verdana"/>
          <w:sz w:val="22"/>
          <w:szCs w:val="22"/>
        </w:rPr>
        <w:t xml:space="preserve">: Boletín técnico. </w:t>
      </w:r>
      <w:r w:rsidR="009B5265" w:rsidRPr="00A33C10">
        <w:rPr>
          <w:rFonts w:ascii="Verdana" w:hAnsi="Verdana"/>
          <w:sz w:val="22"/>
          <w:szCs w:val="22"/>
        </w:rPr>
        <w:t>Índice de Costos de la Construcción de Obras Civiles - ICOCIV</w:t>
      </w:r>
    </w:p>
    <w:p w14:paraId="22BD0DD2" w14:textId="77777777" w:rsidR="003B664F" w:rsidRPr="00611315" w:rsidRDefault="003B664F" w:rsidP="004E6AA4">
      <w:pPr>
        <w:pStyle w:val="Textoindependiente"/>
        <w:spacing w:before="9"/>
        <w:jc w:val="both"/>
        <w:rPr>
          <w:rFonts w:ascii="Verdana" w:eastAsia="Verdana Pro" w:hAnsi="Verdana" w:cs="Verdana Pro"/>
          <w:sz w:val="22"/>
          <w:szCs w:val="22"/>
        </w:rPr>
      </w:pPr>
    </w:p>
    <w:p w14:paraId="350D1D64" w14:textId="133BCB25" w:rsidR="00B20B07" w:rsidRPr="00611315" w:rsidRDefault="0063575E" w:rsidP="00C40C75">
      <w:pPr>
        <w:pStyle w:val="Textoindependiente"/>
        <w:spacing w:before="9"/>
        <w:jc w:val="both"/>
        <w:rPr>
          <w:rFonts w:ascii="Verdana" w:eastAsia="Verdana Pro" w:hAnsi="Verdana" w:cs="Verdana Pro"/>
          <w:sz w:val="22"/>
          <w:szCs w:val="22"/>
        </w:rPr>
      </w:pPr>
      <w:r w:rsidRPr="00611315">
        <w:rPr>
          <w:rFonts w:ascii="Verdana" w:eastAsia="Verdana Pro" w:hAnsi="Verdana" w:cs="Verdana Pro"/>
          <w:sz w:val="22"/>
          <w:szCs w:val="22"/>
        </w:rPr>
        <w:t xml:space="preserve">Este comportamiento reflejado en la </w:t>
      </w:r>
      <w:r w:rsidR="003E1800" w:rsidRPr="00611315">
        <w:rPr>
          <w:rFonts w:ascii="Verdana" w:eastAsia="Verdana Pro" w:hAnsi="Verdana" w:cs="Verdana Pro"/>
          <w:sz w:val="22"/>
          <w:szCs w:val="22"/>
        </w:rPr>
        <w:t>clase</w:t>
      </w:r>
      <w:r w:rsidRPr="00611315">
        <w:rPr>
          <w:rFonts w:ascii="Verdana" w:eastAsia="Verdana Pro" w:hAnsi="Verdana" w:cs="Verdana Pro"/>
          <w:sz w:val="22"/>
          <w:szCs w:val="22"/>
        </w:rPr>
        <w:t xml:space="preserve"> Puertos, canales, presas, sistemas de riego y otras obras hidráulicas (acueductos)</w:t>
      </w:r>
      <w:r w:rsidR="00F77C48" w:rsidRPr="00611315">
        <w:rPr>
          <w:rFonts w:ascii="Verdana" w:eastAsia="Verdana Pro" w:hAnsi="Verdana" w:cs="Verdana Pro"/>
          <w:sz w:val="22"/>
          <w:szCs w:val="22"/>
        </w:rPr>
        <w:t xml:space="preserve"> obedece a la variación presentada en</w:t>
      </w:r>
      <w:r w:rsidR="00F50A3A" w:rsidRPr="00611315">
        <w:rPr>
          <w:rFonts w:ascii="Verdana" w:eastAsia="Verdana Pro" w:hAnsi="Verdana" w:cs="Verdana Pro"/>
          <w:sz w:val="22"/>
          <w:szCs w:val="22"/>
        </w:rPr>
        <w:t xml:space="preserve"> cada una de sus subclases</w:t>
      </w:r>
      <w:r w:rsidR="00B6537E" w:rsidRPr="00611315">
        <w:rPr>
          <w:rFonts w:ascii="Verdana" w:eastAsia="Verdana Pro" w:hAnsi="Verdana" w:cs="Verdana Pro"/>
          <w:sz w:val="22"/>
          <w:szCs w:val="22"/>
        </w:rPr>
        <w:t xml:space="preserve">: i) </w:t>
      </w:r>
      <w:r w:rsidR="002D4B43" w:rsidRPr="00611315">
        <w:rPr>
          <w:rFonts w:ascii="Verdana" w:eastAsia="Verdana Pro" w:hAnsi="Verdana" w:cs="Verdana Pro"/>
          <w:sz w:val="22"/>
          <w:szCs w:val="22"/>
        </w:rPr>
        <w:t>Puertos, vías navegables e instalaciones conexas (</w:t>
      </w:r>
      <w:r w:rsidR="000652E1" w:rsidRPr="00611315">
        <w:rPr>
          <w:rFonts w:ascii="Verdana" w:eastAsia="Verdana Pro" w:hAnsi="Verdana" w:cs="Verdana Pro"/>
          <w:sz w:val="22"/>
          <w:szCs w:val="22"/>
        </w:rPr>
        <w:t>4</w:t>
      </w:r>
      <w:r w:rsidR="002D4B43" w:rsidRPr="00611315">
        <w:rPr>
          <w:rFonts w:ascii="Verdana" w:eastAsia="Verdana Pro" w:hAnsi="Verdana" w:cs="Verdana Pro"/>
          <w:sz w:val="22"/>
          <w:szCs w:val="22"/>
        </w:rPr>
        <w:t>,</w:t>
      </w:r>
      <w:r w:rsidR="000652E1" w:rsidRPr="00611315">
        <w:rPr>
          <w:rFonts w:ascii="Verdana" w:eastAsia="Verdana Pro" w:hAnsi="Verdana" w:cs="Verdana Pro"/>
          <w:sz w:val="22"/>
          <w:szCs w:val="22"/>
        </w:rPr>
        <w:t>10</w:t>
      </w:r>
      <w:r w:rsidR="002D4B43" w:rsidRPr="00611315">
        <w:rPr>
          <w:rFonts w:ascii="Verdana" w:eastAsia="Verdana Pro" w:hAnsi="Verdana" w:cs="Verdana Pro"/>
          <w:sz w:val="22"/>
          <w:szCs w:val="22"/>
        </w:rPr>
        <w:t xml:space="preserve">%); </w:t>
      </w:r>
      <w:proofErr w:type="spellStart"/>
      <w:r w:rsidR="002D4B43" w:rsidRPr="00611315">
        <w:rPr>
          <w:rFonts w:ascii="Verdana" w:eastAsia="Verdana Pro" w:hAnsi="Verdana" w:cs="Verdana Pro"/>
          <w:sz w:val="22"/>
          <w:szCs w:val="22"/>
        </w:rPr>
        <w:t>ii</w:t>
      </w:r>
      <w:proofErr w:type="spellEnd"/>
      <w:r w:rsidR="002D4B43" w:rsidRPr="00611315">
        <w:rPr>
          <w:rFonts w:ascii="Verdana" w:eastAsia="Verdana Pro" w:hAnsi="Verdana" w:cs="Verdana Pro"/>
          <w:sz w:val="22"/>
          <w:szCs w:val="22"/>
        </w:rPr>
        <w:t xml:space="preserve">) </w:t>
      </w:r>
      <w:r w:rsidR="00C40C75" w:rsidRPr="00611315">
        <w:rPr>
          <w:rFonts w:ascii="Verdana" w:eastAsia="Verdana Pro" w:hAnsi="Verdana" w:cs="Verdana Pro"/>
          <w:sz w:val="22"/>
          <w:szCs w:val="22"/>
        </w:rPr>
        <w:t>Acueductos y otros conductos de suministro de agua, excepto gasoductos</w:t>
      </w:r>
      <w:r w:rsidR="00EE0BE6" w:rsidRPr="00611315">
        <w:rPr>
          <w:rFonts w:ascii="Verdana" w:eastAsia="Verdana Pro" w:hAnsi="Verdana" w:cs="Verdana Pro"/>
          <w:sz w:val="22"/>
          <w:szCs w:val="22"/>
        </w:rPr>
        <w:t xml:space="preserve"> (</w:t>
      </w:r>
      <w:r w:rsidR="000652E1" w:rsidRPr="00611315">
        <w:rPr>
          <w:rFonts w:ascii="Verdana" w:eastAsia="Verdana Pro" w:hAnsi="Verdana" w:cs="Verdana Pro"/>
          <w:sz w:val="22"/>
          <w:szCs w:val="22"/>
        </w:rPr>
        <w:t>7</w:t>
      </w:r>
      <w:r w:rsidR="00EE0BE6" w:rsidRPr="00611315">
        <w:rPr>
          <w:rFonts w:ascii="Verdana" w:eastAsia="Verdana Pro" w:hAnsi="Verdana" w:cs="Verdana Pro"/>
          <w:sz w:val="22"/>
          <w:szCs w:val="22"/>
        </w:rPr>
        <w:t>,</w:t>
      </w:r>
      <w:r w:rsidR="000652E1" w:rsidRPr="00611315">
        <w:rPr>
          <w:rFonts w:ascii="Verdana" w:eastAsia="Verdana Pro" w:hAnsi="Verdana" w:cs="Verdana Pro"/>
          <w:sz w:val="22"/>
          <w:szCs w:val="22"/>
        </w:rPr>
        <w:t>19</w:t>
      </w:r>
      <w:r w:rsidR="00EE0BE6" w:rsidRPr="00611315">
        <w:rPr>
          <w:rFonts w:ascii="Verdana" w:eastAsia="Verdana Pro" w:hAnsi="Verdana" w:cs="Verdana Pro"/>
          <w:sz w:val="22"/>
          <w:szCs w:val="22"/>
        </w:rPr>
        <w:t xml:space="preserve">%); </w:t>
      </w:r>
      <w:proofErr w:type="spellStart"/>
      <w:r w:rsidR="00EE0BE6" w:rsidRPr="00611315">
        <w:rPr>
          <w:rFonts w:ascii="Verdana" w:eastAsia="Verdana Pro" w:hAnsi="Verdana" w:cs="Verdana Pro"/>
          <w:sz w:val="22"/>
          <w:szCs w:val="22"/>
        </w:rPr>
        <w:t>iii</w:t>
      </w:r>
      <w:proofErr w:type="spellEnd"/>
      <w:r w:rsidR="00EE0BE6" w:rsidRPr="00611315">
        <w:rPr>
          <w:rFonts w:ascii="Verdana" w:eastAsia="Verdana Pro" w:hAnsi="Verdana" w:cs="Verdana Pro"/>
          <w:sz w:val="22"/>
          <w:szCs w:val="22"/>
        </w:rPr>
        <w:t>) Represas (</w:t>
      </w:r>
      <w:r w:rsidR="000652E1" w:rsidRPr="00611315">
        <w:rPr>
          <w:rFonts w:ascii="Verdana" w:eastAsia="Verdana Pro" w:hAnsi="Verdana" w:cs="Verdana Pro"/>
          <w:sz w:val="22"/>
          <w:szCs w:val="22"/>
        </w:rPr>
        <w:t>6</w:t>
      </w:r>
      <w:r w:rsidR="00EE0BE6" w:rsidRPr="00611315">
        <w:rPr>
          <w:rFonts w:ascii="Verdana" w:eastAsia="Verdana Pro" w:hAnsi="Verdana" w:cs="Verdana Pro"/>
          <w:sz w:val="22"/>
          <w:szCs w:val="22"/>
        </w:rPr>
        <w:t>,</w:t>
      </w:r>
      <w:r w:rsidR="000652E1" w:rsidRPr="00611315">
        <w:rPr>
          <w:rFonts w:ascii="Verdana" w:eastAsia="Verdana Pro" w:hAnsi="Verdana" w:cs="Verdana Pro"/>
          <w:sz w:val="22"/>
          <w:szCs w:val="22"/>
        </w:rPr>
        <w:t>42</w:t>
      </w:r>
      <w:r w:rsidR="00EE0BE6" w:rsidRPr="00611315">
        <w:rPr>
          <w:rFonts w:ascii="Verdana" w:eastAsia="Verdana Pro" w:hAnsi="Verdana" w:cs="Verdana Pro"/>
          <w:sz w:val="22"/>
          <w:szCs w:val="22"/>
        </w:rPr>
        <w:t xml:space="preserve">%); y </w:t>
      </w:r>
      <w:proofErr w:type="spellStart"/>
      <w:r w:rsidR="00EE0BE6" w:rsidRPr="00611315">
        <w:rPr>
          <w:rFonts w:ascii="Verdana" w:eastAsia="Verdana Pro" w:hAnsi="Verdana" w:cs="Verdana Pro"/>
          <w:sz w:val="22"/>
          <w:szCs w:val="22"/>
        </w:rPr>
        <w:t>iv</w:t>
      </w:r>
      <w:proofErr w:type="spellEnd"/>
      <w:r w:rsidR="00EE0BE6" w:rsidRPr="00611315">
        <w:rPr>
          <w:rFonts w:ascii="Verdana" w:eastAsia="Verdana Pro" w:hAnsi="Verdana" w:cs="Verdana Pro"/>
          <w:sz w:val="22"/>
          <w:szCs w:val="22"/>
        </w:rPr>
        <w:t xml:space="preserve">) </w:t>
      </w:r>
      <w:r w:rsidR="00A33068" w:rsidRPr="00611315">
        <w:rPr>
          <w:rFonts w:ascii="Verdana" w:eastAsia="Verdana Pro" w:hAnsi="Verdana" w:cs="Verdana Pro"/>
          <w:sz w:val="22"/>
          <w:szCs w:val="22"/>
        </w:rPr>
        <w:t>Sistemas de riego y obras hidráulicas de control de inundaciones (</w:t>
      </w:r>
      <w:r w:rsidR="000652E1" w:rsidRPr="00611315">
        <w:rPr>
          <w:rFonts w:ascii="Verdana" w:eastAsia="Verdana Pro" w:hAnsi="Verdana" w:cs="Verdana Pro"/>
          <w:sz w:val="22"/>
          <w:szCs w:val="22"/>
        </w:rPr>
        <w:t>5</w:t>
      </w:r>
      <w:r w:rsidR="00A33068" w:rsidRPr="00611315">
        <w:rPr>
          <w:rFonts w:ascii="Verdana" w:eastAsia="Verdana Pro" w:hAnsi="Verdana" w:cs="Verdana Pro"/>
          <w:sz w:val="22"/>
          <w:szCs w:val="22"/>
        </w:rPr>
        <w:t>,</w:t>
      </w:r>
      <w:r w:rsidR="000652E1" w:rsidRPr="00611315">
        <w:rPr>
          <w:rFonts w:ascii="Verdana" w:eastAsia="Verdana Pro" w:hAnsi="Verdana" w:cs="Verdana Pro"/>
          <w:sz w:val="22"/>
          <w:szCs w:val="22"/>
        </w:rPr>
        <w:t>08</w:t>
      </w:r>
      <w:r w:rsidR="00A33068" w:rsidRPr="00611315">
        <w:rPr>
          <w:rFonts w:ascii="Verdana" w:eastAsia="Verdana Pro" w:hAnsi="Verdana" w:cs="Verdana Pro"/>
          <w:sz w:val="22"/>
          <w:szCs w:val="22"/>
        </w:rPr>
        <w:t>%)</w:t>
      </w:r>
      <w:r w:rsidR="005E53C7" w:rsidRPr="00611315">
        <w:rPr>
          <w:rStyle w:val="Refdenotaalpie"/>
          <w:rFonts w:ascii="Verdana" w:eastAsia="Verdana Pro" w:hAnsi="Verdana" w:cs="Verdana Pro"/>
          <w:sz w:val="22"/>
          <w:szCs w:val="22"/>
        </w:rPr>
        <w:footnoteReference w:id="13"/>
      </w:r>
      <w:r w:rsidR="00EF70F4" w:rsidRPr="00611315">
        <w:rPr>
          <w:rFonts w:ascii="Verdana" w:eastAsia="Verdana Pro" w:hAnsi="Verdana" w:cs="Verdana Pro"/>
          <w:sz w:val="22"/>
          <w:szCs w:val="22"/>
        </w:rPr>
        <w:t>.</w:t>
      </w:r>
    </w:p>
    <w:p w14:paraId="408A506A" w14:textId="77777777" w:rsidR="00443D08" w:rsidRPr="00611315" w:rsidRDefault="00443D08" w:rsidP="00C40C75">
      <w:pPr>
        <w:pStyle w:val="Textoindependiente"/>
        <w:spacing w:before="9"/>
        <w:jc w:val="both"/>
        <w:rPr>
          <w:rFonts w:ascii="Verdana" w:eastAsia="Verdana Pro" w:hAnsi="Verdana" w:cs="Verdana Pro"/>
          <w:sz w:val="22"/>
          <w:szCs w:val="22"/>
        </w:rPr>
      </w:pPr>
    </w:p>
    <w:p w14:paraId="0D79F305" w14:textId="4298D824" w:rsidR="00443D08" w:rsidRPr="00611315" w:rsidRDefault="00AE1087" w:rsidP="00A33C10">
      <w:pPr>
        <w:pStyle w:val="Descripcin"/>
        <w:jc w:val="center"/>
        <w:rPr>
          <w:rFonts w:ascii="Verdana" w:eastAsia="Verdana Pro" w:hAnsi="Verdana" w:cs="Verdana Pro"/>
          <w:sz w:val="22"/>
          <w:szCs w:val="22"/>
        </w:rPr>
      </w:pPr>
      <w:bookmarkStart w:id="23" w:name="_Toc231368784"/>
      <w:r w:rsidRPr="00A33C10">
        <w:rPr>
          <w:rFonts w:ascii="Verdana" w:eastAsia="Verdana Pro" w:hAnsi="Verdana" w:cs="Verdana Pro"/>
          <w:sz w:val="22"/>
          <w:szCs w:val="22"/>
        </w:rPr>
        <w:t xml:space="preserve">Gráfica </w:t>
      </w:r>
      <w:r w:rsidRPr="00A33C10">
        <w:rPr>
          <w:rFonts w:ascii="Verdana" w:eastAsia="Verdana Pro" w:hAnsi="Verdana" w:cs="Verdana Pro"/>
          <w:sz w:val="22"/>
          <w:szCs w:val="22"/>
        </w:rPr>
        <w:fldChar w:fldCharType="begin"/>
      </w:r>
      <w:r w:rsidRPr="00A33C10">
        <w:rPr>
          <w:rFonts w:ascii="Verdana" w:eastAsia="Verdana Pro" w:hAnsi="Verdana" w:cs="Verdana Pro"/>
          <w:sz w:val="22"/>
          <w:szCs w:val="22"/>
        </w:rPr>
        <w:instrText xml:space="preserve"> SEQ Gráfica \* ARABIC </w:instrText>
      </w:r>
      <w:r w:rsidRPr="00A33C10">
        <w:rPr>
          <w:rFonts w:ascii="Verdana" w:eastAsia="Verdana Pro" w:hAnsi="Verdana" w:cs="Verdana Pro"/>
          <w:sz w:val="22"/>
          <w:szCs w:val="22"/>
        </w:rPr>
        <w:fldChar w:fldCharType="separate"/>
      </w:r>
      <w:r w:rsidR="00973CF5">
        <w:rPr>
          <w:rFonts w:ascii="Verdana" w:eastAsia="Verdana Pro" w:hAnsi="Verdana" w:cs="Verdana Pro"/>
          <w:noProof/>
          <w:sz w:val="22"/>
          <w:szCs w:val="22"/>
        </w:rPr>
        <w:t>9</w:t>
      </w:r>
      <w:r w:rsidRPr="00A33C10">
        <w:rPr>
          <w:rFonts w:ascii="Verdana" w:eastAsia="Verdana Pro" w:hAnsi="Verdana" w:cs="Verdana Pro"/>
          <w:sz w:val="22"/>
          <w:szCs w:val="22"/>
        </w:rPr>
        <w:fldChar w:fldCharType="end"/>
      </w:r>
      <w:r w:rsidRPr="00A33C10">
        <w:rPr>
          <w:rFonts w:ascii="Verdana" w:eastAsia="Verdana Pro" w:hAnsi="Verdana" w:cs="Verdana Pro"/>
          <w:sz w:val="22"/>
          <w:szCs w:val="22"/>
        </w:rPr>
        <w:t xml:space="preserve">. </w:t>
      </w:r>
      <w:r w:rsidR="00EA4F57" w:rsidRPr="00611315">
        <w:rPr>
          <w:rFonts w:ascii="Verdana" w:eastAsia="Verdana Pro" w:hAnsi="Verdana" w:cs="Verdana Pro"/>
          <w:sz w:val="22"/>
          <w:szCs w:val="22"/>
        </w:rPr>
        <w:t xml:space="preserve">ICOCIV Variación y contribución del año corrido según 17 subclases CPC V 2.0 A.C. Total nacional </w:t>
      </w:r>
      <w:proofErr w:type="gramStart"/>
      <w:r w:rsidR="00EA4F57" w:rsidRPr="00611315">
        <w:rPr>
          <w:rFonts w:ascii="Verdana" w:eastAsia="Verdana Pro" w:hAnsi="Verdana" w:cs="Verdana Pro"/>
          <w:sz w:val="22"/>
          <w:szCs w:val="22"/>
        </w:rPr>
        <w:t>Marzo</w:t>
      </w:r>
      <w:proofErr w:type="gramEnd"/>
      <w:r w:rsidR="00EA4F57" w:rsidRPr="00611315">
        <w:rPr>
          <w:rFonts w:ascii="Verdana" w:eastAsia="Verdana Pro" w:hAnsi="Verdana" w:cs="Verdana Pro"/>
          <w:sz w:val="22"/>
          <w:szCs w:val="22"/>
        </w:rPr>
        <w:t xml:space="preserve"> 2026</w:t>
      </w:r>
      <w:bookmarkEnd w:id="23"/>
    </w:p>
    <w:p w14:paraId="393D6B23" w14:textId="431F8C7F" w:rsidR="00443D08" w:rsidRPr="00611315" w:rsidRDefault="00EA4F57">
      <w:pPr>
        <w:pStyle w:val="Textoindependiente"/>
        <w:spacing w:before="9"/>
        <w:jc w:val="center"/>
        <w:rPr>
          <w:rFonts w:ascii="Verdana" w:eastAsia="Verdana Pro" w:hAnsi="Verdana" w:cs="Verdana Pro"/>
          <w:sz w:val="22"/>
          <w:szCs w:val="22"/>
        </w:rPr>
      </w:pPr>
      <w:r w:rsidRPr="00611315">
        <w:rPr>
          <w:rFonts w:ascii="Verdana" w:hAnsi="Verdana"/>
          <w:noProof/>
        </w:rPr>
        <w:drawing>
          <wp:inline distT="0" distB="0" distL="0" distR="0" wp14:anchorId="2C5DC984" wp14:editId="384CCFA5">
            <wp:extent cx="4974805" cy="3794814"/>
            <wp:effectExtent l="0" t="0" r="0" b="0"/>
            <wp:docPr id="18533275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327575" name=""/>
                    <pic:cNvPicPr/>
                  </pic:nvPicPr>
                  <pic:blipFill rotWithShape="1">
                    <a:blip r:embed="rId23"/>
                    <a:srcRect l="27363" t="27609" r="26833" b="10242"/>
                    <a:stretch>
                      <a:fillRect/>
                    </a:stretch>
                  </pic:blipFill>
                  <pic:spPr bwMode="auto">
                    <a:xfrm>
                      <a:off x="0" y="0"/>
                      <a:ext cx="4993104" cy="3808772"/>
                    </a:xfrm>
                    <a:prstGeom prst="rect">
                      <a:avLst/>
                    </a:prstGeom>
                    <a:ln>
                      <a:noFill/>
                    </a:ln>
                    <a:extLst>
                      <a:ext uri="{53640926-AAD7-44D8-BBD7-CCE9431645EC}">
                        <a14:shadowObscured xmlns:a14="http://schemas.microsoft.com/office/drawing/2010/main"/>
                      </a:ext>
                    </a:extLst>
                  </pic:spPr>
                </pic:pic>
              </a:graphicData>
            </a:graphic>
          </wp:inline>
        </w:drawing>
      </w:r>
    </w:p>
    <w:p w14:paraId="5442B466" w14:textId="77777777" w:rsidR="00AE1087" w:rsidRPr="00E42C48" w:rsidRDefault="00AE1087" w:rsidP="00AE1087">
      <w:pPr>
        <w:pStyle w:val="Textoindependiente"/>
        <w:spacing w:before="9"/>
        <w:ind w:right="141"/>
        <w:jc w:val="center"/>
        <w:rPr>
          <w:rFonts w:ascii="Verdana" w:eastAsia="Verdana Pro" w:hAnsi="Verdana" w:cs="Verdana Pro"/>
          <w:sz w:val="32"/>
          <w:szCs w:val="32"/>
        </w:rPr>
      </w:pPr>
      <w:r w:rsidRPr="00E42C48">
        <w:rPr>
          <w:rFonts w:ascii="Verdana" w:hAnsi="Verdana"/>
          <w:b/>
          <w:bCs/>
          <w:sz w:val="22"/>
          <w:szCs w:val="22"/>
        </w:rPr>
        <w:t>Fuente</w:t>
      </w:r>
      <w:r w:rsidRPr="00E42C48">
        <w:rPr>
          <w:rFonts w:ascii="Verdana" w:hAnsi="Verdana"/>
          <w:sz w:val="22"/>
          <w:szCs w:val="22"/>
        </w:rPr>
        <w:t>: Boletín técnico. Índice de Costos de la Construcción de Obras Civiles - ICOCIV</w:t>
      </w:r>
    </w:p>
    <w:p w14:paraId="15101FD6" w14:textId="77777777" w:rsidR="003B664F" w:rsidRDefault="003B664F" w:rsidP="004E6AA4">
      <w:pPr>
        <w:pStyle w:val="Textoindependiente"/>
        <w:spacing w:before="9"/>
        <w:jc w:val="both"/>
        <w:rPr>
          <w:rFonts w:ascii="Verdana" w:eastAsia="Verdana Pro" w:hAnsi="Verdana" w:cs="Verdana Pro"/>
          <w:sz w:val="22"/>
          <w:szCs w:val="22"/>
        </w:rPr>
      </w:pPr>
    </w:p>
    <w:p w14:paraId="71E87942" w14:textId="77777777" w:rsidR="00E42C48" w:rsidRDefault="00E42C48" w:rsidP="004E6AA4">
      <w:pPr>
        <w:pStyle w:val="Textoindependiente"/>
        <w:spacing w:before="9"/>
        <w:jc w:val="both"/>
        <w:rPr>
          <w:rFonts w:ascii="Verdana" w:eastAsia="Verdana Pro" w:hAnsi="Verdana" w:cs="Verdana Pro"/>
          <w:sz w:val="22"/>
          <w:szCs w:val="22"/>
        </w:rPr>
      </w:pPr>
    </w:p>
    <w:p w14:paraId="3043A998" w14:textId="77777777" w:rsidR="00E42C48" w:rsidRDefault="00E42C48" w:rsidP="004E6AA4">
      <w:pPr>
        <w:pStyle w:val="Textoindependiente"/>
        <w:spacing w:before="9"/>
        <w:jc w:val="both"/>
        <w:rPr>
          <w:rFonts w:ascii="Verdana" w:eastAsia="Verdana Pro" w:hAnsi="Verdana" w:cs="Verdana Pro"/>
          <w:sz w:val="22"/>
          <w:szCs w:val="22"/>
        </w:rPr>
      </w:pPr>
    </w:p>
    <w:p w14:paraId="2F4FD032" w14:textId="77777777" w:rsidR="00E42C48" w:rsidRDefault="00E42C48" w:rsidP="004E6AA4">
      <w:pPr>
        <w:pStyle w:val="Textoindependiente"/>
        <w:spacing w:before="9"/>
        <w:jc w:val="both"/>
        <w:rPr>
          <w:rFonts w:ascii="Verdana" w:eastAsia="Verdana Pro" w:hAnsi="Verdana" w:cs="Verdana Pro"/>
          <w:sz w:val="22"/>
          <w:szCs w:val="22"/>
        </w:rPr>
      </w:pPr>
    </w:p>
    <w:p w14:paraId="33F2B721" w14:textId="77777777" w:rsidR="00E42C48" w:rsidRDefault="00E42C48" w:rsidP="004E6AA4">
      <w:pPr>
        <w:pStyle w:val="Textoindependiente"/>
        <w:spacing w:before="9"/>
        <w:jc w:val="both"/>
        <w:rPr>
          <w:rFonts w:ascii="Verdana" w:eastAsia="Verdana Pro" w:hAnsi="Verdana" w:cs="Verdana Pro"/>
          <w:sz w:val="22"/>
          <w:szCs w:val="22"/>
        </w:rPr>
      </w:pPr>
    </w:p>
    <w:p w14:paraId="1702153E" w14:textId="77777777" w:rsidR="00E42C48" w:rsidRDefault="00E42C48" w:rsidP="004E6AA4">
      <w:pPr>
        <w:pStyle w:val="Textoindependiente"/>
        <w:spacing w:before="9"/>
        <w:jc w:val="both"/>
        <w:rPr>
          <w:rFonts w:ascii="Verdana" w:eastAsia="Verdana Pro" w:hAnsi="Verdana" w:cs="Verdana Pro"/>
          <w:sz w:val="22"/>
          <w:szCs w:val="22"/>
        </w:rPr>
      </w:pPr>
    </w:p>
    <w:p w14:paraId="7F202F49" w14:textId="77777777" w:rsidR="00E42C48" w:rsidRPr="00611315" w:rsidRDefault="00E42C48" w:rsidP="004E6AA4">
      <w:pPr>
        <w:pStyle w:val="Textoindependiente"/>
        <w:spacing w:before="9"/>
        <w:jc w:val="both"/>
        <w:rPr>
          <w:rFonts w:ascii="Verdana" w:eastAsia="Verdana Pro" w:hAnsi="Verdana" w:cs="Verdana Pro"/>
          <w:sz w:val="22"/>
          <w:szCs w:val="22"/>
        </w:rPr>
      </w:pPr>
    </w:p>
    <w:p w14:paraId="1421CA59" w14:textId="77777777" w:rsidR="004E6AA4" w:rsidRPr="00611315" w:rsidRDefault="004E6AA4" w:rsidP="004E6AA4">
      <w:pPr>
        <w:pStyle w:val="TableParagraph"/>
        <w:numPr>
          <w:ilvl w:val="0"/>
          <w:numId w:val="49"/>
        </w:numPr>
        <w:spacing w:before="2" w:line="276" w:lineRule="auto"/>
        <w:ind w:right="-22"/>
        <w:jc w:val="both"/>
        <w:rPr>
          <w:rFonts w:ascii="Verdana" w:hAnsi="Verdana"/>
          <w:b/>
          <w:bCs/>
        </w:rPr>
      </w:pPr>
      <w:r w:rsidRPr="00611315">
        <w:rPr>
          <w:rFonts w:ascii="Verdana" w:hAnsi="Verdana"/>
          <w:b/>
          <w:bCs/>
        </w:rPr>
        <w:lastRenderedPageBreak/>
        <w:t>Indicador de Producción de Obras Civiles (IPOC)</w:t>
      </w:r>
    </w:p>
    <w:p w14:paraId="6F5C84D5" w14:textId="77777777" w:rsidR="004E6AA4" w:rsidRPr="00954F93" w:rsidRDefault="004E6AA4" w:rsidP="004E6AA4">
      <w:pPr>
        <w:spacing w:before="5" w:line="276" w:lineRule="auto"/>
        <w:ind w:right="-22"/>
        <w:rPr>
          <w:rFonts w:ascii="Verdana" w:hAnsi="Verdana"/>
          <w:b/>
          <w:highlight w:val="yellow"/>
        </w:rPr>
      </w:pPr>
    </w:p>
    <w:p w14:paraId="4B60E1AE" w14:textId="27EFAC4B" w:rsidR="004E6AA4" w:rsidRPr="00611315" w:rsidRDefault="004E6AA4" w:rsidP="004E6AA4">
      <w:pPr>
        <w:spacing w:before="5" w:line="276" w:lineRule="auto"/>
        <w:ind w:right="-22"/>
        <w:jc w:val="both"/>
        <w:rPr>
          <w:rFonts w:ascii="Verdana" w:hAnsi="Verdana"/>
          <w:bCs/>
        </w:rPr>
      </w:pPr>
      <w:r w:rsidRPr="00611315">
        <w:rPr>
          <w:rFonts w:ascii="Verdana" w:hAnsi="Verdana"/>
          <w:bCs/>
        </w:rPr>
        <w:t>De acuerdo con el Boletín Técnico del Indicador de Producción de Obras Civiles</w:t>
      </w:r>
      <w:r w:rsidRPr="00611315">
        <w:rPr>
          <w:rStyle w:val="Refdenotaalpie"/>
          <w:rFonts w:ascii="Verdana" w:hAnsi="Verdana"/>
          <w:bCs/>
        </w:rPr>
        <w:footnoteReference w:id="14"/>
      </w:r>
      <w:r w:rsidRPr="00611315">
        <w:rPr>
          <w:rFonts w:ascii="Verdana" w:hAnsi="Verdana"/>
          <w:bCs/>
        </w:rPr>
        <w:t xml:space="preserve">, durante el </w:t>
      </w:r>
      <w:r w:rsidR="006C25A7" w:rsidRPr="00611315">
        <w:rPr>
          <w:rFonts w:ascii="Verdana" w:hAnsi="Verdana"/>
          <w:bCs/>
        </w:rPr>
        <w:t>primer</w:t>
      </w:r>
      <w:r w:rsidRPr="00611315">
        <w:rPr>
          <w:rFonts w:ascii="Verdana" w:hAnsi="Verdana"/>
          <w:bCs/>
        </w:rPr>
        <w:t xml:space="preserve"> trimestre de 202</w:t>
      </w:r>
      <w:r w:rsidR="006C25A7" w:rsidRPr="00611315">
        <w:rPr>
          <w:rFonts w:ascii="Verdana" w:hAnsi="Verdana"/>
          <w:bCs/>
        </w:rPr>
        <w:t>6</w:t>
      </w:r>
      <w:r w:rsidRPr="00611315">
        <w:rPr>
          <w:rFonts w:ascii="Verdana" w:hAnsi="Verdana"/>
          <w:bCs/>
        </w:rPr>
        <w:t xml:space="preserve">, la producción de obras civiles a precios constantes registró un crecimiento de </w:t>
      </w:r>
      <w:r w:rsidR="006C25A7" w:rsidRPr="00611315">
        <w:rPr>
          <w:rFonts w:ascii="Verdana" w:hAnsi="Verdana"/>
          <w:bCs/>
        </w:rPr>
        <w:t>0</w:t>
      </w:r>
      <w:r w:rsidRPr="00611315">
        <w:rPr>
          <w:rFonts w:ascii="Verdana" w:hAnsi="Verdana"/>
          <w:bCs/>
        </w:rPr>
        <w:t>,</w:t>
      </w:r>
      <w:r w:rsidR="006C25A7" w:rsidRPr="00611315">
        <w:rPr>
          <w:rFonts w:ascii="Verdana" w:hAnsi="Verdana"/>
          <w:bCs/>
        </w:rPr>
        <w:t>6</w:t>
      </w:r>
      <w:r w:rsidRPr="00611315">
        <w:rPr>
          <w:rFonts w:ascii="Verdana" w:hAnsi="Verdana"/>
          <w:bCs/>
        </w:rPr>
        <w:t>%, frente al mismo trimestre de 202</w:t>
      </w:r>
      <w:r w:rsidR="006C25A7" w:rsidRPr="00611315">
        <w:rPr>
          <w:rFonts w:ascii="Verdana" w:hAnsi="Verdana"/>
          <w:bCs/>
        </w:rPr>
        <w:t>5</w:t>
      </w:r>
    </w:p>
    <w:p w14:paraId="5EBEA541" w14:textId="77777777" w:rsidR="004E6AA4" w:rsidRPr="00611315" w:rsidRDefault="004E6AA4" w:rsidP="004E6AA4">
      <w:pPr>
        <w:spacing w:before="5" w:line="276" w:lineRule="auto"/>
        <w:ind w:right="-22"/>
        <w:rPr>
          <w:rFonts w:ascii="Verdana" w:hAnsi="Verdana"/>
          <w:b/>
        </w:rPr>
      </w:pPr>
    </w:p>
    <w:p w14:paraId="0C2C3115" w14:textId="13498A63" w:rsidR="004E6AA4" w:rsidRPr="00E42C48" w:rsidRDefault="00E42C48" w:rsidP="00E42C48">
      <w:pPr>
        <w:pStyle w:val="Descripcin"/>
        <w:jc w:val="center"/>
        <w:rPr>
          <w:rFonts w:ascii="Verdana" w:hAnsi="Verdana"/>
          <w:b w:val="0"/>
          <w:sz w:val="24"/>
          <w:szCs w:val="24"/>
        </w:rPr>
      </w:pPr>
      <w:bookmarkStart w:id="24" w:name="_Toc231368785"/>
      <w:r w:rsidRPr="00E42C48">
        <w:rPr>
          <w:rFonts w:ascii="Verdana" w:hAnsi="Verdana"/>
          <w:sz w:val="22"/>
          <w:szCs w:val="22"/>
        </w:rPr>
        <w:t xml:space="preserve">Gráfica </w:t>
      </w:r>
      <w:r w:rsidRPr="00E42C48">
        <w:rPr>
          <w:rFonts w:ascii="Verdana" w:hAnsi="Verdana"/>
          <w:sz w:val="22"/>
          <w:szCs w:val="22"/>
        </w:rPr>
        <w:fldChar w:fldCharType="begin"/>
      </w:r>
      <w:r w:rsidRPr="00E42C48">
        <w:rPr>
          <w:rFonts w:ascii="Verdana" w:hAnsi="Verdana"/>
          <w:sz w:val="22"/>
          <w:szCs w:val="22"/>
        </w:rPr>
        <w:instrText xml:space="preserve"> SEQ Gráfica \* ARABIC </w:instrText>
      </w:r>
      <w:r w:rsidRPr="00E42C48">
        <w:rPr>
          <w:rFonts w:ascii="Verdana" w:hAnsi="Verdana"/>
          <w:sz w:val="22"/>
          <w:szCs w:val="22"/>
        </w:rPr>
        <w:fldChar w:fldCharType="separate"/>
      </w:r>
      <w:r w:rsidR="00973CF5">
        <w:rPr>
          <w:rFonts w:ascii="Verdana" w:hAnsi="Verdana"/>
          <w:noProof/>
          <w:sz w:val="22"/>
          <w:szCs w:val="22"/>
        </w:rPr>
        <w:t>10</w:t>
      </w:r>
      <w:r w:rsidRPr="00E42C48">
        <w:rPr>
          <w:rFonts w:ascii="Verdana" w:hAnsi="Verdana"/>
          <w:sz w:val="22"/>
          <w:szCs w:val="22"/>
        </w:rPr>
        <w:fldChar w:fldCharType="end"/>
      </w:r>
      <w:r w:rsidRPr="00E42C48">
        <w:rPr>
          <w:rFonts w:ascii="Verdana" w:hAnsi="Verdana"/>
          <w:sz w:val="22"/>
          <w:szCs w:val="22"/>
        </w:rPr>
        <w:t xml:space="preserve">. Índice y variación anual de la producción de obras civiles (precios </w:t>
      </w:r>
      <w:proofErr w:type="gramStart"/>
      <w:r w:rsidRPr="00E42C48">
        <w:rPr>
          <w:rFonts w:ascii="Verdana" w:hAnsi="Verdana"/>
          <w:sz w:val="22"/>
          <w:szCs w:val="22"/>
        </w:rPr>
        <w:t xml:space="preserve">constantes)   </w:t>
      </w:r>
      <w:proofErr w:type="gramEnd"/>
      <w:r w:rsidRPr="00E42C48">
        <w:rPr>
          <w:rFonts w:ascii="Verdana" w:hAnsi="Verdana"/>
          <w:sz w:val="22"/>
          <w:szCs w:val="22"/>
        </w:rPr>
        <w:t>Total nacional - serie a precios constantes 2021 (I trimestre) – 2026 (I trimestre Pr)</w:t>
      </w:r>
      <w:bookmarkEnd w:id="24"/>
    </w:p>
    <w:p w14:paraId="60CECD39" w14:textId="0187D4BE" w:rsidR="006D1BB1" w:rsidRPr="00611315" w:rsidRDefault="00D52E58" w:rsidP="004E6AA4">
      <w:pPr>
        <w:spacing w:before="5" w:line="276" w:lineRule="auto"/>
        <w:ind w:right="-22"/>
        <w:jc w:val="center"/>
        <w:rPr>
          <w:rFonts w:ascii="Verdana" w:hAnsi="Verdana"/>
          <w:noProof/>
        </w:rPr>
      </w:pPr>
      <w:r w:rsidRPr="00611315">
        <w:rPr>
          <w:rFonts w:ascii="Verdana" w:hAnsi="Verdana"/>
          <w:noProof/>
        </w:rPr>
        <w:drawing>
          <wp:inline distT="0" distB="0" distL="0" distR="0" wp14:anchorId="52F9287B" wp14:editId="0FA5B0D1">
            <wp:extent cx="5796416" cy="2422567"/>
            <wp:effectExtent l="0" t="0" r="0" b="0"/>
            <wp:docPr id="4768797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879703" name=""/>
                    <pic:cNvPicPr/>
                  </pic:nvPicPr>
                  <pic:blipFill rotWithShape="1">
                    <a:blip r:embed="rId24"/>
                    <a:srcRect l="23685" t="41068" r="23385" b="19583"/>
                    <a:stretch>
                      <a:fillRect/>
                    </a:stretch>
                  </pic:blipFill>
                  <pic:spPr bwMode="auto">
                    <a:xfrm>
                      <a:off x="0" y="0"/>
                      <a:ext cx="5832628" cy="2437701"/>
                    </a:xfrm>
                    <a:prstGeom prst="rect">
                      <a:avLst/>
                    </a:prstGeom>
                    <a:ln>
                      <a:noFill/>
                    </a:ln>
                    <a:extLst>
                      <a:ext uri="{53640926-AAD7-44D8-BBD7-CCE9431645EC}">
                        <a14:shadowObscured xmlns:a14="http://schemas.microsoft.com/office/drawing/2010/main"/>
                      </a:ext>
                    </a:extLst>
                  </pic:spPr>
                </pic:pic>
              </a:graphicData>
            </a:graphic>
          </wp:inline>
        </w:drawing>
      </w:r>
    </w:p>
    <w:p w14:paraId="61063507" w14:textId="77777777" w:rsidR="004E6AA4" w:rsidRPr="00E42C48" w:rsidRDefault="004E6AA4" w:rsidP="004E6AA4">
      <w:pPr>
        <w:pStyle w:val="Textoindependiente"/>
        <w:spacing w:before="9"/>
        <w:ind w:right="-22"/>
        <w:jc w:val="center"/>
        <w:rPr>
          <w:rFonts w:ascii="Verdana" w:eastAsia="Verdana Pro" w:hAnsi="Verdana" w:cs="Verdana Pro"/>
          <w:sz w:val="22"/>
          <w:szCs w:val="22"/>
        </w:rPr>
      </w:pPr>
      <w:r w:rsidRPr="00E42C48">
        <w:rPr>
          <w:rFonts w:ascii="Verdana" w:eastAsia="Verdana Pro" w:hAnsi="Verdana" w:cs="Verdana Pro"/>
          <w:b/>
          <w:bCs/>
          <w:sz w:val="22"/>
          <w:szCs w:val="22"/>
        </w:rPr>
        <w:t>Fuente</w:t>
      </w:r>
      <w:r w:rsidRPr="00E42C48">
        <w:rPr>
          <w:rFonts w:ascii="Verdana" w:eastAsia="Verdana Pro" w:hAnsi="Verdana" w:cs="Verdana Pro"/>
          <w:sz w:val="22"/>
          <w:szCs w:val="22"/>
        </w:rPr>
        <w:t>: Departamento Administrativo Nacional de Estadística (DANE).</w:t>
      </w:r>
    </w:p>
    <w:p w14:paraId="462D29A1" w14:textId="77777777" w:rsidR="004E6AA4" w:rsidRPr="00954F93" w:rsidRDefault="004E6AA4" w:rsidP="004E6AA4">
      <w:pPr>
        <w:spacing w:before="5" w:line="276" w:lineRule="auto"/>
        <w:ind w:right="-22"/>
        <w:rPr>
          <w:rFonts w:ascii="Verdana" w:hAnsi="Verdana"/>
          <w:b/>
          <w:highlight w:val="yellow"/>
        </w:rPr>
      </w:pPr>
    </w:p>
    <w:p w14:paraId="00EFB166" w14:textId="6F095311" w:rsidR="005C2CA8" w:rsidRPr="00954F93" w:rsidRDefault="004E6AA4" w:rsidP="004E6AA4">
      <w:pPr>
        <w:spacing w:before="5" w:line="276" w:lineRule="auto"/>
        <w:ind w:right="-22"/>
        <w:jc w:val="both"/>
        <w:rPr>
          <w:rFonts w:ascii="Verdana" w:hAnsi="Verdana"/>
          <w:bCs/>
        </w:rPr>
      </w:pPr>
      <w:r w:rsidRPr="00611315">
        <w:rPr>
          <w:rFonts w:ascii="Verdana" w:hAnsi="Verdana"/>
          <w:bCs/>
        </w:rPr>
        <w:t xml:space="preserve">Esta dinámica de crecimiento es explicada por el comportamiento positivo en </w:t>
      </w:r>
      <w:r w:rsidR="00663B4D" w:rsidRPr="00954F93">
        <w:rPr>
          <w:rFonts w:ascii="Verdana" w:hAnsi="Verdana"/>
          <w:bCs/>
        </w:rPr>
        <w:t>tre</w:t>
      </w:r>
      <w:r w:rsidRPr="00611315">
        <w:rPr>
          <w:rFonts w:ascii="Verdana" w:hAnsi="Verdana"/>
          <w:bCs/>
        </w:rPr>
        <w:t xml:space="preserve">s de los cinco grupos de obra: </w:t>
      </w:r>
      <w:r w:rsidR="00264007" w:rsidRPr="00611315">
        <w:rPr>
          <w:rFonts w:ascii="Verdana" w:hAnsi="Verdana"/>
          <w:bCs/>
        </w:rPr>
        <w:t xml:space="preserve">el grupo de Carreteras, calles, vías férreas y pistas de aterrizaje, puentes , carreteras elevadas y túneles presentó un aumentó de 11,5% y sumó 5,8 p.p. a la variación anual a precios constantes; el grupo de Instalaciones al aire libre para deportes y esparcimiento; y otras obras de ingeniería civil registró un incremento en su producción anual de 68,6% y </w:t>
      </w:r>
      <w:r w:rsidR="00264007" w:rsidRPr="00611315">
        <w:rPr>
          <w:rFonts w:ascii="Verdana" w:hAnsi="Verdana"/>
          <w:bCs/>
        </w:rPr>
        <w:lastRenderedPageBreak/>
        <w:t>aportó 4,8 puntos porcentuales (p.p.) a la variación anual y el grupo de Tuberías para la conducción de gas a larga distancia, líneas de comunicación y cables de poder, tuberías y cables locales y obras conexas incrementó su producción en 22,2% y aportó 2,2 p.p. a la variación anual (0.6%)</w:t>
      </w:r>
      <w:r w:rsidR="00264007" w:rsidRPr="00611315" w:rsidDel="00264007">
        <w:rPr>
          <w:rFonts w:ascii="Verdana" w:hAnsi="Verdana"/>
          <w:bCs/>
        </w:rPr>
        <w:t xml:space="preserve"> </w:t>
      </w:r>
      <w:r w:rsidR="007D0195" w:rsidRPr="00611315">
        <w:rPr>
          <w:rStyle w:val="Refdenotaalpie"/>
          <w:rFonts w:ascii="Verdana" w:hAnsi="Verdana"/>
          <w:bCs/>
        </w:rPr>
        <w:footnoteReference w:id="15"/>
      </w:r>
      <w:r w:rsidR="007D0195" w:rsidRPr="00611315">
        <w:rPr>
          <w:rFonts w:ascii="Verdana" w:hAnsi="Verdana"/>
          <w:bCs/>
        </w:rPr>
        <w:t>.</w:t>
      </w:r>
    </w:p>
    <w:p w14:paraId="447197DD" w14:textId="77777777" w:rsidR="005C2CA8" w:rsidRPr="00954F93" w:rsidRDefault="005C2CA8" w:rsidP="004E6AA4">
      <w:pPr>
        <w:spacing w:before="5" w:line="276" w:lineRule="auto"/>
        <w:ind w:right="-22"/>
        <w:jc w:val="both"/>
        <w:rPr>
          <w:rFonts w:ascii="Verdana" w:hAnsi="Verdana"/>
          <w:bCs/>
        </w:rPr>
      </w:pPr>
    </w:p>
    <w:p w14:paraId="0D5C8589" w14:textId="4D4911F0" w:rsidR="005C2CA8" w:rsidRPr="00611315" w:rsidRDefault="005409C5" w:rsidP="004E6AA4">
      <w:pPr>
        <w:spacing w:before="5" w:line="276" w:lineRule="auto"/>
        <w:ind w:right="-22"/>
        <w:jc w:val="both"/>
        <w:rPr>
          <w:rFonts w:ascii="Verdana" w:hAnsi="Verdana"/>
          <w:bCs/>
        </w:rPr>
      </w:pPr>
      <w:r w:rsidRPr="00954F93">
        <w:rPr>
          <w:rFonts w:ascii="Verdana" w:hAnsi="Verdana"/>
          <w:bCs/>
        </w:rPr>
        <w:t xml:space="preserve">Es de resaltar que el grupo de </w:t>
      </w:r>
      <w:r w:rsidRPr="00611315">
        <w:rPr>
          <w:rFonts w:ascii="Verdana" w:hAnsi="Verdana"/>
          <w:bCs/>
        </w:rPr>
        <w:t xml:space="preserve">Puertos, canales, presas, sistemas de riego y otras obras hidráulicas (acueductos) contrajo su producción en </w:t>
      </w:r>
      <w:r w:rsidR="00873B40" w:rsidRPr="00611315">
        <w:rPr>
          <w:rFonts w:ascii="Verdana" w:hAnsi="Verdana"/>
          <w:bCs/>
        </w:rPr>
        <w:t>49,3% y restó 5,6 p.p. a la variación anual; así mismo, el grupo de Construcciones en minas y plantas industriales contrajo su producción en 30,7% y restó 6,6 p.p. a la variación anual</w:t>
      </w:r>
      <w:r w:rsidR="00C1766C" w:rsidRPr="00611315">
        <w:rPr>
          <w:rFonts w:ascii="Verdana" w:hAnsi="Verdana"/>
          <w:bCs/>
        </w:rPr>
        <w:t>, tal y como se puede ver en la siguiente gráfica:</w:t>
      </w:r>
    </w:p>
    <w:p w14:paraId="42F27273" w14:textId="77777777" w:rsidR="00C1766C" w:rsidRPr="00611315" w:rsidRDefault="00C1766C" w:rsidP="004E6AA4">
      <w:pPr>
        <w:spacing w:before="5" w:line="276" w:lineRule="auto"/>
        <w:ind w:right="-22"/>
        <w:jc w:val="both"/>
        <w:rPr>
          <w:rFonts w:ascii="Verdana" w:hAnsi="Verdana"/>
          <w:bCs/>
        </w:rPr>
      </w:pPr>
    </w:p>
    <w:p w14:paraId="67480487" w14:textId="57BA489F" w:rsidR="00C1766C" w:rsidRPr="00611315" w:rsidRDefault="00F74E3A" w:rsidP="00954F93">
      <w:pPr>
        <w:pStyle w:val="Descripcin"/>
        <w:jc w:val="center"/>
        <w:rPr>
          <w:rFonts w:ascii="Verdana" w:hAnsi="Verdana"/>
        </w:rPr>
      </w:pPr>
      <w:bookmarkStart w:id="25" w:name="_Toc231368786"/>
      <w:r w:rsidRPr="00954F93">
        <w:rPr>
          <w:rFonts w:ascii="Verdana" w:eastAsia="Times New Roman" w:hAnsi="Verdana"/>
          <w:bCs w:val="0"/>
          <w:sz w:val="22"/>
          <w:szCs w:val="22"/>
          <w:lang w:val="es-CO" w:eastAsia="es-MX"/>
        </w:rPr>
        <w:t xml:space="preserve">Gráfica </w:t>
      </w:r>
      <w:r w:rsidRPr="00954F93">
        <w:rPr>
          <w:rFonts w:ascii="Verdana" w:eastAsia="Times New Roman" w:hAnsi="Verdana"/>
          <w:bCs w:val="0"/>
          <w:sz w:val="22"/>
          <w:szCs w:val="22"/>
          <w:lang w:val="es-CO" w:eastAsia="es-MX"/>
        </w:rPr>
        <w:fldChar w:fldCharType="begin"/>
      </w:r>
      <w:r w:rsidRPr="00954F93">
        <w:rPr>
          <w:rFonts w:ascii="Verdana" w:eastAsia="Times New Roman" w:hAnsi="Verdana"/>
          <w:bCs w:val="0"/>
          <w:sz w:val="22"/>
          <w:szCs w:val="22"/>
          <w:lang w:val="es-CO" w:eastAsia="es-MX"/>
        </w:rPr>
        <w:instrText xml:space="preserve"> SEQ Gráfica \* ARABIC </w:instrText>
      </w:r>
      <w:r w:rsidRPr="00954F93">
        <w:rPr>
          <w:rFonts w:ascii="Verdana" w:eastAsia="Times New Roman" w:hAnsi="Verdana"/>
          <w:bCs w:val="0"/>
          <w:sz w:val="22"/>
          <w:szCs w:val="22"/>
          <w:lang w:val="es-CO" w:eastAsia="es-MX"/>
        </w:rPr>
        <w:fldChar w:fldCharType="separate"/>
      </w:r>
      <w:r w:rsidR="00973CF5">
        <w:rPr>
          <w:rFonts w:ascii="Verdana" w:eastAsia="Times New Roman" w:hAnsi="Verdana"/>
          <w:bCs w:val="0"/>
          <w:noProof/>
          <w:sz w:val="22"/>
          <w:szCs w:val="22"/>
          <w:lang w:val="es-CO" w:eastAsia="es-MX"/>
        </w:rPr>
        <w:t>11</w:t>
      </w:r>
      <w:r w:rsidRPr="00954F93">
        <w:rPr>
          <w:rFonts w:ascii="Verdana" w:eastAsia="Times New Roman" w:hAnsi="Verdana"/>
          <w:bCs w:val="0"/>
          <w:sz w:val="22"/>
          <w:szCs w:val="22"/>
          <w:lang w:val="es-CO" w:eastAsia="es-MX"/>
        </w:rPr>
        <w:fldChar w:fldCharType="end"/>
      </w:r>
      <w:r w:rsidRPr="00954F93">
        <w:rPr>
          <w:rFonts w:ascii="Verdana" w:eastAsia="Times New Roman" w:hAnsi="Verdana"/>
          <w:bCs w:val="0"/>
          <w:sz w:val="22"/>
          <w:szCs w:val="22"/>
          <w:lang w:val="es-CO" w:eastAsia="es-MX"/>
        </w:rPr>
        <w:t>. Variación y contribución anual de la producción de obras civiles a precios constantes según tipo de construcción</w:t>
      </w:r>
      <w:bookmarkEnd w:id="25"/>
    </w:p>
    <w:p w14:paraId="22392345" w14:textId="2315F9CA" w:rsidR="00C1766C" w:rsidRPr="00611315" w:rsidRDefault="002E3217">
      <w:pPr>
        <w:spacing w:before="5" w:line="276" w:lineRule="auto"/>
        <w:ind w:right="-22"/>
        <w:jc w:val="center"/>
        <w:rPr>
          <w:rFonts w:ascii="Verdana" w:hAnsi="Verdana"/>
          <w:bCs/>
        </w:rPr>
      </w:pPr>
      <w:r w:rsidRPr="00611315">
        <w:rPr>
          <w:rFonts w:ascii="Verdana" w:hAnsi="Verdana"/>
          <w:noProof/>
        </w:rPr>
        <w:drawing>
          <wp:inline distT="0" distB="0" distL="0" distR="0" wp14:anchorId="1D1C6CBD" wp14:editId="0B3BA97E">
            <wp:extent cx="5762978" cy="2458192"/>
            <wp:effectExtent l="0" t="0" r="9525" b="0"/>
            <wp:docPr id="2404957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95704" name=""/>
                    <pic:cNvPicPr/>
                  </pic:nvPicPr>
                  <pic:blipFill rotWithShape="1">
                    <a:blip r:embed="rId25"/>
                    <a:srcRect l="21927" t="30714" r="22561" b="32871"/>
                    <a:stretch>
                      <a:fillRect/>
                    </a:stretch>
                  </pic:blipFill>
                  <pic:spPr bwMode="auto">
                    <a:xfrm>
                      <a:off x="0" y="0"/>
                      <a:ext cx="5797159" cy="2472772"/>
                    </a:xfrm>
                    <a:prstGeom prst="rect">
                      <a:avLst/>
                    </a:prstGeom>
                    <a:ln>
                      <a:noFill/>
                    </a:ln>
                    <a:extLst>
                      <a:ext uri="{53640926-AAD7-44D8-BBD7-CCE9431645EC}">
                        <a14:shadowObscured xmlns:a14="http://schemas.microsoft.com/office/drawing/2010/main"/>
                      </a:ext>
                    </a:extLst>
                  </pic:spPr>
                </pic:pic>
              </a:graphicData>
            </a:graphic>
          </wp:inline>
        </w:drawing>
      </w:r>
    </w:p>
    <w:p w14:paraId="0B80C4E1" w14:textId="77777777" w:rsidR="00F74E3A" w:rsidRPr="00E42C48" w:rsidRDefault="00F74E3A" w:rsidP="00F74E3A">
      <w:pPr>
        <w:pStyle w:val="Textoindependiente"/>
        <w:spacing w:before="9"/>
        <w:ind w:right="-22"/>
        <w:jc w:val="center"/>
        <w:rPr>
          <w:rFonts w:ascii="Verdana" w:eastAsia="Verdana Pro" w:hAnsi="Verdana" w:cs="Verdana Pro"/>
          <w:sz w:val="22"/>
          <w:szCs w:val="22"/>
        </w:rPr>
      </w:pPr>
      <w:r w:rsidRPr="00E42C48">
        <w:rPr>
          <w:rFonts w:ascii="Verdana" w:eastAsia="Verdana Pro" w:hAnsi="Verdana" w:cs="Verdana Pro"/>
          <w:b/>
          <w:bCs/>
          <w:sz w:val="22"/>
          <w:szCs w:val="22"/>
        </w:rPr>
        <w:t>Fuente</w:t>
      </w:r>
      <w:r w:rsidRPr="00E42C48">
        <w:rPr>
          <w:rFonts w:ascii="Verdana" w:eastAsia="Verdana Pro" w:hAnsi="Verdana" w:cs="Verdana Pro"/>
          <w:sz w:val="22"/>
          <w:szCs w:val="22"/>
        </w:rPr>
        <w:t>: Departamento Administrativo Nacional de Estadística (DANE).</w:t>
      </w:r>
    </w:p>
    <w:p w14:paraId="336AF686" w14:textId="77777777" w:rsidR="00C1766C" w:rsidRDefault="00C1766C" w:rsidP="004E6AA4">
      <w:pPr>
        <w:spacing w:before="5" w:line="276" w:lineRule="auto"/>
        <w:ind w:right="-22"/>
        <w:jc w:val="both"/>
        <w:rPr>
          <w:rFonts w:ascii="Verdana" w:hAnsi="Verdana"/>
          <w:bCs/>
        </w:rPr>
      </w:pPr>
    </w:p>
    <w:p w14:paraId="4046AD85" w14:textId="77777777" w:rsidR="00E42C48" w:rsidRDefault="00E42C48" w:rsidP="004E6AA4">
      <w:pPr>
        <w:spacing w:before="5" w:line="276" w:lineRule="auto"/>
        <w:ind w:right="-22"/>
        <w:jc w:val="both"/>
        <w:rPr>
          <w:rFonts w:ascii="Verdana" w:hAnsi="Verdana"/>
          <w:bCs/>
        </w:rPr>
      </w:pPr>
    </w:p>
    <w:p w14:paraId="0BBCEEE3" w14:textId="77777777" w:rsidR="00E42C48" w:rsidRPr="00611315" w:rsidRDefault="00E42C48" w:rsidP="004E6AA4">
      <w:pPr>
        <w:spacing w:before="5" w:line="276" w:lineRule="auto"/>
        <w:ind w:right="-22"/>
        <w:jc w:val="both"/>
        <w:rPr>
          <w:rFonts w:ascii="Verdana" w:hAnsi="Verdana"/>
          <w:bCs/>
        </w:rPr>
      </w:pPr>
    </w:p>
    <w:p w14:paraId="7DC2F713" w14:textId="442DB501" w:rsidR="002F6A82" w:rsidRPr="00954F93" w:rsidRDefault="002F6A82" w:rsidP="004E6AA4">
      <w:pPr>
        <w:pStyle w:val="Textoindependiente"/>
        <w:numPr>
          <w:ilvl w:val="0"/>
          <w:numId w:val="49"/>
        </w:numPr>
        <w:spacing w:before="9"/>
        <w:ind w:right="141"/>
        <w:jc w:val="both"/>
        <w:rPr>
          <w:rFonts w:ascii="Verdana" w:eastAsia="Verdana Pro" w:hAnsi="Verdana" w:cs="Verdana Pro"/>
          <w:b/>
          <w:bCs/>
          <w:sz w:val="22"/>
          <w:szCs w:val="22"/>
        </w:rPr>
      </w:pPr>
      <w:r w:rsidRPr="00954F93">
        <w:rPr>
          <w:rFonts w:ascii="Verdana" w:eastAsia="Verdana Pro" w:hAnsi="Verdana" w:cs="Verdana Pro"/>
          <w:b/>
          <w:bCs/>
          <w:sz w:val="22"/>
          <w:szCs w:val="22"/>
        </w:rPr>
        <w:lastRenderedPageBreak/>
        <w:t xml:space="preserve">Variables </w:t>
      </w:r>
      <w:r w:rsidR="006C62D6" w:rsidRPr="00954F93">
        <w:rPr>
          <w:rFonts w:ascii="Verdana" w:eastAsia="Verdana Pro" w:hAnsi="Verdana" w:cs="Verdana Pro"/>
          <w:b/>
          <w:bCs/>
          <w:sz w:val="22"/>
          <w:szCs w:val="22"/>
        </w:rPr>
        <w:t>económicas que</w:t>
      </w:r>
      <w:r w:rsidR="00C0678A" w:rsidRPr="00954F93">
        <w:rPr>
          <w:rFonts w:ascii="Verdana" w:eastAsia="Verdana Pro" w:hAnsi="Verdana" w:cs="Verdana Pro"/>
          <w:b/>
          <w:bCs/>
          <w:sz w:val="22"/>
          <w:szCs w:val="22"/>
        </w:rPr>
        <w:t xml:space="preserve"> pueden incidir en el</w:t>
      </w:r>
      <w:r w:rsidRPr="00954F93">
        <w:rPr>
          <w:rFonts w:ascii="Verdana" w:eastAsia="Verdana Pro" w:hAnsi="Verdana" w:cs="Verdana Pro"/>
          <w:b/>
          <w:bCs/>
          <w:sz w:val="22"/>
          <w:szCs w:val="22"/>
        </w:rPr>
        <w:t xml:space="preserve"> sector</w:t>
      </w:r>
    </w:p>
    <w:p w14:paraId="7C385604" w14:textId="77777777" w:rsidR="002F6A82" w:rsidRPr="00611315" w:rsidRDefault="002F6A82" w:rsidP="002F6A82">
      <w:pPr>
        <w:pStyle w:val="Textoindependiente"/>
        <w:spacing w:before="9"/>
        <w:ind w:left="720" w:right="141"/>
        <w:jc w:val="both"/>
        <w:rPr>
          <w:rFonts w:ascii="Verdana" w:eastAsia="Verdana Pro" w:hAnsi="Verdana" w:cs="Verdana Pro"/>
          <w:sz w:val="22"/>
          <w:szCs w:val="22"/>
        </w:rPr>
      </w:pPr>
    </w:p>
    <w:p w14:paraId="1FBC37C6" w14:textId="77777777" w:rsidR="00523A54" w:rsidRPr="00611315" w:rsidRDefault="001D2934" w:rsidP="005C3F3C">
      <w:pPr>
        <w:pStyle w:val="Textoindependiente"/>
        <w:spacing w:before="9"/>
        <w:ind w:right="141"/>
        <w:jc w:val="both"/>
        <w:rPr>
          <w:rFonts w:ascii="Verdana" w:eastAsia="Verdana Pro" w:hAnsi="Verdana" w:cs="Verdana Pro"/>
          <w:sz w:val="22"/>
          <w:szCs w:val="22"/>
        </w:rPr>
      </w:pPr>
      <w:r w:rsidRPr="00611315">
        <w:rPr>
          <w:rFonts w:ascii="Verdana" w:eastAsia="Verdana Pro" w:hAnsi="Verdana" w:cs="Verdana Pro"/>
          <w:sz w:val="22"/>
          <w:szCs w:val="22"/>
        </w:rPr>
        <w:t xml:space="preserve">De forma complementaria a los análisis anteriores que mostraban el comportamiento del sector de infraestructura de forma general y de infraestructura de agua potable y saneamiento básico de forma particular, con base en indicadores específicos del sector, resulta pertinente analizar de forma detallada el comportamiento de variables </w:t>
      </w:r>
      <w:r w:rsidR="00553A5F" w:rsidRPr="00611315">
        <w:rPr>
          <w:rFonts w:ascii="Verdana" w:eastAsia="Verdana Pro" w:hAnsi="Verdana" w:cs="Verdana Pro"/>
          <w:sz w:val="22"/>
          <w:szCs w:val="22"/>
        </w:rPr>
        <w:t xml:space="preserve">económicas </w:t>
      </w:r>
      <w:r w:rsidRPr="00611315">
        <w:rPr>
          <w:rFonts w:ascii="Verdana" w:eastAsia="Verdana Pro" w:hAnsi="Verdana" w:cs="Verdana Pro"/>
          <w:sz w:val="22"/>
          <w:szCs w:val="22"/>
        </w:rPr>
        <w:t>adicionales</w:t>
      </w:r>
      <w:r w:rsidR="00553A5F" w:rsidRPr="00611315">
        <w:rPr>
          <w:rFonts w:ascii="Verdana" w:eastAsia="Verdana Pro" w:hAnsi="Verdana" w:cs="Verdana Pro"/>
          <w:sz w:val="22"/>
          <w:szCs w:val="22"/>
        </w:rPr>
        <w:t xml:space="preserve"> </w:t>
      </w:r>
      <w:r w:rsidR="00C6171D" w:rsidRPr="00954F93">
        <w:rPr>
          <w:rFonts w:ascii="Verdana" w:eastAsia="Verdana Pro" w:hAnsi="Verdana" w:cs="Verdana Pro"/>
          <w:sz w:val="22"/>
          <w:szCs w:val="22"/>
        </w:rPr>
        <w:t xml:space="preserve">que pueden incidir en </w:t>
      </w:r>
      <w:r w:rsidR="00553A5F" w:rsidRPr="00611315">
        <w:rPr>
          <w:rFonts w:ascii="Verdana" w:eastAsia="Verdana Pro" w:hAnsi="Verdana" w:cs="Verdana Pro"/>
          <w:sz w:val="22"/>
          <w:szCs w:val="22"/>
        </w:rPr>
        <w:t>el comportamiento del sector a nivel de costos y por ende impactaría de forma transversal en el comportamiento económico del sector.</w:t>
      </w:r>
    </w:p>
    <w:p w14:paraId="46BE6638" w14:textId="77777777" w:rsidR="005C3F3C" w:rsidRPr="00611315" w:rsidRDefault="005C3F3C" w:rsidP="00954F93">
      <w:pPr>
        <w:pStyle w:val="Textoindependiente"/>
        <w:spacing w:after="0"/>
        <w:ind w:right="141"/>
        <w:jc w:val="both"/>
        <w:rPr>
          <w:rFonts w:ascii="Verdana" w:eastAsia="Verdana Pro" w:hAnsi="Verdana" w:cs="Verdana Pro"/>
          <w:sz w:val="22"/>
          <w:szCs w:val="22"/>
        </w:rPr>
      </w:pPr>
    </w:p>
    <w:p w14:paraId="3A1913E4" w14:textId="62959684" w:rsidR="00262593" w:rsidRPr="00954F93" w:rsidRDefault="00262593" w:rsidP="00954F93">
      <w:pPr>
        <w:pStyle w:val="Textoindependiente"/>
        <w:spacing w:before="9"/>
        <w:ind w:right="141"/>
        <w:jc w:val="both"/>
        <w:rPr>
          <w:rFonts w:ascii="Verdana" w:hAnsi="Verdana" w:cstheme="majorBidi"/>
          <w:sz w:val="22"/>
          <w:szCs w:val="22"/>
        </w:rPr>
      </w:pPr>
      <w:r w:rsidRPr="00954F93">
        <w:rPr>
          <w:rFonts w:ascii="Verdana" w:hAnsi="Verdana" w:cstheme="majorBidi"/>
          <w:sz w:val="22"/>
          <w:szCs w:val="22"/>
        </w:rPr>
        <w:t xml:space="preserve">Las variables económicas que pueden incidir en </w:t>
      </w:r>
      <w:r w:rsidR="00B646FD" w:rsidRPr="00954F93">
        <w:rPr>
          <w:rFonts w:ascii="Verdana" w:hAnsi="Verdana" w:cstheme="majorBidi"/>
          <w:sz w:val="22"/>
          <w:szCs w:val="22"/>
        </w:rPr>
        <w:t>el sector</w:t>
      </w:r>
      <w:r w:rsidRPr="00954F93">
        <w:rPr>
          <w:rFonts w:ascii="Verdana" w:hAnsi="Verdana" w:cstheme="majorBidi"/>
          <w:sz w:val="22"/>
          <w:szCs w:val="22"/>
        </w:rPr>
        <w:t xml:space="preserve"> están relacionadas principalmente con la </w:t>
      </w:r>
      <w:r w:rsidRPr="00954F93">
        <w:rPr>
          <w:rFonts w:ascii="Verdana" w:hAnsi="Verdana" w:cstheme="majorBidi"/>
          <w:b/>
          <w:bCs/>
          <w:i/>
          <w:iCs/>
          <w:sz w:val="22"/>
          <w:szCs w:val="22"/>
        </w:rPr>
        <w:t>inflación, el valor del Salario Mínimo Mensual Legal Vigente (SMMLV), el transporte de carga</w:t>
      </w:r>
      <w:r w:rsidR="00BC303F" w:rsidRPr="00954F93">
        <w:rPr>
          <w:rFonts w:ascii="Verdana" w:hAnsi="Verdana" w:cstheme="majorBidi"/>
          <w:b/>
          <w:bCs/>
          <w:i/>
          <w:iCs/>
          <w:sz w:val="22"/>
          <w:szCs w:val="22"/>
        </w:rPr>
        <w:t>,</w:t>
      </w:r>
      <w:r w:rsidRPr="00954F93">
        <w:rPr>
          <w:rFonts w:ascii="Verdana" w:hAnsi="Verdana" w:cstheme="majorBidi"/>
          <w:b/>
          <w:bCs/>
          <w:i/>
          <w:iCs/>
          <w:sz w:val="22"/>
          <w:szCs w:val="22"/>
        </w:rPr>
        <w:t xml:space="preserve"> las fluctuaciones del tipo de cambio</w:t>
      </w:r>
      <w:r w:rsidR="00F9768C" w:rsidRPr="00611315">
        <w:rPr>
          <w:rFonts w:ascii="Verdana" w:hAnsi="Verdana" w:cstheme="majorBidi"/>
          <w:sz w:val="22"/>
          <w:szCs w:val="22"/>
        </w:rPr>
        <w:t xml:space="preserve"> </w:t>
      </w:r>
      <w:r w:rsidR="00BC303F" w:rsidRPr="00954F93">
        <w:rPr>
          <w:rFonts w:ascii="Verdana" w:hAnsi="Verdana" w:cstheme="majorBidi"/>
          <w:b/>
          <w:bCs/>
          <w:sz w:val="22"/>
          <w:szCs w:val="22"/>
        </w:rPr>
        <w:t>y</w:t>
      </w:r>
      <w:r w:rsidR="00BC303F" w:rsidRPr="00954F93">
        <w:rPr>
          <w:rFonts w:ascii="Verdana" w:hAnsi="Verdana" w:cstheme="majorBidi"/>
          <w:sz w:val="22"/>
          <w:szCs w:val="22"/>
        </w:rPr>
        <w:t xml:space="preserve"> </w:t>
      </w:r>
      <w:r w:rsidR="00F9768C" w:rsidRPr="00954F93">
        <w:rPr>
          <w:rFonts w:ascii="Verdana" w:hAnsi="Verdana" w:cstheme="majorBidi"/>
          <w:b/>
          <w:bCs/>
          <w:i/>
          <w:iCs/>
          <w:sz w:val="22"/>
          <w:szCs w:val="22"/>
        </w:rPr>
        <w:t>varia</w:t>
      </w:r>
      <w:r w:rsidR="00F9768C" w:rsidRPr="00611315">
        <w:rPr>
          <w:rFonts w:ascii="Verdana" w:hAnsi="Verdana" w:cstheme="majorBidi"/>
          <w:b/>
          <w:bCs/>
          <w:i/>
          <w:iCs/>
          <w:sz w:val="22"/>
          <w:szCs w:val="22"/>
        </w:rPr>
        <w:t>bles</w:t>
      </w:r>
      <w:r w:rsidR="00F9768C" w:rsidRPr="00954F93">
        <w:rPr>
          <w:rFonts w:ascii="Verdana" w:hAnsi="Verdana" w:cstheme="majorBidi"/>
          <w:b/>
          <w:bCs/>
          <w:i/>
          <w:iCs/>
          <w:sz w:val="22"/>
          <w:szCs w:val="22"/>
        </w:rPr>
        <w:t xml:space="preserve"> internacional</w:t>
      </w:r>
      <w:r w:rsidR="00F9768C" w:rsidRPr="00611315">
        <w:rPr>
          <w:rFonts w:ascii="Verdana" w:hAnsi="Verdana" w:cstheme="majorBidi"/>
          <w:b/>
          <w:bCs/>
          <w:i/>
          <w:iCs/>
          <w:sz w:val="22"/>
          <w:szCs w:val="22"/>
        </w:rPr>
        <w:t>es</w:t>
      </w:r>
      <w:r w:rsidRPr="00954F93">
        <w:rPr>
          <w:rFonts w:ascii="Verdana" w:hAnsi="Verdana" w:cstheme="majorBidi"/>
          <w:sz w:val="22"/>
          <w:szCs w:val="22"/>
        </w:rPr>
        <w:t xml:space="preserve"> factores que impactan directamente la estructura de costos del </w:t>
      </w:r>
      <w:r w:rsidR="00BC303F" w:rsidRPr="00954F93">
        <w:rPr>
          <w:rFonts w:ascii="Verdana" w:hAnsi="Verdana" w:cstheme="majorBidi"/>
          <w:sz w:val="22"/>
          <w:szCs w:val="22"/>
        </w:rPr>
        <w:t>servicio</w:t>
      </w:r>
      <w:r w:rsidRPr="00954F93">
        <w:rPr>
          <w:rFonts w:ascii="Verdana" w:hAnsi="Verdana" w:cstheme="majorBidi"/>
          <w:sz w:val="22"/>
          <w:szCs w:val="22"/>
        </w:rPr>
        <w:t xml:space="preserve">. </w:t>
      </w:r>
    </w:p>
    <w:p w14:paraId="6F1CF508" w14:textId="77777777" w:rsidR="00262593" w:rsidRPr="00954F93" w:rsidRDefault="00262593" w:rsidP="00262593">
      <w:pPr>
        <w:jc w:val="both"/>
        <w:rPr>
          <w:rFonts w:ascii="Verdana" w:hAnsi="Verdana" w:cstheme="majorBidi"/>
          <w:sz w:val="22"/>
          <w:szCs w:val="22"/>
          <w:highlight w:val="yellow"/>
        </w:rPr>
      </w:pPr>
    </w:p>
    <w:p w14:paraId="44F120A1" w14:textId="04D9D992" w:rsidR="00262593" w:rsidRPr="00954F93" w:rsidRDefault="00262593" w:rsidP="00262593">
      <w:pPr>
        <w:pStyle w:val="Textoindependiente"/>
        <w:ind w:right="49"/>
        <w:jc w:val="both"/>
        <w:rPr>
          <w:rFonts w:ascii="Verdana" w:hAnsi="Verdana" w:cstheme="majorBidi"/>
          <w:sz w:val="22"/>
          <w:szCs w:val="22"/>
        </w:rPr>
      </w:pPr>
      <w:r w:rsidRPr="00954F93">
        <w:rPr>
          <w:rFonts w:ascii="Verdana" w:hAnsi="Verdana" w:cstheme="majorBidi"/>
          <w:b/>
          <w:bCs/>
          <w:sz w:val="22"/>
          <w:szCs w:val="22"/>
        </w:rPr>
        <w:t>INFLACIÓN:</w:t>
      </w:r>
      <w:r w:rsidRPr="00954F93">
        <w:rPr>
          <w:rFonts w:ascii="Verdana" w:hAnsi="Verdana" w:cstheme="majorBidi"/>
          <w:sz w:val="22"/>
          <w:szCs w:val="22"/>
        </w:rPr>
        <w:t xml:space="preserve"> Es el aumento sustancial, persistente y sostenido del nivel general de precios a través del tiempo. La incertidumbre sobre el futuro del poder adquisitivo de sus ingresos hace que los agentes económicos incluyan en sus decisiones las expectativas de alzas y que al negociar busquen incrementos en los precios de los bienes y servicios que ofrecen.</w:t>
      </w:r>
      <w:r w:rsidRPr="00954F93">
        <w:rPr>
          <w:rFonts w:ascii="Verdana" w:hAnsi="Verdana" w:cstheme="majorBidi"/>
          <w:sz w:val="22"/>
          <w:szCs w:val="22"/>
          <w:vertAlign w:val="superscript"/>
        </w:rPr>
        <w:footnoteReference w:id="16"/>
      </w:r>
      <w:r w:rsidRPr="00954F93">
        <w:rPr>
          <w:rFonts w:ascii="Verdana" w:hAnsi="Verdana" w:cstheme="majorBidi"/>
          <w:sz w:val="22"/>
          <w:szCs w:val="22"/>
          <w:vertAlign w:val="superscript"/>
        </w:rPr>
        <w:t xml:space="preserve">   </w:t>
      </w:r>
      <w:r w:rsidRPr="00954F93">
        <w:rPr>
          <w:rFonts w:ascii="Verdana" w:hAnsi="Verdana" w:cstheme="majorBidi"/>
          <w:sz w:val="22"/>
          <w:szCs w:val="22"/>
        </w:rPr>
        <w:t xml:space="preserve">   </w:t>
      </w:r>
    </w:p>
    <w:p w14:paraId="717D898A" w14:textId="7DA2F180" w:rsidR="00262593" w:rsidRPr="00954F93" w:rsidRDefault="00262593" w:rsidP="00262593">
      <w:pPr>
        <w:pStyle w:val="Textoindependiente"/>
        <w:ind w:right="49"/>
        <w:jc w:val="both"/>
        <w:rPr>
          <w:rFonts w:ascii="Verdana" w:eastAsia="Arial" w:hAnsi="Verdana" w:cs="Arial"/>
          <w:sz w:val="22"/>
          <w:szCs w:val="22"/>
        </w:rPr>
      </w:pPr>
      <w:r w:rsidRPr="00954F93">
        <w:rPr>
          <w:rFonts w:ascii="Verdana" w:hAnsi="Verdana" w:cstheme="majorBidi"/>
          <w:sz w:val="22"/>
          <w:szCs w:val="22"/>
        </w:rPr>
        <w:t xml:space="preserve">Por tanto, protegen sus ingresos al pedir mejores salarios o imponer mayores precios a los productos que elaboran, induciendo una oleada alcista en estos costos y, en general, en los precios de una economía. </w:t>
      </w:r>
    </w:p>
    <w:p w14:paraId="6EAE71A3" w14:textId="77777777" w:rsidR="00262593" w:rsidRPr="00954F93" w:rsidRDefault="00262593" w:rsidP="00262593">
      <w:pPr>
        <w:jc w:val="both"/>
        <w:rPr>
          <w:rFonts w:ascii="Verdana" w:hAnsi="Verdana" w:cstheme="majorBidi"/>
          <w:sz w:val="22"/>
          <w:szCs w:val="22"/>
          <w:highlight w:val="yellow"/>
        </w:rPr>
      </w:pPr>
    </w:p>
    <w:p w14:paraId="354A5A59" w14:textId="7AA4E272" w:rsidR="00262593" w:rsidRPr="00611315" w:rsidRDefault="00262593" w:rsidP="00262593">
      <w:pPr>
        <w:jc w:val="both"/>
        <w:rPr>
          <w:rFonts w:ascii="Verdana" w:hAnsi="Verdana" w:cstheme="majorBidi"/>
          <w:sz w:val="22"/>
          <w:szCs w:val="22"/>
        </w:rPr>
      </w:pPr>
      <w:r w:rsidRPr="00954F93">
        <w:rPr>
          <w:rFonts w:ascii="Verdana" w:hAnsi="Verdana" w:cstheme="majorBidi"/>
          <w:sz w:val="22"/>
          <w:szCs w:val="22"/>
        </w:rPr>
        <w:t>Según el DANE, la variación anual del Índice de Precios al Consumidor (IPC) a diciembre de 2025 se ubicó en 5,10%</w:t>
      </w:r>
      <w:r w:rsidRPr="00954F93">
        <w:rPr>
          <w:rStyle w:val="Refdenotaalpie"/>
          <w:rFonts w:ascii="Verdana" w:hAnsi="Verdana" w:cstheme="majorBidi"/>
          <w:sz w:val="22"/>
          <w:szCs w:val="22"/>
        </w:rPr>
        <w:footnoteReference w:id="17"/>
      </w:r>
      <w:r w:rsidRPr="00954F93">
        <w:rPr>
          <w:rFonts w:ascii="Verdana" w:hAnsi="Verdana" w:cstheme="majorBidi"/>
          <w:sz w:val="22"/>
          <w:szCs w:val="22"/>
        </w:rPr>
        <w:t>, mientras que la variación mensual registrada para el mismo periodo fue de 0,27%. Este comportamiento inflacionario refleja una moderación frente al cierre del año anterior, aunque mantiene presiones relevantes sobre los costos asociados a la contratación pública, particularmente en la provisión de servicios y componentes operativos necesarios para la ejecución del proyecto.</w:t>
      </w:r>
    </w:p>
    <w:p w14:paraId="158ADA1E" w14:textId="77777777" w:rsidR="007421F2" w:rsidRPr="00611315" w:rsidRDefault="007421F2" w:rsidP="00262593">
      <w:pPr>
        <w:jc w:val="both"/>
        <w:rPr>
          <w:rFonts w:ascii="Verdana" w:hAnsi="Verdana" w:cstheme="majorBidi"/>
          <w:sz w:val="22"/>
          <w:szCs w:val="22"/>
        </w:rPr>
      </w:pPr>
    </w:p>
    <w:p w14:paraId="16CD454B" w14:textId="0ADC60FF" w:rsidR="00262593" w:rsidRPr="00650B13" w:rsidRDefault="00A42034" w:rsidP="00E42C48">
      <w:pPr>
        <w:pStyle w:val="Descripcin"/>
        <w:jc w:val="center"/>
        <w:rPr>
          <w:rFonts w:ascii="Verdana" w:hAnsi="Verdana" w:cstheme="majorBidi"/>
          <w:sz w:val="22"/>
          <w:szCs w:val="22"/>
        </w:rPr>
      </w:pPr>
      <w:bookmarkStart w:id="26" w:name="_Toc231368787"/>
      <w:r w:rsidRPr="00954F93">
        <w:rPr>
          <w:rFonts w:ascii="Verdana" w:eastAsia="Times New Roman" w:hAnsi="Verdana"/>
          <w:bCs w:val="0"/>
          <w:sz w:val="22"/>
          <w:szCs w:val="22"/>
          <w:lang w:val="es-CO" w:eastAsia="es-MX"/>
        </w:rPr>
        <w:lastRenderedPageBreak/>
        <w:t xml:space="preserve">Gráfica </w:t>
      </w:r>
      <w:r w:rsidRPr="00954F93">
        <w:rPr>
          <w:rFonts w:ascii="Verdana" w:eastAsia="Times New Roman" w:hAnsi="Verdana"/>
          <w:bCs w:val="0"/>
          <w:sz w:val="22"/>
          <w:szCs w:val="22"/>
          <w:lang w:val="es-CO" w:eastAsia="es-MX"/>
        </w:rPr>
        <w:fldChar w:fldCharType="begin"/>
      </w:r>
      <w:r w:rsidRPr="00954F93">
        <w:rPr>
          <w:rFonts w:ascii="Verdana" w:eastAsia="Times New Roman" w:hAnsi="Verdana"/>
          <w:bCs w:val="0"/>
          <w:sz w:val="22"/>
          <w:szCs w:val="22"/>
          <w:lang w:val="es-CO" w:eastAsia="es-MX"/>
        </w:rPr>
        <w:instrText xml:space="preserve"> SEQ Gráfica \* ARABIC </w:instrText>
      </w:r>
      <w:r w:rsidRPr="00954F93">
        <w:rPr>
          <w:rFonts w:ascii="Verdana" w:eastAsia="Times New Roman" w:hAnsi="Verdana"/>
          <w:bCs w:val="0"/>
          <w:sz w:val="22"/>
          <w:szCs w:val="22"/>
          <w:lang w:val="es-CO" w:eastAsia="es-MX"/>
        </w:rPr>
        <w:fldChar w:fldCharType="separate"/>
      </w:r>
      <w:r w:rsidR="00973CF5">
        <w:rPr>
          <w:rFonts w:ascii="Verdana" w:eastAsia="Times New Roman" w:hAnsi="Verdana"/>
          <w:bCs w:val="0"/>
          <w:noProof/>
          <w:sz w:val="22"/>
          <w:szCs w:val="22"/>
          <w:lang w:val="es-CO" w:eastAsia="es-MX"/>
        </w:rPr>
        <w:t>12</w:t>
      </w:r>
      <w:r w:rsidRPr="00954F93">
        <w:rPr>
          <w:rFonts w:ascii="Verdana" w:eastAsia="Times New Roman" w:hAnsi="Verdana"/>
          <w:bCs w:val="0"/>
          <w:sz w:val="22"/>
          <w:szCs w:val="22"/>
          <w:lang w:val="es-CO" w:eastAsia="es-MX"/>
        </w:rPr>
        <w:fldChar w:fldCharType="end"/>
      </w:r>
      <w:r w:rsidRPr="00954F93">
        <w:rPr>
          <w:rFonts w:ascii="Verdana" w:eastAsia="Times New Roman" w:hAnsi="Verdana"/>
          <w:bCs w:val="0"/>
          <w:sz w:val="22"/>
          <w:szCs w:val="22"/>
          <w:lang w:val="es-CO" w:eastAsia="es-MX"/>
        </w:rPr>
        <w:t>. Variación an</w:t>
      </w:r>
      <w:r w:rsidRPr="00611315">
        <w:rPr>
          <w:rFonts w:ascii="Verdana" w:eastAsia="Times New Roman" w:hAnsi="Verdana"/>
          <w:bCs w:val="0"/>
          <w:sz w:val="22"/>
          <w:szCs w:val="22"/>
          <w:lang w:val="es-CO" w:eastAsia="es-MX"/>
        </w:rPr>
        <w:t>u</w:t>
      </w:r>
      <w:r w:rsidRPr="00954F93">
        <w:rPr>
          <w:rFonts w:ascii="Verdana" w:eastAsia="Times New Roman" w:hAnsi="Verdana"/>
          <w:bCs w:val="0"/>
          <w:sz w:val="22"/>
          <w:szCs w:val="22"/>
          <w:lang w:val="es-CO" w:eastAsia="es-MX"/>
        </w:rPr>
        <w:t>al y mensual del Índice de Precios al Consumidor (IPC) Total, nacional 2024-2025 (diciembre)</w:t>
      </w:r>
      <w:r w:rsidR="00262593" w:rsidRPr="00954F93">
        <w:rPr>
          <w:rFonts w:ascii="Verdana" w:hAnsi="Verdana" w:cstheme="majorBidi"/>
          <w:noProof/>
          <w:sz w:val="22"/>
          <w:szCs w:val="22"/>
        </w:rPr>
        <w:drawing>
          <wp:inline distT="0" distB="0" distL="0" distR="0" wp14:anchorId="2E7D52DD" wp14:editId="493877D6">
            <wp:extent cx="3668790" cy="1351811"/>
            <wp:effectExtent l="0" t="0" r="8255" b="1270"/>
            <wp:docPr id="1354919661"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19661" name="Imagen 1" descr="Tabla&#10;&#10;El contenido generado por IA puede ser incorrecto."/>
                    <pic:cNvPicPr/>
                  </pic:nvPicPr>
                  <pic:blipFill rotWithShape="1">
                    <a:blip r:embed="rId12"/>
                    <a:srcRect l="2376" t="27116" r="4447"/>
                    <a:stretch>
                      <a:fillRect/>
                    </a:stretch>
                  </pic:blipFill>
                  <pic:spPr bwMode="auto">
                    <a:xfrm>
                      <a:off x="0" y="0"/>
                      <a:ext cx="3746229" cy="1380344"/>
                    </a:xfrm>
                    <a:prstGeom prst="rect">
                      <a:avLst/>
                    </a:prstGeom>
                    <a:ln>
                      <a:noFill/>
                    </a:ln>
                    <a:extLst>
                      <a:ext uri="{53640926-AAD7-44D8-BBD7-CCE9431645EC}">
                        <a14:shadowObscured xmlns:a14="http://schemas.microsoft.com/office/drawing/2010/main"/>
                      </a:ext>
                    </a:extLst>
                  </pic:spPr>
                </pic:pic>
              </a:graphicData>
            </a:graphic>
          </wp:inline>
        </w:drawing>
      </w:r>
      <w:bookmarkEnd w:id="26"/>
    </w:p>
    <w:p w14:paraId="19CC4955" w14:textId="77777777" w:rsidR="00A42034" w:rsidRPr="00E42C48" w:rsidRDefault="00A42034" w:rsidP="00A42034">
      <w:pPr>
        <w:pStyle w:val="Textoindependiente"/>
        <w:spacing w:before="9"/>
        <w:ind w:right="-22"/>
        <w:jc w:val="center"/>
        <w:rPr>
          <w:rFonts w:ascii="Verdana" w:eastAsia="Verdana Pro" w:hAnsi="Verdana" w:cs="Verdana Pro"/>
          <w:sz w:val="22"/>
          <w:szCs w:val="22"/>
        </w:rPr>
      </w:pPr>
      <w:r w:rsidRPr="00E42C48">
        <w:rPr>
          <w:rFonts w:ascii="Verdana" w:eastAsia="Verdana Pro" w:hAnsi="Verdana" w:cs="Verdana Pro"/>
          <w:b/>
          <w:bCs/>
          <w:sz w:val="22"/>
          <w:szCs w:val="22"/>
        </w:rPr>
        <w:t>Fuente</w:t>
      </w:r>
      <w:r w:rsidRPr="00E42C48">
        <w:rPr>
          <w:rFonts w:ascii="Verdana" w:eastAsia="Verdana Pro" w:hAnsi="Verdana" w:cs="Verdana Pro"/>
          <w:sz w:val="22"/>
          <w:szCs w:val="22"/>
        </w:rPr>
        <w:t>: Departamento Administrativo Nacional de Estadística (DANE).</w:t>
      </w:r>
    </w:p>
    <w:p w14:paraId="7093B0FC" w14:textId="77777777" w:rsidR="00262593" w:rsidRPr="00954F93" w:rsidRDefault="00262593" w:rsidP="00262593">
      <w:pPr>
        <w:jc w:val="both"/>
        <w:rPr>
          <w:rFonts w:ascii="Verdana" w:hAnsi="Verdana" w:cstheme="majorBidi"/>
          <w:sz w:val="22"/>
          <w:szCs w:val="22"/>
          <w:highlight w:val="yellow"/>
        </w:rPr>
      </w:pPr>
    </w:p>
    <w:p w14:paraId="1750AAAD" w14:textId="4280B0C4" w:rsidR="00AD742F" w:rsidRPr="00611315" w:rsidRDefault="008F6934" w:rsidP="00262593">
      <w:pPr>
        <w:jc w:val="both"/>
        <w:rPr>
          <w:rFonts w:ascii="Verdana" w:hAnsi="Verdana" w:cstheme="majorBidi"/>
          <w:sz w:val="22"/>
          <w:szCs w:val="22"/>
        </w:rPr>
      </w:pPr>
      <w:r w:rsidRPr="00611315">
        <w:rPr>
          <w:rFonts w:ascii="Verdana" w:hAnsi="Verdana" w:cstheme="majorBidi"/>
          <w:sz w:val="22"/>
          <w:szCs w:val="22"/>
        </w:rPr>
        <w:t xml:space="preserve">En el último boletín </w:t>
      </w:r>
      <w:r w:rsidR="005E4DD9" w:rsidRPr="00611315">
        <w:rPr>
          <w:rFonts w:ascii="Verdana" w:hAnsi="Verdana" w:cstheme="majorBidi"/>
          <w:sz w:val="22"/>
          <w:szCs w:val="22"/>
        </w:rPr>
        <w:t xml:space="preserve">expedido por el </w:t>
      </w:r>
      <w:proofErr w:type="spellStart"/>
      <w:r w:rsidR="005E4DD9" w:rsidRPr="00611315">
        <w:rPr>
          <w:rFonts w:ascii="Verdana" w:hAnsi="Verdana" w:cstheme="majorBidi"/>
          <w:sz w:val="22"/>
          <w:szCs w:val="22"/>
        </w:rPr>
        <w:t>Dane</w:t>
      </w:r>
      <w:proofErr w:type="spellEnd"/>
      <w:r w:rsidR="005E4DD9" w:rsidRPr="00611315">
        <w:rPr>
          <w:rFonts w:ascii="Verdana" w:hAnsi="Verdana" w:cstheme="majorBidi"/>
          <w:sz w:val="22"/>
          <w:szCs w:val="22"/>
        </w:rPr>
        <w:t xml:space="preserve">, </w:t>
      </w:r>
      <w:r w:rsidR="0022087A" w:rsidRPr="00611315">
        <w:rPr>
          <w:rFonts w:ascii="Verdana" w:hAnsi="Verdana" w:cstheme="majorBidi"/>
          <w:sz w:val="22"/>
          <w:szCs w:val="22"/>
        </w:rPr>
        <w:t xml:space="preserve">en el mes de </w:t>
      </w:r>
      <w:r w:rsidR="00411A21" w:rsidRPr="00611315">
        <w:rPr>
          <w:rFonts w:ascii="Verdana" w:hAnsi="Verdana" w:cstheme="majorBidi"/>
          <w:sz w:val="22"/>
          <w:szCs w:val="22"/>
        </w:rPr>
        <w:t>abril</w:t>
      </w:r>
      <w:r w:rsidR="0022087A" w:rsidRPr="00611315">
        <w:rPr>
          <w:rFonts w:ascii="Verdana" w:hAnsi="Verdana" w:cstheme="majorBidi"/>
          <w:sz w:val="22"/>
          <w:szCs w:val="22"/>
        </w:rPr>
        <w:t xml:space="preserve"> de 2026, el IPC registró una variación de 5,</w:t>
      </w:r>
      <w:r w:rsidR="00C45C1E" w:rsidRPr="00611315">
        <w:rPr>
          <w:rFonts w:ascii="Verdana" w:hAnsi="Verdana" w:cstheme="majorBidi"/>
          <w:sz w:val="22"/>
          <w:szCs w:val="22"/>
        </w:rPr>
        <w:t>68</w:t>
      </w:r>
      <w:r w:rsidR="0022087A" w:rsidRPr="00611315">
        <w:rPr>
          <w:rFonts w:ascii="Verdana" w:hAnsi="Verdana" w:cstheme="majorBidi"/>
          <w:sz w:val="22"/>
          <w:szCs w:val="22"/>
        </w:rPr>
        <w:t xml:space="preserve">% en comparación con </w:t>
      </w:r>
      <w:r w:rsidR="00C45C1E" w:rsidRPr="00611315">
        <w:rPr>
          <w:rFonts w:ascii="Verdana" w:hAnsi="Verdana" w:cstheme="majorBidi"/>
          <w:sz w:val="22"/>
          <w:szCs w:val="22"/>
        </w:rPr>
        <w:t>abril</w:t>
      </w:r>
      <w:r w:rsidR="0022087A" w:rsidRPr="00611315">
        <w:rPr>
          <w:rFonts w:ascii="Verdana" w:hAnsi="Verdana" w:cstheme="majorBidi"/>
          <w:sz w:val="22"/>
          <w:szCs w:val="22"/>
        </w:rPr>
        <w:t xml:space="preserve"> de 2025</w:t>
      </w:r>
      <w:r w:rsidR="0073264A" w:rsidRPr="00611315">
        <w:rPr>
          <w:rFonts w:ascii="Verdana" w:hAnsi="Verdana" w:cstheme="majorBidi"/>
          <w:sz w:val="22"/>
          <w:szCs w:val="22"/>
        </w:rPr>
        <w:t>; por su parte la variación mensual registrada entre e</w:t>
      </w:r>
      <w:r w:rsidR="00821291" w:rsidRPr="00611315">
        <w:rPr>
          <w:rFonts w:ascii="Verdana" w:hAnsi="Verdana" w:cstheme="majorBidi"/>
          <w:sz w:val="22"/>
          <w:szCs w:val="22"/>
        </w:rPr>
        <w:t>n</w:t>
      </w:r>
      <w:r w:rsidR="0073264A" w:rsidRPr="00611315">
        <w:rPr>
          <w:rFonts w:ascii="Verdana" w:hAnsi="Verdana" w:cstheme="majorBidi"/>
          <w:sz w:val="22"/>
          <w:szCs w:val="22"/>
        </w:rPr>
        <w:t>e</w:t>
      </w:r>
      <w:r w:rsidR="00821291" w:rsidRPr="00611315">
        <w:rPr>
          <w:rFonts w:ascii="Verdana" w:hAnsi="Verdana" w:cstheme="majorBidi"/>
          <w:sz w:val="22"/>
          <w:szCs w:val="22"/>
        </w:rPr>
        <w:t>ro</w:t>
      </w:r>
      <w:r w:rsidR="0073264A" w:rsidRPr="00611315">
        <w:rPr>
          <w:rFonts w:ascii="Verdana" w:hAnsi="Verdana" w:cstheme="majorBidi"/>
          <w:sz w:val="22"/>
          <w:szCs w:val="22"/>
        </w:rPr>
        <w:t xml:space="preserve"> y febrero de 2026 se ubicó en el </w:t>
      </w:r>
      <w:r w:rsidR="003D1B5A" w:rsidRPr="00611315">
        <w:rPr>
          <w:rFonts w:ascii="Verdana" w:hAnsi="Verdana" w:cstheme="majorBidi"/>
          <w:sz w:val="22"/>
          <w:szCs w:val="22"/>
        </w:rPr>
        <w:t>0</w:t>
      </w:r>
      <w:r w:rsidR="00821291" w:rsidRPr="00611315">
        <w:rPr>
          <w:rFonts w:ascii="Verdana" w:hAnsi="Verdana" w:cstheme="majorBidi"/>
          <w:sz w:val="22"/>
          <w:szCs w:val="22"/>
        </w:rPr>
        <w:t>,</w:t>
      </w:r>
      <w:r w:rsidR="003D1B5A" w:rsidRPr="00611315">
        <w:rPr>
          <w:rFonts w:ascii="Verdana" w:hAnsi="Verdana" w:cstheme="majorBidi"/>
          <w:sz w:val="22"/>
          <w:szCs w:val="22"/>
        </w:rPr>
        <w:t>7</w:t>
      </w:r>
      <w:r w:rsidR="00821291" w:rsidRPr="00611315">
        <w:rPr>
          <w:rFonts w:ascii="Verdana" w:hAnsi="Verdana" w:cstheme="majorBidi"/>
          <w:sz w:val="22"/>
          <w:szCs w:val="22"/>
        </w:rPr>
        <w:t>8%</w:t>
      </w:r>
      <w:r w:rsidR="0092061A" w:rsidRPr="00611315">
        <w:rPr>
          <w:rStyle w:val="Refdenotaalpie"/>
          <w:rFonts w:ascii="Verdana" w:hAnsi="Verdana" w:cstheme="majorBidi"/>
          <w:sz w:val="22"/>
          <w:szCs w:val="22"/>
        </w:rPr>
        <w:footnoteReference w:id="18"/>
      </w:r>
      <w:r w:rsidR="00821291" w:rsidRPr="00611315">
        <w:rPr>
          <w:rFonts w:ascii="Verdana" w:hAnsi="Verdana" w:cstheme="majorBidi"/>
          <w:sz w:val="22"/>
          <w:szCs w:val="22"/>
        </w:rPr>
        <w:t>.</w:t>
      </w:r>
    </w:p>
    <w:p w14:paraId="67AFE531" w14:textId="77777777" w:rsidR="00AD742F" w:rsidRPr="00611315" w:rsidRDefault="00AD742F" w:rsidP="00262593">
      <w:pPr>
        <w:jc w:val="both"/>
        <w:rPr>
          <w:rFonts w:ascii="Verdana" w:hAnsi="Verdana" w:cstheme="majorBidi"/>
          <w:sz w:val="22"/>
          <w:szCs w:val="22"/>
          <w:highlight w:val="yellow"/>
        </w:rPr>
      </w:pPr>
    </w:p>
    <w:p w14:paraId="5D2F2776" w14:textId="37C06247" w:rsidR="004178A6" w:rsidRPr="00611315" w:rsidRDefault="00D91D49" w:rsidP="00D91D49">
      <w:pPr>
        <w:pStyle w:val="Descripcin"/>
        <w:jc w:val="center"/>
        <w:rPr>
          <w:rFonts w:ascii="Verdana" w:eastAsia="Times New Roman" w:hAnsi="Verdana"/>
          <w:bCs w:val="0"/>
          <w:sz w:val="22"/>
          <w:szCs w:val="22"/>
          <w:lang w:val="es-CO" w:eastAsia="es-MX"/>
        </w:rPr>
      </w:pPr>
      <w:bookmarkStart w:id="27" w:name="_Toc231368788"/>
      <w:r w:rsidRPr="00611315">
        <w:rPr>
          <w:rFonts w:ascii="Verdana" w:eastAsia="Times New Roman" w:hAnsi="Verdana"/>
          <w:bCs w:val="0"/>
          <w:sz w:val="22"/>
          <w:szCs w:val="22"/>
          <w:lang w:val="es-CO" w:eastAsia="es-MX"/>
        </w:rPr>
        <w:t xml:space="preserve">Gráfica </w:t>
      </w:r>
      <w:r w:rsidRPr="00611315">
        <w:rPr>
          <w:rFonts w:ascii="Verdana" w:eastAsia="Times New Roman" w:hAnsi="Verdana"/>
          <w:bCs w:val="0"/>
          <w:sz w:val="22"/>
          <w:szCs w:val="22"/>
          <w:lang w:val="es-CO" w:eastAsia="es-MX"/>
        </w:rPr>
        <w:fldChar w:fldCharType="begin"/>
      </w:r>
      <w:r w:rsidRPr="00611315">
        <w:rPr>
          <w:rFonts w:ascii="Verdana" w:eastAsia="Times New Roman" w:hAnsi="Verdana"/>
          <w:bCs w:val="0"/>
          <w:sz w:val="22"/>
          <w:szCs w:val="22"/>
          <w:lang w:val="es-CO" w:eastAsia="es-MX"/>
        </w:rPr>
        <w:instrText xml:space="preserve"> SEQ Gráfica \* ARABIC </w:instrText>
      </w:r>
      <w:r w:rsidRPr="00611315">
        <w:rPr>
          <w:rFonts w:ascii="Verdana" w:eastAsia="Times New Roman" w:hAnsi="Verdana"/>
          <w:bCs w:val="0"/>
          <w:sz w:val="22"/>
          <w:szCs w:val="22"/>
          <w:lang w:val="es-CO" w:eastAsia="es-MX"/>
        </w:rPr>
        <w:fldChar w:fldCharType="separate"/>
      </w:r>
      <w:r w:rsidR="00973CF5">
        <w:rPr>
          <w:rFonts w:ascii="Verdana" w:eastAsia="Times New Roman" w:hAnsi="Verdana"/>
          <w:bCs w:val="0"/>
          <w:noProof/>
          <w:sz w:val="22"/>
          <w:szCs w:val="22"/>
          <w:lang w:val="es-CO" w:eastAsia="es-MX"/>
        </w:rPr>
        <w:t>13</w:t>
      </w:r>
      <w:r w:rsidRPr="00611315">
        <w:rPr>
          <w:rFonts w:ascii="Verdana" w:eastAsia="Times New Roman" w:hAnsi="Verdana"/>
          <w:bCs w:val="0"/>
          <w:sz w:val="22"/>
          <w:szCs w:val="22"/>
          <w:lang w:val="es-CO" w:eastAsia="es-MX"/>
        </w:rPr>
        <w:fldChar w:fldCharType="end"/>
      </w:r>
      <w:r w:rsidRPr="00611315">
        <w:rPr>
          <w:rFonts w:ascii="Verdana" w:eastAsia="Times New Roman" w:hAnsi="Verdana"/>
          <w:bCs w:val="0"/>
          <w:sz w:val="22"/>
          <w:szCs w:val="22"/>
          <w:lang w:val="es-CO" w:eastAsia="es-MX"/>
        </w:rPr>
        <w:t xml:space="preserve">. IPC Variaciones Total Nacional </w:t>
      </w:r>
      <w:proofErr w:type="gramStart"/>
      <w:r w:rsidR="003D1B5A" w:rsidRPr="00611315">
        <w:rPr>
          <w:rFonts w:ascii="Verdana" w:eastAsia="Times New Roman" w:hAnsi="Verdana"/>
          <w:bCs w:val="0"/>
          <w:sz w:val="22"/>
          <w:szCs w:val="22"/>
          <w:lang w:val="es-CO" w:eastAsia="es-MX"/>
        </w:rPr>
        <w:t>Abril</w:t>
      </w:r>
      <w:proofErr w:type="gramEnd"/>
      <w:r w:rsidRPr="00611315">
        <w:rPr>
          <w:rFonts w:ascii="Verdana" w:eastAsia="Times New Roman" w:hAnsi="Verdana"/>
          <w:bCs w:val="0"/>
          <w:sz w:val="22"/>
          <w:szCs w:val="22"/>
          <w:lang w:val="es-CO" w:eastAsia="es-MX"/>
        </w:rPr>
        <w:t xml:space="preserve"> 2025 - 2026</w:t>
      </w:r>
      <w:bookmarkEnd w:id="27"/>
    </w:p>
    <w:p w14:paraId="10B16667" w14:textId="08D820D0" w:rsidR="00AD742F" w:rsidRPr="00611315" w:rsidRDefault="003D1B5A" w:rsidP="004178A6">
      <w:pPr>
        <w:jc w:val="center"/>
        <w:rPr>
          <w:rFonts w:ascii="Verdana" w:hAnsi="Verdana" w:cstheme="majorBidi"/>
          <w:sz w:val="22"/>
          <w:szCs w:val="22"/>
          <w:highlight w:val="yellow"/>
        </w:rPr>
      </w:pPr>
      <w:r w:rsidRPr="00611315">
        <w:rPr>
          <w:rFonts w:ascii="Verdana" w:hAnsi="Verdana"/>
          <w:noProof/>
        </w:rPr>
        <w:drawing>
          <wp:inline distT="0" distB="0" distL="0" distR="0" wp14:anchorId="666F7E70" wp14:editId="2189EDDF">
            <wp:extent cx="4822758" cy="2626242"/>
            <wp:effectExtent l="0" t="0" r="0" b="3175"/>
            <wp:docPr id="19695334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33417" name=""/>
                    <pic:cNvPicPr/>
                  </pic:nvPicPr>
                  <pic:blipFill rotWithShape="1">
                    <a:blip r:embed="rId26"/>
                    <a:srcRect l="31443" t="44864" r="31288" b="16128"/>
                    <a:stretch>
                      <a:fillRect/>
                    </a:stretch>
                  </pic:blipFill>
                  <pic:spPr bwMode="auto">
                    <a:xfrm>
                      <a:off x="0" y="0"/>
                      <a:ext cx="4864314" cy="2648871"/>
                    </a:xfrm>
                    <a:prstGeom prst="rect">
                      <a:avLst/>
                    </a:prstGeom>
                    <a:ln>
                      <a:noFill/>
                    </a:ln>
                    <a:extLst>
                      <a:ext uri="{53640926-AAD7-44D8-BBD7-CCE9431645EC}">
                        <a14:shadowObscured xmlns:a14="http://schemas.microsoft.com/office/drawing/2010/main"/>
                      </a:ext>
                    </a:extLst>
                  </pic:spPr>
                </pic:pic>
              </a:graphicData>
            </a:graphic>
          </wp:inline>
        </w:drawing>
      </w:r>
    </w:p>
    <w:p w14:paraId="243E8243" w14:textId="77777777" w:rsidR="00D91D49" w:rsidRPr="00E42C48" w:rsidRDefault="00D91D49" w:rsidP="00D91D49">
      <w:pPr>
        <w:pStyle w:val="Textoindependiente"/>
        <w:spacing w:before="9"/>
        <w:ind w:right="-22"/>
        <w:jc w:val="center"/>
        <w:rPr>
          <w:rFonts w:ascii="Verdana" w:eastAsia="Verdana Pro" w:hAnsi="Verdana" w:cs="Verdana Pro"/>
          <w:sz w:val="22"/>
          <w:szCs w:val="22"/>
        </w:rPr>
      </w:pPr>
      <w:r w:rsidRPr="00E42C48">
        <w:rPr>
          <w:rFonts w:ascii="Verdana" w:eastAsia="Verdana Pro" w:hAnsi="Verdana" w:cs="Verdana Pro"/>
          <w:b/>
          <w:bCs/>
          <w:sz w:val="22"/>
          <w:szCs w:val="22"/>
        </w:rPr>
        <w:t>Fuente</w:t>
      </w:r>
      <w:r w:rsidRPr="00E42C48">
        <w:rPr>
          <w:rFonts w:ascii="Verdana" w:eastAsia="Verdana Pro" w:hAnsi="Verdana" w:cs="Verdana Pro"/>
          <w:sz w:val="22"/>
          <w:szCs w:val="22"/>
        </w:rPr>
        <w:t>: Departamento Administrativo Nacional de Estadística (DANE).</w:t>
      </w:r>
    </w:p>
    <w:p w14:paraId="0249CDDE" w14:textId="030B6C8B" w:rsidR="00262593" w:rsidRPr="00611315" w:rsidRDefault="002970DE" w:rsidP="00262593">
      <w:pPr>
        <w:jc w:val="both"/>
        <w:rPr>
          <w:rFonts w:ascii="Verdana" w:hAnsi="Verdana" w:cstheme="majorBidi"/>
          <w:sz w:val="22"/>
          <w:szCs w:val="22"/>
        </w:rPr>
      </w:pPr>
      <w:r w:rsidRPr="00611315">
        <w:rPr>
          <w:rFonts w:ascii="Verdana" w:hAnsi="Verdana" w:cstheme="majorBidi"/>
          <w:sz w:val="22"/>
          <w:szCs w:val="22"/>
        </w:rPr>
        <w:lastRenderedPageBreak/>
        <w:t>Los mayores aportes a la variación anual se registraron en las divisiones de: Alojamiento, agua, electricidad, gas y otros combustibles, Alimentos y bebidas no alcohólicas, Restaurantes y hoteles, Transporte y Bienes y servicios diversos, las cuales en conjunto contribuyeron con 4,60 puntos porcentuales al acumulado anual de dicha variación.</w:t>
      </w:r>
    </w:p>
    <w:p w14:paraId="6FD3A977" w14:textId="77777777" w:rsidR="00262593" w:rsidRPr="00954F93" w:rsidRDefault="00262593" w:rsidP="00262593">
      <w:pPr>
        <w:jc w:val="both"/>
        <w:rPr>
          <w:rFonts w:ascii="Verdana" w:hAnsi="Verdana" w:cstheme="majorBidi"/>
          <w:sz w:val="22"/>
          <w:szCs w:val="22"/>
        </w:rPr>
      </w:pPr>
    </w:p>
    <w:p w14:paraId="3EDD0134" w14:textId="3F67B67A" w:rsidR="00262593" w:rsidRPr="00611315" w:rsidRDefault="00262593" w:rsidP="00262593">
      <w:pPr>
        <w:pStyle w:val="paragraph"/>
        <w:jc w:val="both"/>
        <w:textAlignment w:val="baseline"/>
        <w:rPr>
          <w:rFonts w:ascii="Verdana" w:hAnsi="Verdana" w:cstheme="majorBidi"/>
          <w:sz w:val="22"/>
          <w:szCs w:val="22"/>
          <w:lang w:eastAsia="es-ES_tradnl"/>
        </w:rPr>
      </w:pPr>
      <w:r w:rsidRPr="00954F93">
        <w:rPr>
          <w:rFonts w:ascii="Verdana" w:hAnsi="Verdana" w:cstheme="majorBidi"/>
          <w:b/>
          <w:bCs/>
          <w:sz w:val="22"/>
          <w:szCs w:val="22"/>
          <w:lang w:eastAsia="es-ES_tradnl"/>
        </w:rPr>
        <w:t>VARIACIÓN ANUAL DEL SALARIO MÍNIMO:</w:t>
      </w:r>
      <w:r w:rsidRPr="00954F93">
        <w:rPr>
          <w:rFonts w:ascii="Verdana" w:hAnsi="Verdana" w:cstheme="majorBidi"/>
          <w:sz w:val="22"/>
          <w:szCs w:val="22"/>
          <w:lang w:eastAsia="es-ES_tradnl"/>
        </w:rPr>
        <w:t xml:space="preserve"> De manera sistemática, al finalizar cada año, se realiza en Colombia la discusión sobre el incremento del salario mínimo. El arreglo institucional en Colombia hace que tres jugadores, líderes de sindicatos de trabajadores, representantes de los gremios de la producción y gobierno, se sienten a negociar un incremento del Salario mínimo de los trabajadores. La variación del salario mínimo está supeditada al comportamiento del IPC. En este contexto, se observa el siguiente comportamiento</w:t>
      </w:r>
      <w:r w:rsidRPr="00954F93">
        <w:rPr>
          <w:rStyle w:val="Refdenotaalpie"/>
          <w:rFonts w:ascii="Verdana" w:hAnsi="Verdana"/>
          <w:sz w:val="22"/>
          <w:szCs w:val="22"/>
          <w:lang w:eastAsia="es-MX"/>
        </w:rPr>
        <w:footnoteReference w:id="19"/>
      </w:r>
      <w:r w:rsidR="00512DE4" w:rsidRPr="00611315">
        <w:rPr>
          <w:rFonts w:ascii="Verdana" w:hAnsi="Verdana" w:cstheme="majorBidi"/>
          <w:sz w:val="22"/>
          <w:szCs w:val="22"/>
          <w:lang w:eastAsia="es-ES_tradnl"/>
        </w:rPr>
        <w:t>:</w:t>
      </w:r>
    </w:p>
    <w:p w14:paraId="0AD21BCF" w14:textId="3E9E2565" w:rsidR="00DA416E" w:rsidRPr="00954F93" w:rsidRDefault="00DA416E" w:rsidP="00DA416E">
      <w:pPr>
        <w:pStyle w:val="Descripcin"/>
        <w:jc w:val="center"/>
        <w:rPr>
          <w:rFonts w:ascii="Verdana" w:eastAsia="Times New Roman" w:hAnsi="Verdana"/>
          <w:bCs w:val="0"/>
          <w:sz w:val="22"/>
          <w:szCs w:val="22"/>
          <w:lang w:val="es-CO" w:eastAsia="es-MX"/>
        </w:rPr>
      </w:pPr>
      <w:bookmarkStart w:id="28" w:name="_Toc231368789"/>
      <w:r w:rsidRPr="00611315">
        <w:rPr>
          <w:rFonts w:ascii="Verdana" w:eastAsia="Times New Roman" w:hAnsi="Verdana"/>
          <w:bCs w:val="0"/>
          <w:sz w:val="22"/>
          <w:szCs w:val="22"/>
          <w:lang w:val="es-CO" w:eastAsia="es-MX"/>
        </w:rPr>
        <w:t xml:space="preserve">Gráfica </w:t>
      </w:r>
      <w:r w:rsidRPr="00611315">
        <w:rPr>
          <w:rFonts w:ascii="Verdana" w:eastAsia="Times New Roman" w:hAnsi="Verdana"/>
          <w:bCs w:val="0"/>
          <w:sz w:val="22"/>
          <w:szCs w:val="22"/>
          <w:lang w:val="es-CO" w:eastAsia="es-MX"/>
        </w:rPr>
        <w:fldChar w:fldCharType="begin"/>
      </w:r>
      <w:r w:rsidRPr="00611315">
        <w:rPr>
          <w:rFonts w:ascii="Verdana" w:eastAsia="Times New Roman" w:hAnsi="Verdana"/>
          <w:bCs w:val="0"/>
          <w:sz w:val="22"/>
          <w:szCs w:val="22"/>
          <w:lang w:val="es-CO" w:eastAsia="es-MX"/>
        </w:rPr>
        <w:instrText xml:space="preserve"> SEQ Gráfica \* ARABIC </w:instrText>
      </w:r>
      <w:r w:rsidRPr="00611315">
        <w:rPr>
          <w:rFonts w:ascii="Verdana" w:eastAsia="Times New Roman" w:hAnsi="Verdana"/>
          <w:bCs w:val="0"/>
          <w:sz w:val="22"/>
          <w:szCs w:val="22"/>
          <w:lang w:val="es-CO" w:eastAsia="es-MX"/>
        </w:rPr>
        <w:fldChar w:fldCharType="separate"/>
      </w:r>
      <w:r w:rsidR="00973CF5">
        <w:rPr>
          <w:rFonts w:ascii="Verdana" w:eastAsia="Times New Roman" w:hAnsi="Verdana"/>
          <w:bCs w:val="0"/>
          <w:noProof/>
          <w:sz w:val="22"/>
          <w:szCs w:val="22"/>
          <w:lang w:val="es-CO" w:eastAsia="es-MX"/>
        </w:rPr>
        <w:t>14</w:t>
      </w:r>
      <w:r w:rsidRPr="00611315">
        <w:rPr>
          <w:rFonts w:ascii="Verdana" w:eastAsia="Times New Roman" w:hAnsi="Verdana"/>
          <w:bCs w:val="0"/>
          <w:sz w:val="22"/>
          <w:szCs w:val="22"/>
          <w:lang w:val="es-CO" w:eastAsia="es-MX"/>
        </w:rPr>
        <w:fldChar w:fldCharType="end"/>
      </w:r>
      <w:r w:rsidRPr="00611315">
        <w:rPr>
          <w:rFonts w:ascii="Verdana" w:eastAsia="Times New Roman" w:hAnsi="Verdana"/>
          <w:bCs w:val="0"/>
          <w:sz w:val="22"/>
          <w:szCs w:val="22"/>
          <w:lang w:val="es-CO" w:eastAsia="es-MX"/>
        </w:rPr>
        <w:t>. Variación SMMLV 2026</w:t>
      </w:r>
      <w:bookmarkEnd w:id="28"/>
    </w:p>
    <w:p w14:paraId="3F8401A8" w14:textId="77777777" w:rsidR="00262593" w:rsidRPr="00954F93" w:rsidRDefault="00262593" w:rsidP="00262593">
      <w:pPr>
        <w:pStyle w:val="paragraph"/>
        <w:jc w:val="center"/>
        <w:textAlignment w:val="baseline"/>
        <w:rPr>
          <w:rFonts w:ascii="Verdana" w:hAnsi="Verdana" w:cstheme="majorBidi"/>
          <w:sz w:val="22"/>
          <w:szCs w:val="22"/>
          <w:lang w:eastAsia="es-ES_tradnl"/>
        </w:rPr>
      </w:pPr>
      <w:r w:rsidRPr="00954F93">
        <w:rPr>
          <w:rFonts w:ascii="Verdana" w:hAnsi="Verdana" w:cstheme="majorBidi"/>
          <w:noProof/>
          <w:sz w:val="22"/>
          <w:szCs w:val="22"/>
          <w:lang w:eastAsia="es-ES_tradnl"/>
        </w:rPr>
        <w:drawing>
          <wp:inline distT="0" distB="0" distL="0" distR="0" wp14:anchorId="3CB1F235" wp14:editId="11A5B3BF">
            <wp:extent cx="5105312" cy="2540527"/>
            <wp:effectExtent l="0" t="0" r="635" b="0"/>
            <wp:docPr id="2060973844" name="Imagen 6" descr="Gráfico, Gráfico de lín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973844" name="Imagen 6" descr="Gráfico, Gráfico de línea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52397" cy="2563958"/>
                    </a:xfrm>
                    <a:prstGeom prst="rect">
                      <a:avLst/>
                    </a:prstGeom>
                    <a:noFill/>
                    <a:ln>
                      <a:noFill/>
                    </a:ln>
                  </pic:spPr>
                </pic:pic>
              </a:graphicData>
            </a:graphic>
          </wp:inline>
        </w:drawing>
      </w:r>
    </w:p>
    <w:p w14:paraId="3DC18D63" w14:textId="425399F2" w:rsidR="00D42BD9" w:rsidRPr="00650B13" w:rsidRDefault="00D42BD9" w:rsidP="00D42BD9">
      <w:pPr>
        <w:pStyle w:val="Textoindependiente"/>
        <w:spacing w:before="9"/>
        <w:ind w:right="-22"/>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xml:space="preserve">: </w:t>
      </w:r>
      <w:r w:rsidRPr="00650B13">
        <w:rPr>
          <w:rFonts w:ascii="Verdana" w:hAnsi="Verdana" w:cs="Arial"/>
          <w:sz w:val="22"/>
          <w:szCs w:val="22"/>
        </w:rPr>
        <w:t xml:space="preserve">Herrera Paula. El salario </w:t>
      </w:r>
      <w:proofErr w:type="gramStart"/>
      <w:r w:rsidRPr="00650B13">
        <w:rPr>
          <w:rFonts w:ascii="Verdana" w:hAnsi="Verdana" w:cs="Arial"/>
          <w:sz w:val="22"/>
          <w:szCs w:val="22"/>
        </w:rPr>
        <w:t>mínimo :</w:t>
      </w:r>
      <w:proofErr w:type="gramEnd"/>
      <w:r w:rsidRPr="00650B13">
        <w:rPr>
          <w:rFonts w:ascii="Verdana" w:hAnsi="Verdana" w:cs="Arial"/>
          <w:sz w:val="22"/>
          <w:szCs w:val="22"/>
        </w:rPr>
        <w:t xml:space="preserve"> aspectos generales sobre los casos de Colombia y otros </w:t>
      </w:r>
      <w:r w:rsidR="00621258" w:rsidRPr="00650B13">
        <w:rPr>
          <w:rFonts w:ascii="Verdana" w:hAnsi="Verdana" w:cs="Arial"/>
          <w:sz w:val="22"/>
          <w:szCs w:val="22"/>
        </w:rPr>
        <w:t>países.</w:t>
      </w:r>
    </w:p>
    <w:p w14:paraId="7D0382FF" w14:textId="77777777" w:rsidR="00DA416E" w:rsidRPr="00611315" w:rsidRDefault="00DA416E" w:rsidP="00262593">
      <w:pPr>
        <w:jc w:val="both"/>
        <w:rPr>
          <w:rFonts w:ascii="Verdana" w:hAnsi="Verdana" w:cstheme="majorBidi"/>
          <w:sz w:val="22"/>
          <w:szCs w:val="22"/>
          <w:lang w:eastAsia="es-ES_tradnl"/>
        </w:rPr>
      </w:pPr>
    </w:p>
    <w:p w14:paraId="647F731F" w14:textId="378DA273" w:rsidR="00CA3B6A" w:rsidRPr="00611315" w:rsidRDefault="00262593" w:rsidP="00262593">
      <w:pPr>
        <w:jc w:val="both"/>
        <w:rPr>
          <w:rFonts w:ascii="Verdana" w:hAnsi="Verdana" w:cstheme="majorBidi"/>
          <w:sz w:val="22"/>
          <w:szCs w:val="22"/>
          <w:lang w:eastAsia="es-ES_tradnl"/>
        </w:rPr>
      </w:pPr>
      <w:r w:rsidRPr="00954F93">
        <w:rPr>
          <w:rFonts w:ascii="Verdana" w:hAnsi="Verdana" w:cstheme="majorBidi"/>
          <w:sz w:val="22"/>
          <w:szCs w:val="22"/>
          <w:lang w:eastAsia="es-ES_tradnl"/>
        </w:rPr>
        <w:t xml:space="preserve">A finales del año 2025, el Gobierno nacional fijó un incremento del 23 % en el Salario Mínimo Legal Mensual Vigente (SMMLV) para el año 2026, el cual pasó de $1.423.500 a $1.750.905, lo que representa un aumento absoluto de $327.405. De manera complementaria, el auxilio de transporte fue establecido en $249.095, frente a los $200.000 vigentes en 2025. </w:t>
      </w:r>
      <w:r w:rsidR="00CA3B6A" w:rsidRPr="00611315">
        <w:rPr>
          <w:rFonts w:ascii="Verdana" w:hAnsi="Verdana" w:cstheme="majorBidi"/>
          <w:sz w:val="22"/>
          <w:szCs w:val="22"/>
          <w:lang w:eastAsia="es-ES_tradnl"/>
        </w:rPr>
        <w:t xml:space="preserve">Teniendo en cuenta el impacto que tiene el </w:t>
      </w:r>
      <w:r w:rsidR="00E57162" w:rsidRPr="00611315">
        <w:rPr>
          <w:rFonts w:ascii="Verdana" w:hAnsi="Verdana" w:cstheme="majorBidi"/>
          <w:sz w:val="22"/>
          <w:szCs w:val="22"/>
          <w:lang w:eastAsia="es-ES_tradnl"/>
        </w:rPr>
        <w:t>costo de mano de obra</w:t>
      </w:r>
      <w:r w:rsidR="00725BE9" w:rsidRPr="00611315">
        <w:rPr>
          <w:rFonts w:ascii="Verdana" w:hAnsi="Verdana" w:cstheme="majorBidi"/>
          <w:sz w:val="22"/>
          <w:szCs w:val="22"/>
          <w:lang w:eastAsia="es-ES_tradnl"/>
        </w:rPr>
        <w:t xml:space="preserve"> (</w:t>
      </w:r>
      <w:r w:rsidR="00A46670" w:rsidRPr="00611315">
        <w:rPr>
          <w:rFonts w:ascii="Verdana" w:hAnsi="Verdana" w:cstheme="majorBidi"/>
          <w:sz w:val="22"/>
          <w:szCs w:val="22"/>
          <w:lang w:eastAsia="es-ES_tradnl"/>
        </w:rPr>
        <w:t>16</w:t>
      </w:r>
      <w:r w:rsidR="00725BE9" w:rsidRPr="00611315">
        <w:rPr>
          <w:rFonts w:ascii="Verdana" w:hAnsi="Verdana" w:cstheme="majorBidi"/>
          <w:sz w:val="22"/>
          <w:szCs w:val="22"/>
          <w:lang w:eastAsia="es-ES_tradnl"/>
        </w:rPr>
        <w:t>,89%)</w:t>
      </w:r>
      <w:r w:rsidR="00E57162" w:rsidRPr="00611315">
        <w:rPr>
          <w:rFonts w:ascii="Verdana" w:hAnsi="Verdana" w:cstheme="majorBidi"/>
          <w:sz w:val="22"/>
          <w:szCs w:val="22"/>
          <w:lang w:eastAsia="es-ES_tradnl"/>
        </w:rPr>
        <w:t xml:space="preserve"> dentro del grupo de costos de </w:t>
      </w:r>
      <w:r w:rsidR="00725BE9" w:rsidRPr="00611315">
        <w:rPr>
          <w:rFonts w:ascii="Verdana" w:hAnsi="Verdana" w:cstheme="majorBidi"/>
          <w:sz w:val="22"/>
          <w:szCs w:val="22"/>
          <w:lang w:eastAsia="es-ES_tradnl"/>
        </w:rPr>
        <w:t>Obra Civil</w:t>
      </w:r>
      <w:r w:rsidR="00725BE9" w:rsidRPr="00611315">
        <w:rPr>
          <w:rStyle w:val="Refdenotaalpie"/>
          <w:rFonts w:ascii="Verdana" w:hAnsi="Verdana" w:cstheme="majorBidi"/>
          <w:sz w:val="22"/>
          <w:szCs w:val="22"/>
          <w:lang w:eastAsia="es-ES_tradnl"/>
        </w:rPr>
        <w:footnoteReference w:id="20"/>
      </w:r>
      <w:r w:rsidR="001910D3" w:rsidRPr="00611315">
        <w:rPr>
          <w:rFonts w:ascii="Verdana" w:hAnsi="Verdana" w:cstheme="majorBidi"/>
          <w:sz w:val="22"/>
          <w:szCs w:val="22"/>
          <w:lang w:eastAsia="es-ES_tradnl"/>
        </w:rPr>
        <w:t xml:space="preserve">, es evidente que el aumento en el SMMLV para 2026 tendrá un impacto en el costo de los servicios del sector, esto se puede reflejar en la variación </w:t>
      </w:r>
      <w:r w:rsidR="00A46670" w:rsidRPr="00611315">
        <w:rPr>
          <w:rFonts w:ascii="Verdana" w:hAnsi="Verdana" w:cstheme="majorBidi"/>
          <w:sz w:val="22"/>
          <w:szCs w:val="22"/>
          <w:lang w:eastAsia="es-ES_tradnl"/>
        </w:rPr>
        <w:t xml:space="preserve">del 14,50% </w:t>
      </w:r>
      <w:r w:rsidR="001910D3" w:rsidRPr="00611315">
        <w:rPr>
          <w:rFonts w:ascii="Verdana" w:hAnsi="Verdana" w:cstheme="majorBidi"/>
          <w:sz w:val="22"/>
          <w:szCs w:val="22"/>
          <w:lang w:eastAsia="es-ES_tradnl"/>
        </w:rPr>
        <w:t xml:space="preserve">que tuvo el </w:t>
      </w:r>
      <w:r w:rsidR="002B493F" w:rsidRPr="00611315">
        <w:rPr>
          <w:rFonts w:ascii="Verdana" w:hAnsi="Verdana" w:cstheme="majorBidi"/>
          <w:sz w:val="22"/>
          <w:szCs w:val="22"/>
          <w:lang w:eastAsia="es-ES_tradnl"/>
        </w:rPr>
        <w:t>grupo de costos Mano de obra en marzo de 2026 frente al mismo mes en el año 2025</w:t>
      </w:r>
      <w:r w:rsidR="000C33A5" w:rsidRPr="00611315">
        <w:rPr>
          <w:rStyle w:val="Refdenotaalpie"/>
          <w:rFonts w:ascii="Verdana" w:hAnsi="Verdana" w:cstheme="majorBidi"/>
          <w:sz w:val="22"/>
          <w:szCs w:val="22"/>
          <w:lang w:eastAsia="es-ES_tradnl"/>
        </w:rPr>
        <w:footnoteReference w:id="21"/>
      </w:r>
      <w:r w:rsidR="000C33A5" w:rsidRPr="00611315">
        <w:rPr>
          <w:rFonts w:ascii="Verdana" w:hAnsi="Verdana" w:cstheme="majorBidi"/>
          <w:sz w:val="22"/>
          <w:szCs w:val="22"/>
          <w:lang w:eastAsia="es-ES_tradnl"/>
        </w:rPr>
        <w:t>.</w:t>
      </w:r>
    </w:p>
    <w:p w14:paraId="16E7D284" w14:textId="77777777" w:rsidR="001F1C51" w:rsidRPr="00954F93" w:rsidRDefault="001F1C51" w:rsidP="00262593">
      <w:pPr>
        <w:jc w:val="both"/>
        <w:rPr>
          <w:rFonts w:ascii="Verdana" w:hAnsi="Verdana" w:cstheme="majorHAnsi"/>
          <w:sz w:val="22"/>
          <w:szCs w:val="22"/>
          <w:highlight w:val="yellow"/>
        </w:rPr>
      </w:pPr>
    </w:p>
    <w:p w14:paraId="2E0B1E00" w14:textId="18E4DA5B" w:rsidR="00262593" w:rsidRPr="00954F93" w:rsidRDefault="00262593" w:rsidP="00262593">
      <w:pPr>
        <w:pStyle w:val="paragraph"/>
        <w:spacing w:before="0" w:beforeAutospacing="0" w:after="0" w:afterAutospacing="0"/>
        <w:jc w:val="both"/>
        <w:textAlignment w:val="baseline"/>
        <w:rPr>
          <w:rFonts w:ascii="Verdana" w:hAnsi="Verdana" w:cstheme="majorBidi"/>
          <w:sz w:val="22"/>
          <w:szCs w:val="22"/>
          <w:lang w:eastAsia="es-ES_tradnl"/>
        </w:rPr>
      </w:pPr>
      <w:r w:rsidRPr="00954F93">
        <w:rPr>
          <w:rFonts w:ascii="Verdana" w:hAnsi="Verdana" w:cstheme="majorBidi"/>
          <w:b/>
          <w:bCs/>
          <w:sz w:val="22"/>
          <w:szCs w:val="22"/>
          <w:lang w:eastAsia="es-ES_tradnl"/>
        </w:rPr>
        <w:t>TRM:</w:t>
      </w:r>
      <w:r w:rsidRPr="00954F93">
        <w:rPr>
          <w:rFonts w:ascii="Verdana" w:hAnsi="Verdana" w:cstheme="majorBidi"/>
          <w:sz w:val="22"/>
          <w:szCs w:val="22"/>
          <w:lang w:eastAsia="es-ES_tradnl"/>
        </w:rPr>
        <w:t xml:space="preserve"> La tasa de cambio representativa del mercado corresponde al promedio aritmético simple de las tasas ponderadas de las operaciones de compra y de venta de dólares estadounidenses a cambio de moneda legal colombiana, efectuadas por bancos comerciales, corporaciones financieras, sociedades comisionistas de bolsa, compañías de financiamiento, la Financiera de Desarrollo Nacional (FDN) y el Banco de Comercio Exterior de Colombia (</w:t>
      </w:r>
      <w:proofErr w:type="spellStart"/>
      <w:r w:rsidRPr="00954F93">
        <w:rPr>
          <w:rFonts w:ascii="Verdana" w:hAnsi="Verdana" w:cstheme="majorBidi"/>
          <w:sz w:val="22"/>
          <w:szCs w:val="22"/>
          <w:lang w:eastAsia="es-ES_tradnl"/>
        </w:rPr>
        <w:t>Bancoldex</w:t>
      </w:r>
      <w:proofErr w:type="spellEnd"/>
      <w:r w:rsidRPr="00954F93">
        <w:rPr>
          <w:rFonts w:ascii="Verdana" w:hAnsi="Verdana" w:cstheme="majorBidi"/>
          <w:sz w:val="22"/>
          <w:szCs w:val="22"/>
          <w:lang w:eastAsia="es-ES_tradnl"/>
        </w:rPr>
        <w:t>), pactadas para cumplimiento en ambas monedas el mismo día de su negociación. Esta tasa se expresa en moneda legal por un dólar de los Estados Unidos de América. La TRM vigente para cada día es calculada y certificada por la Superintendencia Financiera de Colombia con las operaciones del día anterior</w:t>
      </w:r>
      <w:r w:rsidRPr="00954F93">
        <w:rPr>
          <w:rStyle w:val="Refdenotaalpie"/>
          <w:rFonts w:ascii="Verdana" w:hAnsi="Verdana"/>
          <w:sz w:val="22"/>
          <w:szCs w:val="22"/>
          <w:lang w:eastAsia="es-MX"/>
        </w:rPr>
        <w:footnoteReference w:id="22"/>
      </w:r>
      <w:r w:rsidR="00512DE4" w:rsidRPr="00611315">
        <w:rPr>
          <w:rFonts w:ascii="Verdana" w:hAnsi="Verdana" w:cstheme="majorBidi"/>
          <w:sz w:val="22"/>
          <w:szCs w:val="22"/>
          <w:lang w:eastAsia="es-ES_tradnl"/>
        </w:rPr>
        <w:t>.</w:t>
      </w:r>
    </w:p>
    <w:p w14:paraId="7B8AA037" w14:textId="77777777" w:rsidR="00262593" w:rsidRPr="00954F93" w:rsidRDefault="0026259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1031635B" w14:textId="77777777" w:rsidR="00262593" w:rsidRPr="00611315" w:rsidRDefault="00262593" w:rsidP="00262593">
      <w:pPr>
        <w:pStyle w:val="paragraph"/>
        <w:spacing w:before="0" w:beforeAutospacing="0" w:after="0" w:afterAutospacing="0"/>
        <w:jc w:val="both"/>
        <w:textAlignment w:val="baseline"/>
        <w:rPr>
          <w:rFonts w:ascii="Verdana" w:hAnsi="Verdana" w:cstheme="majorBidi"/>
          <w:sz w:val="22"/>
          <w:szCs w:val="22"/>
          <w:lang w:eastAsia="es-ES_tradnl"/>
        </w:rPr>
      </w:pPr>
      <w:r w:rsidRPr="00954F93">
        <w:rPr>
          <w:rFonts w:ascii="Verdana" w:hAnsi="Verdana" w:cstheme="majorBidi"/>
          <w:sz w:val="22"/>
          <w:szCs w:val="22"/>
          <w:lang w:eastAsia="es-ES_tradnl"/>
        </w:rPr>
        <w:t>En los 5 años anteriores, la TRM ha presentado el siguiente comportamiento:</w:t>
      </w:r>
    </w:p>
    <w:p w14:paraId="3BEACDD8" w14:textId="77777777" w:rsidR="00D42BD9" w:rsidRDefault="00D42BD9"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67486589"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54B02731"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3E81A54C"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5E1AE8F2"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74093A9F"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63BF6F6C"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0CECB69D"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1346AECC"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3742964E" w14:textId="77777777" w:rsidR="00650B13"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38CD71C6" w14:textId="77777777" w:rsidR="00650B13" w:rsidRPr="00611315" w:rsidRDefault="00650B13" w:rsidP="00262593">
      <w:pPr>
        <w:pStyle w:val="paragraph"/>
        <w:spacing w:before="0" w:beforeAutospacing="0" w:after="0" w:afterAutospacing="0"/>
        <w:jc w:val="both"/>
        <w:textAlignment w:val="baseline"/>
        <w:rPr>
          <w:rFonts w:ascii="Verdana" w:hAnsi="Verdana" w:cstheme="majorBidi"/>
          <w:sz w:val="22"/>
          <w:szCs w:val="22"/>
          <w:lang w:eastAsia="es-ES_tradnl"/>
        </w:rPr>
      </w:pPr>
    </w:p>
    <w:p w14:paraId="7E424BFE" w14:textId="2793E763" w:rsidR="00621258" w:rsidRPr="00611315" w:rsidRDefault="00621258" w:rsidP="00621258">
      <w:pPr>
        <w:pStyle w:val="Descripcin"/>
        <w:jc w:val="center"/>
        <w:rPr>
          <w:rFonts w:ascii="Verdana" w:eastAsia="Times New Roman" w:hAnsi="Verdana"/>
          <w:bCs w:val="0"/>
          <w:sz w:val="22"/>
          <w:szCs w:val="22"/>
          <w:lang w:val="es-CO" w:eastAsia="es-MX"/>
        </w:rPr>
      </w:pPr>
      <w:bookmarkStart w:id="29" w:name="_Toc231368790"/>
      <w:r w:rsidRPr="00611315">
        <w:rPr>
          <w:rFonts w:ascii="Verdana" w:eastAsia="Times New Roman" w:hAnsi="Verdana"/>
          <w:bCs w:val="0"/>
          <w:sz w:val="22"/>
          <w:szCs w:val="22"/>
          <w:lang w:val="es-CO" w:eastAsia="es-MX"/>
        </w:rPr>
        <w:lastRenderedPageBreak/>
        <w:t xml:space="preserve">Gráfica </w:t>
      </w:r>
      <w:r w:rsidRPr="00611315">
        <w:rPr>
          <w:rFonts w:ascii="Verdana" w:eastAsia="Times New Roman" w:hAnsi="Verdana"/>
          <w:bCs w:val="0"/>
          <w:sz w:val="22"/>
          <w:szCs w:val="22"/>
          <w:lang w:val="es-CO" w:eastAsia="es-MX"/>
        </w:rPr>
        <w:fldChar w:fldCharType="begin"/>
      </w:r>
      <w:r w:rsidRPr="00611315">
        <w:rPr>
          <w:rFonts w:ascii="Verdana" w:eastAsia="Times New Roman" w:hAnsi="Verdana"/>
          <w:bCs w:val="0"/>
          <w:sz w:val="22"/>
          <w:szCs w:val="22"/>
          <w:lang w:val="es-CO" w:eastAsia="es-MX"/>
        </w:rPr>
        <w:instrText xml:space="preserve"> SEQ Gráfica \* ARABIC </w:instrText>
      </w:r>
      <w:r w:rsidRPr="00611315">
        <w:rPr>
          <w:rFonts w:ascii="Verdana" w:eastAsia="Times New Roman" w:hAnsi="Verdana"/>
          <w:bCs w:val="0"/>
          <w:sz w:val="22"/>
          <w:szCs w:val="22"/>
          <w:lang w:val="es-CO" w:eastAsia="es-MX"/>
        </w:rPr>
        <w:fldChar w:fldCharType="separate"/>
      </w:r>
      <w:r w:rsidR="00973CF5">
        <w:rPr>
          <w:rFonts w:ascii="Verdana" w:eastAsia="Times New Roman" w:hAnsi="Verdana"/>
          <w:bCs w:val="0"/>
          <w:noProof/>
          <w:sz w:val="22"/>
          <w:szCs w:val="22"/>
          <w:lang w:val="es-CO" w:eastAsia="es-MX"/>
        </w:rPr>
        <w:t>15</w:t>
      </w:r>
      <w:r w:rsidRPr="00611315">
        <w:rPr>
          <w:rFonts w:ascii="Verdana" w:eastAsia="Times New Roman" w:hAnsi="Verdana"/>
          <w:bCs w:val="0"/>
          <w:sz w:val="22"/>
          <w:szCs w:val="22"/>
          <w:lang w:val="es-CO" w:eastAsia="es-MX"/>
        </w:rPr>
        <w:fldChar w:fldCharType="end"/>
      </w:r>
      <w:r w:rsidRPr="00611315">
        <w:rPr>
          <w:rFonts w:ascii="Verdana" w:eastAsia="Times New Roman" w:hAnsi="Verdana"/>
          <w:bCs w:val="0"/>
          <w:sz w:val="22"/>
          <w:szCs w:val="22"/>
          <w:lang w:val="es-CO" w:eastAsia="es-MX"/>
        </w:rPr>
        <w:t>. Variación TRM</w:t>
      </w:r>
      <w:bookmarkEnd w:id="29"/>
    </w:p>
    <w:p w14:paraId="682BBD3B" w14:textId="77777777" w:rsidR="00262593" w:rsidRPr="00954F93" w:rsidRDefault="00262593" w:rsidP="00262593">
      <w:pPr>
        <w:pStyle w:val="paragraph"/>
        <w:spacing w:before="0" w:beforeAutospacing="0" w:after="0" w:afterAutospacing="0"/>
        <w:jc w:val="center"/>
        <w:textAlignment w:val="baseline"/>
        <w:rPr>
          <w:rFonts w:ascii="Verdana" w:hAnsi="Verdana" w:cstheme="majorHAnsi"/>
          <w:spacing w:val="-5"/>
          <w:sz w:val="22"/>
          <w:szCs w:val="22"/>
          <w:lang w:eastAsia="es-ES_tradnl"/>
        </w:rPr>
      </w:pPr>
      <w:r w:rsidRPr="00954F93">
        <w:rPr>
          <w:rFonts w:ascii="Verdana" w:hAnsi="Verdana" w:cstheme="majorHAnsi"/>
          <w:noProof/>
          <w:spacing w:val="-5"/>
          <w:sz w:val="22"/>
          <w:szCs w:val="22"/>
          <w:lang w:eastAsia="es-ES_tradnl"/>
        </w:rPr>
        <w:drawing>
          <wp:inline distT="0" distB="0" distL="0" distR="0" wp14:anchorId="1CED6DB9" wp14:editId="5B9702AF">
            <wp:extent cx="5612130" cy="2020570"/>
            <wp:effectExtent l="0" t="0" r="7620" b="0"/>
            <wp:docPr id="253671853" name="Imagen 1" descr="Interfaz de usuario gráfica,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71853" name="Imagen 1" descr="Interfaz de usuario gráfica, Gráfico&#10;&#10;El contenido generado por IA puede ser incorrecto."/>
                    <pic:cNvPicPr/>
                  </pic:nvPicPr>
                  <pic:blipFill>
                    <a:blip r:embed="rId28"/>
                    <a:stretch>
                      <a:fillRect/>
                    </a:stretch>
                  </pic:blipFill>
                  <pic:spPr>
                    <a:xfrm>
                      <a:off x="0" y="0"/>
                      <a:ext cx="5612130" cy="2020570"/>
                    </a:xfrm>
                    <a:prstGeom prst="rect">
                      <a:avLst/>
                    </a:prstGeom>
                  </pic:spPr>
                </pic:pic>
              </a:graphicData>
            </a:graphic>
          </wp:inline>
        </w:drawing>
      </w:r>
    </w:p>
    <w:p w14:paraId="71076882" w14:textId="19946E5F" w:rsidR="00262593" w:rsidRPr="00650B13" w:rsidRDefault="00FE300E" w:rsidP="00262593">
      <w:pPr>
        <w:pStyle w:val="paragraph"/>
        <w:spacing w:before="0" w:beforeAutospacing="0" w:after="0" w:afterAutospacing="0"/>
        <w:jc w:val="center"/>
        <w:textAlignment w:val="baseline"/>
        <w:rPr>
          <w:rFonts w:ascii="Verdana" w:hAnsi="Verdana" w:cstheme="majorHAnsi"/>
          <w:spacing w:val="-5"/>
          <w:sz w:val="22"/>
          <w:szCs w:val="22"/>
          <w:lang w:eastAsia="es-ES_tradnl"/>
        </w:rPr>
      </w:pPr>
      <w:r w:rsidRPr="00650B13">
        <w:rPr>
          <w:rFonts w:ascii="Verdana" w:hAnsi="Verdana" w:cstheme="majorHAnsi"/>
          <w:b/>
          <w:bCs/>
          <w:spacing w:val="-5"/>
          <w:sz w:val="22"/>
          <w:szCs w:val="22"/>
          <w:lang w:eastAsia="es-ES_tradnl"/>
        </w:rPr>
        <w:t>Fuente</w:t>
      </w:r>
      <w:r w:rsidRPr="00650B13">
        <w:rPr>
          <w:rFonts w:ascii="Verdana" w:hAnsi="Verdana" w:cstheme="majorHAnsi"/>
          <w:spacing w:val="-5"/>
          <w:sz w:val="22"/>
          <w:szCs w:val="22"/>
          <w:lang w:eastAsia="es-ES_tradnl"/>
        </w:rPr>
        <w:t xml:space="preserve">: </w:t>
      </w:r>
      <w:hyperlink r:id="rId29" w:history="1">
        <w:r w:rsidRPr="00650B13">
          <w:rPr>
            <w:rStyle w:val="Hipervnculo"/>
            <w:rFonts w:ascii="Verdana" w:hAnsi="Verdana"/>
            <w:sz w:val="22"/>
            <w:szCs w:val="22"/>
          </w:rPr>
          <w:t>https://www.banrep.gov.co/es/glosario/tasa-cambio-trm</w:t>
        </w:r>
      </w:hyperlink>
    </w:p>
    <w:p w14:paraId="44412888" w14:textId="77777777" w:rsidR="00262593" w:rsidRPr="00954F93" w:rsidRDefault="00262593" w:rsidP="00262593">
      <w:pPr>
        <w:jc w:val="center"/>
        <w:rPr>
          <w:rFonts w:ascii="Verdana" w:hAnsi="Verdana" w:cstheme="majorHAnsi"/>
          <w:sz w:val="22"/>
          <w:szCs w:val="22"/>
          <w:highlight w:val="yellow"/>
        </w:rPr>
      </w:pPr>
    </w:p>
    <w:p w14:paraId="12BCB310" w14:textId="0FC88A34" w:rsidR="00262593" w:rsidRPr="00611315" w:rsidRDefault="00262593" w:rsidP="00262593">
      <w:pPr>
        <w:jc w:val="both"/>
        <w:rPr>
          <w:rFonts w:ascii="Verdana" w:hAnsi="Verdana" w:cstheme="majorBidi"/>
          <w:sz w:val="22"/>
          <w:szCs w:val="22"/>
        </w:rPr>
      </w:pPr>
      <w:r w:rsidRPr="00954F93">
        <w:rPr>
          <w:rFonts w:ascii="Verdana" w:hAnsi="Verdana" w:cstheme="majorHAnsi"/>
          <w:b/>
          <w:spacing w:val="-5"/>
          <w:sz w:val="22"/>
          <w:szCs w:val="22"/>
        </w:rPr>
        <w:t>TRANSPORTE:</w:t>
      </w:r>
      <w:r w:rsidRPr="00954F93">
        <w:rPr>
          <w:rFonts w:ascii="Verdana" w:hAnsi="Verdana"/>
        </w:rPr>
        <w:t xml:space="preserve"> </w:t>
      </w:r>
      <w:r w:rsidRPr="00954F93">
        <w:rPr>
          <w:rFonts w:ascii="Verdana" w:hAnsi="Verdana" w:cstheme="majorBidi"/>
          <w:sz w:val="22"/>
          <w:szCs w:val="22"/>
        </w:rPr>
        <w:t xml:space="preserve">La variable de transporte constituye un factor relevante que puede incidir de manera directa en </w:t>
      </w:r>
      <w:r w:rsidR="002F5F64" w:rsidRPr="00611315">
        <w:rPr>
          <w:rFonts w:ascii="Verdana" w:hAnsi="Verdana" w:cstheme="majorBidi"/>
          <w:sz w:val="22"/>
          <w:szCs w:val="22"/>
        </w:rPr>
        <w:t xml:space="preserve">los servicios de </w:t>
      </w:r>
      <w:r w:rsidR="00816282" w:rsidRPr="00611315">
        <w:rPr>
          <w:rFonts w:ascii="Verdana" w:hAnsi="Verdana" w:cstheme="majorBidi"/>
          <w:sz w:val="22"/>
          <w:szCs w:val="22"/>
        </w:rPr>
        <w:t>construcción de infraestructura</w:t>
      </w:r>
      <w:r w:rsidRPr="00954F93">
        <w:rPr>
          <w:rFonts w:ascii="Verdana" w:hAnsi="Verdana" w:cstheme="majorBidi"/>
          <w:sz w:val="22"/>
          <w:szCs w:val="22"/>
        </w:rPr>
        <w:t>, en la medida en que condiciona la movilización de materiales, insumos, equipos y personal requeridos para las diferentes fases de la obra, así como los tiempos y costos logísticos asociados, especialmente en regiones con limitaciones estructurales de conectividad vial.</w:t>
      </w:r>
    </w:p>
    <w:p w14:paraId="2D217F71" w14:textId="77777777" w:rsidR="00816282" w:rsidRPr="00611315" w:rsidRDefault="00816282" w:rsidP="00262593">
      <w:pPr>
        <w:jc w:val="both"/>
        <w:rPr>
          <w:rFonts w:ascii="Verdana" w:hAnsi="Verdana" w:cstheme="majorBidi"/>
          <w:sz w:val="22"/>
          <w:szCs w:val="22"/>
        </w:rPr>
      </w:pPr>
    </w:p>
    <w:p w14:paraId="373E16C6" w14:textId="04345489" w:rsidR="00816282" w:rsidRPr="00954F93" w:rsidRDefault="00816282" w:rsidP="00262593">
      <w:pPr>
        <w:jc w:val="both"/>
        <w:rPr>
          <w:rFonts w:ascii="Verdana" w:hAnsi="Verdana" w:cstheme="majorBidi"/>
          <w:sz w:val="22"/>
          <w:szCs w:val="22"/>
        </w:rPr>
      </w:pPr>
      <w:r w:rsidRPr="00611315">
        <w:rPr>
          <w:rFonts w:ascii="Verdana" w:hAnsi="Verdana" w:cstheme="majorBidi"/>
          <w:sz w:val="22"/>
          <w:szCs w:val="22"/>
        </w:rPr>
        <w:t xml:space="preserve">De conformidad con el último Boletín técnico Índice de Costos de la Construcción de Obras Civiles (ICOCIV), la participación que tiene este rubro </w:t>
      </w:r>
      <w:r w:rsidR="00C6286C" w:rsidRPr="00611315">
        <w:rPr>
          <w:rFonts w:ascii="Verdana" w:hAnsi="Verdana" w:cstheme="majorBidi"/>
          <w:sz w:val="22"/>
          <w:szCs w:val="22"/>
        </w:rPr>
        <w:t xml:space="preserve">dentro de los grupos de costos de obras civiles corresponde al 8,89%. Aunado a lo anterior, es importante resaltar que la variación que presentó este grupo de costos en marzo de 2026 frente a marzo de 2025 </w:t>
      </w:r>
      <w:r w:rsidR="00C9780B" w:rsidRPr="00611315">
        <w:rPr>
          <w:rFonts w:ascii="Verdana" w:hAnsi="Verdana" w:cstheme="majorBidi"/>
          <w:sz w:val="22"/>
          <w:szCs w:val="22"/>
        </w:rPr>
        <w:t>fue de</w:t>
      </w:r>
      <w:r w:rsidR="00C6286C" w:rsidRPr="00611315">
        <w:rPr>
          <w:rFonts w:ascii="Verdana" w:hAnsi="Verdana" w:cstheme="majorBidi"/>
          <w:sz w:val="22"/>
          <w:szCs w:val="22"/>
        </w:rPr>
        <w:t xml:space="preserve"> un 9,60%.</w:t>
      </w:r>
      <w:r w:rsidR="00C6286C" w:rsidRPr="00611315">
        <w:rPr>
          <w:rStyle w:val="Refdenotaalpie"/>
          <w:rFonts w:ascii="Verdana" w:hAnsi="Verdana" w:cstheme="majorBidi"/>
          <w:sz w:val="22"/>
          <w:szCs w:val="22"/>
        </w:rPr>
        <w:footnoteReference w:id="23"/>
      </w:r>
      <w:r w:rsidR="00C6286C" w:rsidRPr="00611315">
        <w:rPr>
          <w:rFonts w:ascii="Verdana" w:hAnsi="Verdana" w:cstheme="majorBidi"/>
          <w:sz w:val="22"/>
          <w:szCs w:val="22"/>
        </w:rPr>
        <w:t xml:space="preserve"> </w:t>
      </w:r>
      <w:r w:rsidRPr="00611315">
        <w:rPr>
          <w:rFonts w:ascii="Verdana" w:hAnsi="Verdana" w:cstheme="majorBidi"/>
          <w:sz w:val="22"/>
          <w:szCs w:val="22"/>
        </w:rPr>
        <w:t xml:space="preserve"> </w:t>
      </w:r>
    </w:p>
    <w:p w14:paraId="6C2E357E" w14:textId="77777777" w:rsidR="00262593" w:rsidRPr="00954F93" w:rsidRDefault="00262593" w:rsidP="00262593">
      <w:pPr>
        <w:jc w:val="both"/>
        <w:rPr>
          <w:rFonts w:ascii="Verdana" w:hAnsi="Verdana" w:cstheme="majorBidi"/>
          <w:sz w:val="22"/>
          <w:szCs w:val="22"/>
          <w:highlight w:val="yellow"/>
        </w:rPr>
      </w:pPr>
    </w:p>
    <w:p w14:paraId="77AB9A72" w14:textId="77777777" w:rsidR="00A17D7C" w:rsidRPr="00611315" w:rsidRDefault="00262593" w:rsidP="00A17D7C">
      <w:pPr>
        <w:jc w:val="both"/>
        <w:rPr>
          <w:rFonts w:ascii="Verdana" w:hAnsi="Verdana" w:cstheme="majorBidi"/>
          <w:sz w:val="22"/>
          <w:szCs w:val="22"/>
          <w:lang w:val="es-ES"/>
        </w:rPr>
      </w:pPr>
      <w:r w:rsidRPr="00954F93">
        <w:rPr>
          <w:rFonts w:ascii="Verdana" w:hAnsi="Verdana" w:cstheme="majorHAnsi"/>
          <w:b/>
          <w:spacing w:val="-5"/>
          <w:sz w:val="22"/>
          <w:szCs w:val="22"/>
        </w:rPr>
        <w:t xml:space="preserve">VARIABLE INTERNACIONAL: </w:t>
      </w:r>
      <w:r w:rsidR="00A17D7C" w:rsidRPr="00611315">
        <w:rPr>
          <w:rFonts w:ascii="Verdana" w:hAnsi="Verdana" w:cstheme="majorBidi"/>
          <w:sz w:val="22"/>
          <w:szCs w:val="22"/>
          <w:lang w:val="es-ES"/>
        </w:rPr>
        <w:t xml:space="preserve">El mercado internacional de hierro y acero continúa dominado por China, país que concentró el 53,3 % de la producción mundial en 2024 (1.005 millones de toneladas). La sobreoferta estructural de aproximadamente 200 millones de toneladas, resultado de las restricciones impuestas al sector inmobiliario chino, ha generado una presión a la baja sobre los precios internacionales del acero, afectando directamente los costos de los proyectos de infraestructura y edificaciones en todo el mundo, incluyendo Colombia. </w:t>
      </w:r>
    </w:p>
    <w:p w14:paraId="0D510AC4" w14:textId="77777777" w:rsidR="00A17D7C" w:rsidRPr="00611315" w:rsidRDefault="00A17D7C" w:rsidP="00A17D7C">
      <w:pPr>
        <w:jc w:val="both"/>
        <w:rPr>
          <w:rFonts w:ascii="Verdana" w:hAnsi="Verdana" w:cstheme="majorBidi"/>
          <w:sz w:val="22"/>
          <w:szCs w:val="22"/>
          <w:lang w:val="es-ES"/>
        </w:rPr>
      </w:pPr>
    </w:p>
    <w:p w14:paraId="7916C4B6" w14:textId="77777777" w:rsidR="00A17D7C" w:rsidRPr="00611315" w:rsidRDefault="00A17D7C" w:rsidP="00A17D7C">
      <w:pPr>
        <w:jc w:val="both"/>
        <w:rPr>
          <w:rFonts w:ascii="Verdana" w:hAnsi="Verdana" w:cstheme="majorBidi"/>
          <w:sz w:val="22"/>
          <w:szCs w:val="22"/>
          <w:lang w:val="es-ES"/>
        </w:rPr>
      </w:pPr>
      <w:r w:rsidRPr="00611315">
        <w:rPr>
          <w:rFonts w:ascii="Verdana" w:hAnsi="Verdana" w:cstheme="majorBidi"/>
          <w:sz w:val="22"/>
          <w:szCs w:val="22"/>
          <w:lang w:val="es-ES"/>
        </w:rPr>
        <w:lastRenderedPageBreak/>
        <w:t xml:space="preserve">En este contexto, los precios internacionales del acero forjado en caliente y de la barra corrugada insumos básicos en la construcción y que impactan de manera directa el proyecto han mantenido una tendencia descendente desde 2022, ubicándose en 2025 en niveles entre USD 445 y USD 569 por tonelada, según Bloomberg y el Grupo Cibest. Esta reducción genera un efecto favorable sobre los costos de materiales en contratos de obra, aunque también incrementa la volatilidad del mercado ante cualquier ajuste en la política industrial o comercial de China y otros grandes productores.  </w:t>
      </w:r>
    </w:p>
    <w:p w14:paraId="79856D34" w14:textId="77777777" w:rsidR="00A17D7C" w:rsidRPr="00611315" w:rsidRDefault="00A17D7C" w:rsidP="00A17D7C">
      <w:pPr>
        <w:jc w:val="both"/>
        <w:rPr>
          <w:rFonts w:ascii="Verdana" w:hAnsi="Verdana" w:cstheme="majorBidi"/>
          <w:sz w:val="22"/>
          <w:szCs w:val="22"/>
          <w:lang w:val="es-ES"/>
        </w:rPr>
      </w:pPr>
    </w:p>
    <w:p w14:paraId="01391CBE" w14:textId="0EBB6419" w:rsidR="00997835" w:rsidRPr="00954F93" w:rsidRDefault="00A17D7C" w:rsidP="00954F93">
      <w:pPr>
        <w:jc w:val="both"/>
        <w:rPr>
          <w:rFonts w:ascii="Verdana" w:eastAsia="Verdana Pro" w:hAnsi="Verdana" w:cs="Verdana Pro"/>
          <w:sz w:val="22"/>
          <w:szCs w:val="22"/>
        </w:rPr>
      </w:pPr>
      <w:r w:rsidRPr="00611315">
        <w:rPr>
          <w:rFonts w:ascii="Verdana" w:hAnsi="Verdana" w:cstheme="majorBidi"/>
          <w:sz w:val="22"/>
          <w:szCs w:val="22"/>
          <w:lang w:val="es-ES"/>
        </w:rPr>
        <w:t>Colombia es un tomador de precios en el mercado global del acero, con una producción local promedio de 1,6 millones de toneladas anuales, equivalente al 78 % del consumo interno. Sin embargo, la creciente entrada de acero importado a precios bajos puede afectar la competitividad de los proveedores nacionales y modificar los precios de referencia utilizados para elaborar estudios de mercado y presupuestos oficiales de construcción.</w:t>
      </w:r>
    </w:p>
    <w:p w14:paraId="3035C7EA" w14:textId="5A2D55F1" w:rsidR="002F6A82" w:rsidRPr="00611315" w:rsidRDefault="00650B13" w:rsidP="00954F93">
      <w:pPr>
        <w:pStyle w:val="Ttulo2"/>
        <w:numPr>
          <w:ilvl w:val="0"/>
          <w:numId w:val="46"/>
        </w:numPr>
        <w:rPr>
          <w:rFonts w:ascii="Verdana" w:hAnsi="Verdana" w:cs="Arial"/>
          <w:color w:val="000000" w:themeColor="text1"/>
          <w:szCs w:val="22"/>
        </w:rPr>
      </w:pPr>
      <w:bookmarkStart w:id="30" w:name="_Toc231368610"/>
      <w:r w:rsidRPr="00611315">
        <w:rPr>
          <w:rFonts w:ascii="Verdana" w:hAnsi="Verdana" w:cs="Arial"/>
          <w:color w:val="000000" w:themeColor="text1"/>
          <w:szCs w:val="22"/>
        </w:rPr>
        <w:t>ANÁLISIS DE LA OFERTA</w:t>
      </w:r>
      <w:bookmarkEnd w:id="30"/>
    </w:p>
    <w:p w14:paraId="1FCEB37F" w14:textId="77777777" w:rsidR="002F6A82" w:rsidRPr="00611315" w:rsidRDefault="002F6A82" w:rsidP="002F6A82">
      <w:pPr>
        <w:pStyle w:val="Textoindependiente"/>
        <w:spacing w:before="9"/>
        <w:ind w:left="720" w:right="141"/>
        <w:jc w:val="both"/>
        <w:rPr>
          <w:rFonts w:ascii="Verdana" w:eastAsia="Verdana Pro" w:hAnsi="Verdana" w:cs="Verdana Pro"/>
          <w:b/>
          <w:bCs/>
          <w:sz w:val="22"/>
          <w:szCs w:val="22"/>
        </w:rPr>
      </w:pPr>
    </w:p>
    <w:p w14:paraId="70FDA4B6" w14:textId="7176F8EB" w:rsidR="004E6AA4" w:rsidRPr="00611315" w:rsidRDefault="004E6AA4" w:rsidP="001D0DE0">
      <w:pPr>
        <w:pStyle w:val="Textoindependiente"/>
        <w:spacing w:before="9"/>
        <w:ind w:right="141"/>
        <w:jc w:val="both"/>
        <w:rPr>
          <w:rFonts w:ascii="Verdana" w:eastAsia="Verdana Pro" w:hAnsi="Verdana" w:cs="Verdana Pro"/>
          <w:b/>
          <w:bCs/>
          <w:sz w:val="22"/>
          <w:szCs w:val="22"/>
        </w:rPr>
      </w:pPr>
      <w:r w:rsidRPr="00611315">
        <w:rPr>
          <w:rFonts w:ascii="Verdana" w:eastAsia="Verdana Pro" w:hAnsi="Verdana" w:cs="Verdana Pro"/>
          <w:b/>
          <w:bCs/>
          <w:sz w:val="22"/>
          <w:szCs w:val="22"/>
        </w:rPr>
        <w:t>Número de empresas por sector económico (construcción)</w:t>
      </w:r>
    </w:p>
    <w:p w14:paraId="4DA4BF0C" w14:textId="77777777" w:rsidR="004E6AA4" w:rsidRPr="00611315" w:rsidRDefault="004E6AA4" w:rsidP="004E6AA4">
      <w:pPr>
        <w:pStyle w:val="Textoindependiente"/>
        <w:spacing w:line="259" w:lineRule="auto"/>
        <w:ind w:left="140"/>
        <w:jc w:val="both"/>
        <w:rPr>
          <w:rFonts w:ascii="Verdana" w:eastAsia="Verdana Pro" w:hAnsi="Verdana" w:cs="Verdana Pro"/>
          <w:sz w:val="22"/>
          <w:szCs w:val="22"/>
        </w:rPr>
      </w:pPr>
    </w:p>
    <w:p w14:paraId="05BCC437" w14:textId="7E5343BC" w:rsidR="00EA6E14" w:rsidRPr="00611315" w:rsidRDefault="008B7DB3" w:rsidP="008B7DB3">
      <w:pPr>
        <w:pStyle w:val="Textoindependiente"/>
        <w:spacing w:line="259" w:lineRule="auto"/>
        <w:jc w:val="both"/>
        <w:rPr>
          <w:rFonts w:ascii="Verdana" w:eastAsia="Verdana Pro" w:hAnsi="Verdana" w:cs="Verdana Pro"/>
          <w:sz w:val="22"/>
          <w:szCs w:val="22"/>
        </w:rPr>
      </w:pPr>
      <w:r w:rsidRPr="00611315">
        <w:rPr>
          <w:rFonts w:ascii="Verdana" w:eastAsia="Verdana Pro" w:hAnsi="Verdana" w:cs="Verdana Pro"/>
          <w:sz w:val="22"/>
          <w:szCs w:val="22"/>
        </w:rPr>
        <w:t>C</w:t>
      </w:r>
      <w:r w:rsidR="004E6AA4" w:rsidRPr="00611315">
        <w:rPr>
          <w:rFonts w:ascii="Verdana" w:eastAsia="Verdana Pro" w:hAnsi="Verdana" w:cs="Verdana Pro"/>
          <w:sz w:val="22"/>
          <w:szCs w:val="22"/>
        </w:rPr>
        <w:t>on el ánimo de territorializar las empresas del sector acotadas a</w:t>
      </w:r>
      <w:r w:rsidR="00C164EF" w:rsidRPr="00611315">
        <w:rPr>
          <w:rFonts w:ascii="Verdana" w:eastAsia="Verdana Pro" w:hAnsi="Verdana" w:cs="Verdana Pro"/>
          <w:sz w:val="22"/>
          <w:szCs w:val="22"/>
        </w:rPr>
        <w:t xml:space="preserve"> </w:t>
      </w:r>
      <w:r w:rsidR="004E6AA4" w:rsidRPr="00611315">
        <w:rPr>
          <w:rFonts w:ascii="Verdana" w:eastAsia="Verdana Pro" w:hAnsi="Verdana" w:cs="Verdana Pro"/>
          <w:sz w:val="22"/>
          <w:szCs w:val="22"/>
        </w:rPr>
        <w:t>l</w:t>
      </w:r>
      <w:r w:rsidR="00C164EF" w:rsidRPr="00611315">
        <w:rPr>
          <w:rFonts w:ascii="Verdana" w:eastAsia="Verdana Pro" w:hAnsi="Verdana" w:cs="Verdana Pro"/>
          <w:sz w:val="22"/>
          <w:szCs w:val="22"/>
        </w:rPr>
        <w:t>os</w:t>
      </w:r>
      <w:r w:rsidR="004E6AA4" w:rsidRPr="00611315">
        <w:rPr>
          <w:rFonts w:ascii="Verdana" w:eastAsia="Verdana Pro" w:hAnsi="Verdana" w:cs="Verdana Pro"/>
          <w:sz w:val="22"/>
          <w:szCs w:val="22"/>
        </w:rPr>
        <w:t xml:space="preserve"> grupo</w:t>
      </w:r>
      <w:r w:rsidR="00C164EF" w:rsidRPr="00611315">
        <w:rPr>
          <w:rFonts w:ascii="Verdana" w:eastAsia="Verdana Pro" w:hAnsi="Verdana" w:cs="Verdana Pro"/>
          <w:sz w:val="22"/>
          <w:szCs w:val="22"/>
        </w:rPr>
        <w:t>s</w:t>
      </w:r>
      <w:r w:rsidR="004E6AA4" w:rsidRPr="00611315">
        <w:rPr>
          <w:rFonts w:ascii="Verdana" w:eastAsia="Verdana Pro" w:hAnsi="Verdana" w:cs="Verdana Pro"/>
          <w:sz w:val="22"/>
          <w:szCs w:val="22"/>
        </w:rPr>
        <w:t xml:space="preserve"> de </w:t>
      </w:r>
      <w:r w:rsidR="00FC139B" w:rsidRPr="00611315">
        <w:rPr>
          <w:rFonts w:ascii="Verdana" w:eastAsia="Verdana Pro" w:hAnsi="Verdana" w:cs="Verdana Pro"/>
          <w:sz w:val="22"/>
          <w:szCs w:val="22"/>
        </w:rPr>
        <w:t>“</w:t>
      </w:r>
      <w:r w:rsidR="004E6AA4" w:rsidRPr="00611315">
        <w:rPr>
          <w:rFonts w:ascii="Verdana" w:eastAsia="Verdana Pro" w:hAnsi="Verdana" w:cs="Verdana Pro"/>
          <w:sz w:val="22"/>
          <w:szCs w:val="22"/>
        </w:rPr>
        <w:t xml:space="preserve">Construcción de </w:t>
      </w:r>
      <w:r w:rsidR="00C164EF" w:rsidRPr="00611315">
        <w:rPr>
          <w:rFonts w:ascii="Verdana" w:eastAsia="Verdana Pro" w:hAnsi="Verdana" w:cs="Verdana Pro"/>
          <w:sz w:val="22"/>
          <w:szCs w:val="22"/>
        </w:rPr>
        <w:t>proyectos de servicio público</w:t>
      </w:r>
      <w:r w:rsidR="00FC139B" w:rsidRPr="00611315">
        <w:rPr>
          <w:rFonts w:ascii="Verdana" w:eastAsia="Verdana Pro" w:hAnsi="Verdana" w:cs="Verdana Pro"/>
          <w:sz w:val="22"/>
          <w:szCs w:val="22"/>
        </w:rPr>
        <w:t>” y “Construcción de otras obras de ingeniería civil”</w:t>
      </w:r>
      <w:r w:rsidR="004E6AA4" w:rsidRPr="00611315">
        <w:rPr>
          <w:rFonts w:ascii="Verdana" w:eastAsia="Verdana Pro" w:hAnsi="Verdana" w:cs="Verdana Pro"/>
          <w:sz w:val="22"/>
          <w:szCs w:val="22"/>
        </w:rPr>
        <w:t xml:space="preserve">, </w:t>
      </w:r>
      <w:r w:rsidR="00FC139B" w:rsidRPr="00611315">
        <w:rPr>
          <w:rFonts w:ascii="Verdana" w:eastAsia="Verdana Pro" w:hAnsi="Verdana" w:cs="Verdana Pro"/>
          <w:sz w:val="22"/>
          <w:szCs w:val="22"/>
        </w:rPr>
        <w:t>se</w:t>
      </w:r>
      <w:r w:rsidR="00D36702" w:rsidRPr="00611315">
        <w:rPr>
          <w:rFonts w:ascii="Verdana" w:eastAsia="Verdana Pro" w:hAnsi="Verdana" w:cs="Verdana Pro"/>
          <w:sz w:val="22"/>
          <w:szCs w:val="22"/>
        </w:rPr>
        <w:t xml:space="preserve"> tomó de referencia la información generada por</w:t>
      </w:r>
      <w:r w:rsidR="004E6AA4" w:rsidRPr="00611315">
        <w:rPr>
          <w:rFonts w:ascii="Verdana" w:eastAsia="Verdana Pro" w:hAnsi="Verdana" w:cs="Verdana Pro"/>
          <w:sz w:val="22"/>
          <w:szCs w:val="22"/>
        </w:rPr>
        <w:t xml:space="preserve"> el &lt;&lt;</w:t>
      </w:r>
      <w:proofErr w:type="spellStart"/>
      <w:r w:rsidR="004E6AA4" w:rsidRPr="00611315">
        <w:rPr>
          <w:rFonts w:ascii="Verdana" w:eastAsia="Verdana Pro" w:hAnsi="Verdana" w:cs="Verdana Pro"/>
          <w:b/>
          <w:bCs/>
          <w:sz w:val="22"/>
          <w:szCs w:val="22"/>
        </w:rPr>
        <w:t>Geovisor</w:t>
      </w:r>
      <w:proofErr w:type="spellEnd"/>
      <w:r w:rsidR="004E6AA4" w:rsidRPr="00611315">
        <w:rPr>
          <w:rFonts w:ascii="Verdana" w:eastAsia="Verdana Pro" w:hAnsi="Verdana" w:cs="Verdana Pro"/>
          <w:b/>
          <w:bCs/>
          <w:sz w:val="22"/>
          <w:szCs w:val="22"/>
        </w:rPr>
        <w:t xml:space="preserve"> Directorio de Empresas</w:t>
      </w:r>
      <w:r w:rsidR="004E6AA4" w:rsidRPr="00611315">
        <w:rPr>
          <w:rFonts w:ascii="Verdana" w:eastAsia="Verdana Pro" w:hAnsi="Verdana" w:cs="Verdana Pro"/>
          <w:sz w:val="22"/>
          <w:szCs w:val="22"/>
        </w:rPr>
        <w:t xml:space="preserve">&gt;&gt; del </w:t>
      </w:r>
      <w:proofErr w:type="spellStart"/>
      <w:r w:rsidR="004E6AA4" w:rsidRPr="00611315">
        <w:rPr>
          <w:rFonts w:ascii="Verdana" w:eastAsia="Verdana Pro" w:hAnsi="Verdana" w:cs="Verdana Pro"/>
          <w:sz w:val="22"/>
          <w:szCs w:val="22"/>
        </w:rPr>
        <w:t>Geoportal</w:t>
      </w:r>
      <w:proofErr w:type="spellEnd"/>
      <w:r w:rsidR="004E6AA4" w:rsidRPr="00611315">
        <w:rPr>
          <w:rFonts w:ascii="Verdana" w:eastAsia="Verdana Pro" w:hAnsi="Verdana" w:cs="Verdana Pro"/>
          <w:sz w:val="22"/>
          <w:szCs w:val="22"/>
        </w:rPr>
        <w:t xml:space="preserve"> del DANE</w:t>
      </w:r>
      <w:r w:rsidR="004E6AA4" w:rsidRPr="00611315">
        <w:rPr>
          <w:rStyle w:val="Refdenotaalpie"/>
          <w:rFonts w:ascii="Verdana" w:eastAsia="Verdana Pro" w:hAnsi="Verdana" w:cs="Verdana Pro"/>
          <w:sz w:val="22"/>
          <w:szCs w:val="22"/>
        </w:rPr>
        <w:footnoteReference w:id="24"/>
      </w:r>
      <w:r w:rsidR="00D36702" w:rsidRPr="00611315">
        <w:rPr>
          <w:rFonts w:ascii="Verdana" w:eastAsia="Verdana Pro" w:hAnsi="Verdana" w:cs="Verdana Pro"/>
          <w:sz w:val="22"/>
          <w:szCs w:val="22"/>
        </w:rPr>
        <w:t>.</w:t>
      </w:r>
      <w:r w:rsidR="008B70B2" w:rsidRPr="00611315">
        <w:rPr>
          <w:rFonts w:ascii="Verdana" w:eastAsia="Verdana Pro" w:hAnsi="Verdana" w:cs="Verdana Pro"/>
          <w:sz w:val="22"/>
          <w:szCs w:val="22"/>
        </w:rPr>
        <w:t xml:space="preserve"> </w:t>
      </w:r>
    </w:p>
    <w:p w14:paraId="16DE401A" w14:textId="0007A54B" w:rsidR="004E6AA4" w:rsidRDefault="008B70B2" w:rsidP="008B7DB3">
      <w:pPr>
        <w:pStyle w:val="Textoindependiente"/>
        <w:spacing w:line="259" w:lineRule="auto"/>
        <w:jc w:val="both"/>
        <w:rPr>
          <w:rFonts w:ascii="Verdana" w:eastAsia="Verdana Pro" w:hAnsi="Verdana" w:cs="Verdana Pro"/>
          <w:sz w:val="22"/>
          <w:szCs w:val="22"/>
        </w:rPr>
      </w:pPr>
      <w:r w:rsidRPr="00611315">
        <w:rPr>
          <w:rFonts w:ascii="Verdana" w:eastAsia="Verdana Pro" w:hAnsi="Verdana" w:cs="Verdana Pro"/>
          <w:sz w:val="22"/>
          <w:szCs w:val="22"/>
        </w:rPr>
        <w:t xml:space="preserve">De acuerdo con la información registrada en el visualizador, </w:t>
      </w:r>
      <w:r w:rsidR="00146B2E" w:rsidRPr="00611315">
        <w:rPr>
          <w:rFonts w:ascii="Verdana" w:eastAsia="Verdana Pro" w:hAnsi="Verdana" w:cs="Verdana Pro"/>
          <w:sz w:val="22"/>
          <w:szCs w:val="22"/>
        </w:rPr>
        <w:t>en Colombia registradas con el código CIIU 4220 - “Construcción de proyectos de servicio público”</w:t>
      </w:r>
      <w:r w:rsidR="00A008D0" w:rsidRPr="00611315">
        <w:rPr>
          <w:rFonts w:ascii="Verdana" w:eastAsia="Verdana Pro" w:hAnsi="Verdana" w:cs="Verdana Pro"/>
          <w:sz w:val="22"/>
          <w:szCs w:val="22"/>
        </w:rPr>
        <w:t xml:space="preserve"> se pueden identificar 3.613 empresas distribuidas a lo largo del país, </w:t>
      </w:r>
      <w:r w:rsidR="004E6AA4" w:rsidRPr="00611315">
        <w:rPr>
          <w:rFonts w:ascii="Verdana" w:eastAsia="Verdana Pro" w:hAnsi="Verdana" w:cs="Verdana Pro"/>
          <w:sz w:val="22"/>
          <w:szCs w:val="22"/>
        </w:rPr>
        <w:t>ubicándose en primer lugar Bogotá D.C. con 4</w:t>
      </w:r>
      <w:r w:rsidR="003B6920" w:rsidRPr="00611315">
        <w:rPr>
          <w:rFonts w:ascii="Verdana" w:eastAsia="Verdana Pro" w:hAnsi="Verdana" w:cs="Verdana Pro"/>
          <w:sz w:val="22"/>
          <w:szCs w:val="22"/>
        </w:rPr>
        <w:t>98</w:t>
      </w:r>
      <w:r w:rsidR="004E6AA4" w:rsidRPr="00611315">
        <w:rPr>
          <w:rFonts w:ascii="Verdana" w:eastAsia="Verdana Pro" w:hAnsi="Verdana" w:cs="Verdana Pro"/>
          <w:sz w:val="22"/>
          <w:szCs w:val="22"/>
        </w:rPr>
        <w:t xml:space="preserve"> empresas, seguido </w:t>
      </w:r>
      <w:r w:rsidR="003B6920" w:rsidRPr="00611315">
        <w:rPr>
          <w:rFonts w:ascii="Verdana" w:eastAsia="Verdana Pro" w:hAnsi="Verdana" w:cs="Verdana Pro"/>
          <w:sz w:val="22"/>
          <w:szCs w:val="22"/>
        </w:rPr>
        <w:t xml:space="preserve">Santander con 326 empresas y </w:t>
      </w:r>
      <w:r w:rsidR="004E6AA4" w:rsidRPr="00611315">
        <w:rPr>
          <w:rFonts w:ascii="Verdana" w:eastAsia="Verdana Pro" w:hAnsi="Verdana" w:cs="Verdana Pro"/>
          <w:sz w:val="22"/>
          <w:szCs w:val="22"/>
        </w:rPr>
        <w:t xml:space="preserve">Antioquia con </w:t>
      </w:r>
      <w:r w:rsidR="003B6920" w:rsidRPr="00611315">
        <w:rPr>
          <w:rFonts w:ascii="Verdana" w:eastAsia="Verdana Pro" w:hAnsi="Verdana" w:cs="Verdana Pro"/>
          <w:sz w:val="22"/>
          <w:szCs w:val="22"/>
        </w:rPr>
        <w:t>2</w:t>
      </w:r>
      <w:r w:rsidR="004E6AA4" w:rsidRPr="00611315">
        <w:rPr>
          <w:rFonts w:ascii="Verdana" w:eastAsia="Verdana Pro" w:hAnsi="Verdana" w:cs="Verdana Pro"/>
          <w:sz w:val="22"/>
          <w:szCs w:val="22"/>
        </w:rPr>
        <w:t>54 empresas, tal y como se puede evidenciar a continuación:</w:t>
      </w:r>
    </w:p>
    <w:p w14:paraId="7169A02D" w14:textId="77777777" w:rsidR="00650B13" w:rsidRDefault="00650B13" w:rsidP="008B7DB3">
      <w:pPr>
        <w:pStyle w:val="Textoindependiente"/>
        <w:spacing w:line="259" w:lineRule="auto"/>
        <w:jc w:val="both"/>
        <w:rPr>
          <w:rFonts w:ascii="Verdana" w:eastAsia="Verdana Pro" w:hAnsi="Verdana" w:cs="Verdana Pro"/>
          <w:sz w:val="22"/>
          <w:szCs w:val="22"/>
        </w:rPr>
      </w:pPr>
    </w:p>
    <w:p w14:paraId="7926211E" w14:textId="77777777" w:rsidR="00650B13" w:rsidRPr="00611315" w:rsidRDefault="00650B13" w:rsidP="008B7DB3">
      <w:pPr>
        <w:pStyle w:val="Textoindependiente"/>
        <w:spacing w:line="259" w:lineRule="auto"/>
        <w:jc w:val="both"/>
        <w:rPr>
          <w:rFonts w:ascii="Verdana" w:eastAsia="Verdana Pro" w:hAnsi="Verdana" w:cs="Verdana Pro"/>
          <w:sz w:val="22"/>
          <w:szCs w:val="22"/>
        </w:rPr>
      </w:pPr>
    </w:p>
    <w:p w14:paraId="42ABC028" w14:textId="77777777" w:rsidR="004E6AA4" w:rsidRPr="00611315" w:rsidRDefault="004E6AA4" w:rsidP="29BD0596">
      <w:pPr>
        <w:spacing w:line="259" w:lineRule="auto"/>
        <w:jc w:val="both"/>
        <w:rPr>
          <w:rFonts w:ascii="Verdana" w:eastAsia="Verdana Pro" w:hAnsi="Verdana" w:cs="Verdana Pro"/>
          <w:sz w:val="22"/>
          <w:szCs w:val="22"/>
        </w:rPr>
      </w:pPr>
    </w:p>
    <w:p w14:paraId="355B4C9E" w14:textId="54236348" w:rsidR="00FC473D" w:rsidRPr="00611315" w:rsidRDefault="00FC473D" w:rsidP="00FC473D">
      <w:pPr>
        <w:pStyle w:val="Descripcin"/>
        <w:jc w:val="center"/>
        <w:rPr>
          <w:rFonts w:ascii="Verdana" w:eastAsia="Verdana Pro" w:hAnsi="Verdana" w:cs="Verdana Pro"/>
          <w:sz w:val="24"/>
          <w:szCs w:val="24"/>
        </w:rPr>
      </w:pPr>
      <w:bookmarkStart w:id="31" w:name="_Toc231368791"/>
      <w:r w:rsidRPr="00611315">
        <w:rPr>
          <w:rFonts w:ascii="Verdana" w:hAnsi="Verdana"/>
          <w:sz w:val="22"/>
          <w:szCs w:val="22"/>
        </w:rPr>
        <w:lastRenderedPageBreak/>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16</w:t>
      </w:r>
      <w:r w:rsidRPr="00611315">
        <w:rPr>
          <w:rFonts w:ascii="Verdana" w:hAnsi="Verdana"/>
          <w:sz w:val="22"/>
          <w:szCs w:val="22"/>
        </w:rPr>
        <w:fldChar w:fldCharType="end"/>
      </w:r>
      <w:r w:rsidRPr="00611315">
        <w:rPr>
          <w:rFonts w:ascii="Verdana" w:hAnsi="Verdana"/>
          <w:sz w:val="22"/>
          <w:szCs w:val="22"/>
        </w:rPr>
        <w:t xml:space="preserve">. Análisis </w:t>
      </w:r>
      <w:proofErr w:type="spellStart"/>
      <w:r w:rsidRPr="00611315">
        <w:rPr>
          <w:rFonts w:ascii="Verdana" w:hAnsi="Verdana"/>
          <w:sz w:val="22"/>
          <w:szCs w:val="22"/>
        </w:rPr>
        <w:t>Geovisor</w:t>
      </w:r>
      <w:proofErr w:type="spellEnd"/>
      <w:r w:rsidRPr="00611315">
        <w:rPr>
          <w:rFonts w:ascii="Verdana" w:hAnsi="Verdana"/>
          <w:sz w:val="22"/>
          <w:szCs w:val="22"/>
        </w:rPr>
        <w:t xml:space="preserve"> Directorio de Empresas - Construcción de proyectos de servicio público</w:t>
      </w:r>
      <w:bookmarkEnd w:id="31"/>
    </w:p>
    <w:p w14:paraId="6ED56A12" w14:textId="3085E8A9" w:rsidR="004E6AA4" w:rsidRPr="00611315" w:rsidRDefault="00233825" w:rsidP="004E6AA4">
      <w:pPr>
        <w:pStyle w:val="Textoindependiente"/>
        <w:spacing w:line="259" w:lineRule="auto"/>
        <w:ind w:left="140"/>
        <w:jc w:val="center"/>
        <w:rPr>
          <w:rFonts w:ascii="Verdana" w:eastAsia="Verdana Pro" w:hAnsi="Verdana" w:cs="Verdana Pro"/>
          <w:sz w:val="22"/>
          <w:szCs w:val="22"/>
        </w:rPr>
      </w:pPr>
      <w:r w:rsidRPr="00611315">
        <w:rPr>
          <w:rFonts w:ascii="Verdana" w:hAnsi="Verdana"/>
          <w:noProof/>
        </w:rPr>
        <w:drawing>
          <wp:inline distT="0" distB="0" distL="0" distR="0" wp14:anchorId="1C3B58EA" wp14:editId="0AA85781">
            <wp:extent cx="3923030" cy="2529445"/>
            <wp:effectExtent l="0" t="0" r="1270" b="4445"/>
            <wp:docPr id="2073339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339586" name=""/>
                    <pic:cNvPicPr/>
                  </pic:nvPicPr>
                  <pic:blipFill rotWithShape="1">
                    <a:blip r:embed="rId30"/>
                    <a:srcRect l="35896" t="20016" b="6465"/>
                    <a:stretch>
                      <a:fillRect/>
                    </a:stretch>
                  </pic:blipFill>
                  <pic:spPr bwMode="auto">
                    <a:xfrm>
                      <a:off x="0" y="0"/>
                      <a:ext cx="3923666" cy="2529855"/>
                    </a:xfrm>
                    <a:prstGeom prst="rect">
                      <a:avLst/>
                    </a:prstGeom>
                    <a:ln>
                      <a:noFill/>
                    </a:ln>
                    <a:extLst>
                      <a:ext uri="{53640926-AAD7-44D8-BBD7-CCE9431645EC}">
                        <a14:shadowObscured xmlns:a14="http://schemas.microsoft.com/office/drawing/2010/main"/>
                      </a:ext>
                    </a:extLst>
                  </pic:spPr>
                </pic:pic>
              </a:graphicData>
            </a:graphic>
          </wp:inline>
        </w:drawing>
      </w:r>
    </w:p>
    <w:p w14:paraId="2D4C9C41" w14:textId="46120944" w:rsidR="004E6AA4" w:rsidRPr="00650B13" w:rsidRDefault="004E6AA4" w:rsidP="004E6AA4">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xml:space="preserve">: </w:t>
      </w:r>
      <w:proofErr w:type="spellStart"/>
      <w:r w:rsidRPr="00650B13">
        <w:rPr>
          <w:rFonts w:ascii="Verdana" w:eastAsia="Verdana Pro" w:hAnsi="Verdana" w:cs="Verdana Pro"/>
          <w:sz w:val="22"/>
          <w:szCs w:val="22"/>
        </w:rPr>
        <w:t>Geovisor</w:t>
      </w:r>
      <w:proofErr w:type="spellEnd"/>
      <w:r w:rsidRPr="00650B13">
        <w:rPr>
          <w:rFonts w:ascii="Verdana" w:eastAsia="Verdana Pro" w:hAnsi="Verdana" w:cs="Verdana Pro"/>
          <w:sz w:val="22"/>
          <w:szCs w:val="22"/>
        </w:rPr>
        <w:t xml:space="preserve"> Directorio de Empresas&gt;&gt; del </w:t>
      </w:r>
      <w:proofErr w:type="spellStart"/>
      <w:r w:rsidRPr="00650B13">
        <w:rPr>
          <w:rFonts w:ascii="Verdana" w:eastAsia="Verdana Pro" w:hAnsi="Verdana" w:cs="Verdana Pro"/>
          <w:sz w:val="22"/>
          <w:szCs w:val="22"/>
        </w:rPr>
        <w:t>Geoportal</w:t>
      </w:r>
      <w:proofErr w:type="spellEnd"/>
      <w:r w:rsidRPr="00650B13">
        <w:rPr>
          <w:rFonts w:ascii="Verdana" w:eastAsia="Verdana Pro" w:hAnsi="Verdana" w:cs="Verdana Pro"/>
          <w:sz w:val="22"/>
          <w:szCs w:val="22"/>
        </w:rPr>
        <w:t xml:space="preserve"> del DANE</w:t>
      </w:r>
    </w:p>
    <w:p w14:paraId="4C977E49" w14:textId="77777777" w:rsidR="004E6AA4" w:rsidRPr="00611315" w:rsidRDefault="004E6AA4" w:rsidP="004E6AA4">
      <w:pPr>
        <w:pStyle w:val="Textoindependiente"/>
        <w:spacing w:line="259" w:lineRule="auto"/>
        <w:ind w:left="140"/>
        <w:jc w:val="both"/>
        <w:rPr>
          <w:rFonts w:ascii="Verdana" w:eastAsia="Verdana Pro" w:hAnsi="Verdana" w:cs="Verdana Pro"/>
          <w:sz w:val="22"/>
          <w:szCs w:val="22"/>
        </w:rPr>
      </w:pPr>
    </w:p>
    <w:p w14:paraId="74B66649" w14:textId="2DC00A95" w:rsidR="002F6987" w:rsidRPr="00611315" w:rsidRDefault="002F6987" w:rsidP="008B7DB3">
      <w:pPr>
        <w:pStyle w:val="Textoindependiente"/>
        <w:spacing w:line="259" w:lineRule="auto"/>
        <w:jc w:val="both"/>
        <w:rPr>
          <w:rFonts w:ascii="Verdana" w:eastAsia="Verdana Pro" w:hAnsi="Verdana" w:cs="Verdana Pro"/>
          <w:sz w:val="22"/>
          <w:szCs w:val="22"/>
        </w:rPr>
      </w:pPr>
      <w:r w:rsidRPr="00611315">
        <w:rPr>
          <w:rFonts w:ascii="Verdana" w:eastAsia="Verdana Pro" w:hAnsi="Verdana" w:cs="Verdana Pro"/>
          <w:sz w:val="22"/>
          <w:szCs w:val="22"/>
        </w:rPr>
        <w:t xml:space="preserve">Respecto a las empresas registradas con el código CIIU 4290 - “Construcción de otras obras de ingeniería civil” se pueden identificar </w:t>
      </w:r>
      <w:r w:rsidR="00BF771D" w:rsidRPr="00611315">
        <w:rPr>
          <w:rFonts w:ascii="Verdana" w:eastAsia="Verdana Pro" w:hAnsi="Verdana" w:cs="Verdana Pro"/>
          <w:sz w:val="22"/>
          <w:szCs w:val="22"/>
        </w:rPr>
        <w:t>39.099</w:t>
      </w:r>
      <w:r w:rsidRPr="00611315">
        <w:rPr>
          <w:rFonts w:ascii="Verdana" w:eastAsia="Verdana Pro" w:hAnsi="Verdana" w:cs="Verdana Pro"/>
          <w:sz w:val="22"/>
          <w:szCs w:val="22"/>
        </w:rPr>
        <w:t xml:space="preserve"> empresas distribuidas a lo largo del país, ubicándose en primer lugar Bogotá D.C. con </w:t>
      </w:r>
      <w:r w:rsidR="008B7DB3" w:rsidRPr="00611315">
        <w:rPr>
          <w:rFonts w:ascii="Verdana" w:eastAsia="Verdana Pro" w:hAnsi="Verdana" w:cs="Verdana Pro"/>
          <w:sz w:val="22"/>
          <w:szCs w:val="22"/>
        </w:rPr>
        <w:t>7.550</w:t>
      </w:r>
      <w:r w:rsidRPr="00611315">
        <w:rPr>
          <w:rFonts w:ascii="Verdana" w:eastAsia="Verdana Pro" w:hAnsi="Verdana" w:cs="Verdana Pro"/>
          <w:sz w:val="22"/>
          <w:szCs w:val="22"/>
        </w:rPr>
        <w:t xml:space="preserve"> empresas, seguido Antioquia con </w:t>
      </w:r>
      <w:r w:rsidR="008B7DB3" w:rsidRPr="00611315">
        <w:rPr>
          <w:rFonts w:ascii="Verdana" w:eastAsia="Verdana Pro" w:hAnsi="Verdana" w:cs="Verdana Pro"/>
          <w:sz w:val="22"/>
          <w:szCs w:val="22"/>
        </w:rPr>
        <w:t>3.831</w:t>
      </w:r>
      <w:r w:rsidRPr="00611315">
        <w:rPr>
          <w:rFonts w:ascii="Verdana" w:eastAsia="Verdana Pro" w:hAnsi="Verdana" w:cs="Verdana Pro"/>
          <w:sz w:val="22"/>
          <w:szCs w:val="22"/>
        </w:rPr>
        <w:t xml:space="preserve"> empresas</w:t>
      </w:r>
      <w:r w:rsidR="008B7DB3" w:rsidRPr="00611315">
        <w:rPr>
          <w:rFonts w:ascii="Verdana" w:eastAsia="Verdana Pro" w:hAnsi="Verdana" w:cs="Verdana Pro"/>
          <w:sz w:val="22"/>
          <w:szCs w:val="22"/>
        </w:rPr>
        <w:t xml:space="preserve"> y </w:t>
      </w:r>
      <w:r w:rsidR="00EE5774" w:rsidRPr="00611315">
        <w:rPr>
          <w:rFonts w:ascii="Verdana" w:eastAsia="Verdana Pro" w:hAnsi="Verdana" w:cs="Verdana Pro"/>
          <w:sz w:val="22"/>
          <w:szCs w:val="22"/>
        </w:rPr>
        <w:t>Atlántico con 2.988</w:t>
      </w:r>
      <w:r w:rsidRPr="00611315">
        <w:rPr>
          <w:rFonts w:ascii="Verdana" w:eastAsia="Verdana Pro" w:hAnsi="Verdana" w:cs="Verdana Pro"/>
          <w:sz w:val="22"/>
          <w:szCs w:val="22"/>
        </w:rPr>
        <w:t>, tal y como se puede evidenciar a continuación:</w:t>
      </w:r>
    </w:p>
    <w:p w14:paraId="5F49A821" w14:textId="77777777" w:rsidR="00EE5774" w:rsidRDefault="00EE5774" w:rsidP="008B7DB3">
      <w:pPr>
        <w:pStyle w:val="Textoindependiente"/>
        <w:spacing w:line="259" w:lineRule="auto"/>
        <w:jc w:val="both"/>
        <w:rPr>
          <w:rFonts w:ascii="Verdana" w:eastAsia="Verdana Pro" w:hAnsi="Verdana" w:cs="Verdana Pro"/>
          <w:sz w:val="22"/>
          <w:szCs w:val="22"/>
        </w:rPr>
      </w:pPr>
    </w:p>
    <w:p w14:paraId="69BE9AC1" w14:textId="77777777" w:rsidR="00650B13" w:rsidRDefault="00650B13" w:rsidP="008B7DB3">
      <w:pPr>
        <w:pStyle w:val="Textoindependiente"/>
        <w:spacing w:line="259" w:lineRule="auto"/>
        <w:jc w:val="both"/>
        <w:rPr>
          <w:rFonts w:ascii="Verdana" w:eastAsia="Verdana Pro" w:hAnsi="Verdana" w:cs="Verdana Pro"/>
          <w:sz w:val="22"/>
          <w:szCs w:val="22"/>
        </w:rPr>
      </w:pPr>
    </w:p>
    <w:p w14:paraId="545BD620" w14:textId="77777777" w:rsidR="00650B13" w:rsidRDefault="00650B13" w:rsidP="008B7DB3">
      <w:pPr>
        <w:pStyle w:val="Textoindependiente"/>
        <w:spacing w:line="259" w:lineRule="auto"/>
        <w:jc w:val="both"/>
        <w:rPr>
          <w:rFonts w:ascii="Verdana" w:eastAsia="Verdana Pro" w:hAnsi="Verdana" w:cs="Verdana Pro"/>
          <w:sz w:val="22"/>
          <w:szCs w:val="22"/>
        </w:rPr>
      </w:pPr>
    </w:p>
    <w:p w14:paraId="6E5344BF" w14:textId="77777777" w:rsidR="00650B13" w:rsidRDefault="00650B13" w:rsidP="008B7DB3">
      <w:pPr>
        <w:pStyle w:val="Textoindependiente"/>
        <w:spacing w:line="259" w:lineRule="auto"/>
        <w:jc w:val="both"/>
        <w:rPr>
          <w:rFonts w:ascii="Verdana" w:eastAsia="Verdana Pro" w:hAnsi="Verdana" w:cs="Verdana Pro"/>
          <w:sz w:val="22"/>
          <w:szCs w:val="22"/>
        </w:rPr>
      </w:pPr>
    </w:p>
    <w:p w14:paraId="4A1E8743" w14:textId="77777777" w:rsidR="00650B13" w:rsidRDefault="00650B13" w:rsidP="008B7DB3">
      <w:pPr>
        <w:pStyle w:val="Textoindependiente"/>
        <w:spacing w:line="259" w:lineRule="auto"/>
        <w:jc w:val="both"/>
        <w:rPr>
          <w:rFonts w:ascii="Verdana" w:eastAsia="Verdana Pro" w:hAnsi="Verdana" w:cs="Verdana Pro"/>
          <w:sz w:val="22"/>
          <w:szCs w:val="22"/>
        </w:rPr>
      </w:pPr>
    </w:p>
    <w:p w14:paraId="7E2C0F33" w14:textId="77777777" w:rsidR="00650B13" w:rsidRDefault="00650B13" w:rsidP="008B7DB3">
      <w:pPr>
        <w:pStyle w:val="Textoindependiente"/>
        <w:spacing w:line="259" w:lineRule="auto"/>
        <w:jc w:val="both"/>
        <w:rPr>
          <w:rFonts w:ascii="Verdana" w:eastAsia="Verdana Pro" w:hAnsi="Verdana" w:cs="Verdana Pro"/>
          <w:sz w:val="22"/>
          <w:szCs w:val="22"/>
        </w:rPr>
      </w:pPr>
    </w:p>
    <w:p w14:paraId="1DCD5BB0" w14:textId="77777777" w:rsidR="00650B13" w:rsidRPr="00611315" w:rsidRDefault="00650B13" w:rsidP="008B7DB3">
      <w:pPr>
        <w:pStyle w:val="Textoindependiente"/>
        <w:spacing w:line="259" w:lineRule="auto"/>
        <w:jc w:val="both"/>
        <w:rPr>
          <w:rFonts w:ascii="Verdana" w:eastAsia="Verdana Pro" w:hAnsi="Verdana" w:cs="Verdana Pro"/>
          <w:sz w:val="22"/>
          <w:szCs w:val="22"/>
        </w:rPr>
      </w:pPr>
    </w:p>
    <w:p w14:paraId="062D42F8" w14:textId="19AECF6A" w:rsidR="00B318FD" w:rsidRPr="00611315" w:rsidRDefault="00B318FD" w:rsidP="00B318FD">
      <w:pPr>
        <w:pStyle w:val="Descripcin"/>
        <w:jc w:val="center"/>
        <w:rPr>
          <w:rFonts w:ascii="Verdana" w:eastAsia="Verdana Pro" w:hAnsi="Verdana" w:cs="Verdana Pro"/>
          <w:sz w:val="24"/>
          <w:szCs w:val="24"/>
        </w:rPr>
      </w:pPr>
      <w:bookmarkStart w:id="32" w:name="_Toc231368792"/>
      <w:r w:rsidRPr="00611315">
        <w:rPr>
          <w:rFonts w:ascii="Verdana" w:hAnsi="Verdana"/>
          <w:sz w:val="22"/>
          <w:szCs w:val="22"/>
        </w:rPr>
        <w:lastRenderedPageBreak/>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17</w:t>
      </w:r>
      <w:r w:rsidRPr="00611315">
        <w:rPr>
          <w:rFonts w:ascii="Verdana" w:hAnsi="Verdana"/>
          <w:sz w:val="22"/>
          <w:szCs w:val="22"/>
        </w:rPr>
        <w:fldChar w:fldCharType="end"/>
      </w:r>
      <w:r w:rsidRPr="00611315">
        <w:rPr>
          <w:rFonts w:ascii="Verdana" w:hAnsi="Verdana"/>
          <w:sz w:val="22"/>
          <w:szCs w:val="22"/>
        </w:rPr>
        <w:t xml:space="preserve">. Análisis </w:t>
      </w:r>
      <w:proofErr w:type="spellStart"/>
      <w:r w:rsidRPr="00611315">
        <w:rPr>
          <w:rFonts w:ascii="Verdana" w:hAnsi="Verdana"/>
          <w:sz w:val="22"/>
          <w:szCs w:val="22"/>
        </w:rPr>
        <w:t>Geovisor</w:t>
      </w:r>
      <w:proofErr w:type="spellEnd"/>
      <w:r w:rsidRPr="00611315">
        <w:rPr>
          <w:rFonts w:ascii="Verdana" w:hAnsi="Verdana"/>
          <w:sz w:val="22"/>
          <w:szCs w:val="22"/>
        </w:rPr>
        <w:t xml:space="preserve"> Directorio de Empresas - Construcción de otras obras de ingeniería civil</w:t>
      </w:r>
      <w:bookmarkEnd w:id="32"/>
    </w:p>
    <w:p w14:paraId="44025151" w14:textId="4CCA59D9" w:rsidR="00EE5774" w:rsidRPr="00611315" w:rsidRDefault="00B318FD" w:rsidP="00B318FD">
      <w:pPr>
        <w:pStyle w:val="Textoindependiente"/>
        <w:spacing w:line="259" w:lineRule="auto"/>
        <w:jc w:val="center"/>
        <w:rPr>
          <w:rFonts w:ascii="Verdana" w:eastAsia="Verdana Pro" w:hAnsi="Verdana" w:cs="Verdana Pro"/>
          <w:sz w:val="22"/>
          <w:szCs w:val="22"/>
        </w:rPr>
      </w:pPr>
      <w:r w:rsidRPr="00611315">
        <w:rPr>
          <w:rFonts w:ascii="Verdana" w:hAnsi="Verdana"/>
          <w:noProof/>
        </w:rPr>
        <w:drawing>
          <wp:inline distT="0" distB="0" distL="0" distR="0" wp14:anchorId="09E5A630" wp14:editId="778CA6A1">
            <wp:extent cx="4965280" cy="3218213"/>
            <wp:effectExtent l="0" t="0" r="6985" b="1270"/>
            <wp:docPr id="8571666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66693" name=""/>
                    <pic:cNvPicPr/>
                  </pic:nvPicPr>
                  <pic:blipFill rotWithShape="1">
                    <a:blip r:embed="rId31"/>
                    <a:srcRect l="38618" t="20707" b="8527"/>
                    <a:stretch>
                      <a:fillRect/>
                    </a:stretch>
                  </pic:blipFill>
                  <pic:spPr bwMode="auto">
                    <a:xfrm>
                      <a:off x="0" y="0"/>
                      <a:ext cx="4980309" cy="3227954"/>
                    </a:xfrm>
                    <a:prstGeom prst="rect">
                      <a:avLst/>
                    </a:prstGeom>
                    <a:ln>
                      <a:noFill/>
                    </a:ln>
                    <a:extLst>
                      <a:ext uri="{53640926-AAD7-44D8-BBD7-CCE9431645EC}">
                        <a14:shadowObscured xmlns:a14="http://schemas.microsoft.com/office/drawing/2010/main"/>
                      </a:ext>
                    </a:extLst>
                  </pic:spPr>
                </pic:pic>
              </a:graphicData>
            </a:graphic>
          </wp:inline>
        </w:drawing>
      </w:r>
    </w:p>
    <w:p w14:paraId="1DBB1942" w14:textId="77777777" w:rsidR="00B318FD" w:rsidRPr="00650B13" w:rsidRDefault="00B318FD" w:rsidP="00B318FD">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xml:space="preserve">: </w:t>
      </w:r>
      <w:proofErr w:type="spellStart"/>
      <w:r w:rsidRPr="00650B13">
        <w:rPr>
          <w:rFonts w:ascii="Verdana" w:eastAsia="Verdana Pro" w:hAnsi="Verdana" w:cs="Verdana Pro"/>
          <w:sz w:val="22"/>
          <w:szCs w:val="22"/>
        </w:rPr>
        <w:t>Geovisor</w:t>
      </w:r>
      <w:proofErr w:type="spellEnd"/>
      <w:r w:rsidRPr="00650B13">
        <w:rPr>
          <w:rFonts w:ascii="Verdana" w:eastAsia="Verdana Pro" w:hAnsi="Verdana" w:cs="Verdana Pro"/>
          <w:sz w:val="22"/>
          <w:szCs w:val="22"/>
        </w:rPr>
        <w:t xml:space="preserve"> Directorio de Empresas&gt;&gt; del </w:t>
      </w:r>
      <w:proofErr w:type="spellStart"/>
      <w:r w:rsidRPr="00650B13">
        <w:rPr>
          <w:rFonts w:ascii="Verdana" w:eastAsia="Verdana Pro" w:hAnsi="Verdana" w:cs="Verdana Pro"/>
          <w:sz w:val="22"/>
          <w:szCs w:val="22"/>
        </w:rPr>
        <w:t>Geoportal</w:t>
      </w:r>
      <w:proofErr w:type="spellEnd"/>
      <w:r w:rsidRPr="00650B13">
        <w:rPr>
          <w:rFonts w:ascii="Verdana" w:eastAsia="Verdana Pro" w:hAnsi="Verdana" w:cs="Verdana Pro"/>
          <w:sz w:val="22"/>
          <w:szCs w:val="22"/>
        </w:rPr>
        <w:t xml:space="preserve"> del DANE</w:t>
      </w:r>
    </w:p>
    <w:p w14:paraId="3F05BD3A" w14:textId="77777777" w:rsidR="005C4A70" w:rsidRPr="00611315" w:rsidRDefault="005C4A70" w:rsidP="004E6AA4">
      <w:pPr>
        <w:pStyle w:val="Textoindependiente"/>
        <w:spacing w:line="259" w:lineRule="auto"/>
        <w:ind w:left="140"/>
        <w:jc w:val="both"/>
        <w:rPr>
          <w:rFonts w:ascii="Verdana" w:eastAsia="Verdana Pro" w:hAnsi="Verdana" w:cs="Verdana Pro"/>
          <w:sz w:val="22"/>
          <w:szCs w:val="22"/>
        </w:rPr>
      </w:pPr>
    </w:p>
    <w:p w14:paraId="0605AC08" w14:textId="4B9BA901" w:rsidR="005C4A70" w:rsidRPr="00611315" w:rsidRDefault="00FA2883" w:rsidP="004E6AA4">
      <w:pPr>
        <w:pStyle w:val="Textoindependiente"/>
        <w:spacing w:line="259" w:lineRule="auto"/>
        <w:ind w:left="140"/>
        <w:jc w:val="both"/>
        <w:rPr>
          <w:rFonts w:ascii="Verdana" w:eastAsia="Verdana Pro" w:hAnsi="Verdana" w:cs="Verdana Pro"/>
          <w:sz w:val="22"/>
          <w:szCs w:val="22"/>
        </w:rPr>
      </w:pPr>
      <w:r w:rsidRPr="00611315">
        <w:rPr>
          <w:rFonts w:ascii="Verdana" w:eastAsia="Verdana Pro" w:hAnsi="Verdana" w:cs="Verdana Pro"/>
          <w:sz w:val="22"/>
          <w:szCs w:val="22"/>
        </w:rPr>
        <w:t xml:space="preserve">Aunado a lo anterior y con el objetivo de identificar potenciales proveedores </w:t>
      </w:r>
      <w:r w:rsidR="00B009D4" w:rsidRPr="00611315">
        <w:rPr>
          <w:rFonts w:ascii="Verdana" w:eastAsia="Verdana Pro" w:hAnsi="Verdana" w:cs="Verdana Pro"/>
          <w:sz w:val="22"/>
          <w:szCs w:val="22"/>
        </w:rPr>
        <w:t xml:space="preserve">de los servicios que se esperan seguir contratando en el marco de la nueva actualización de los Documentos Tipo de Infraestructura de Agua Potable y Saneamiento Básico, se realizó </w:t>
      </w:r>
      <w:proofErr w:type="gramStart"/>
      <w:r w:rsidR="0059606B" w:rsidRPr="00611315">
        <w:rPr>
          <w:rFonts w:ascii="Verdana" w:eastAsia="Verdana Pro" w:hAnsi="Verdana" w:cs="Verdana Pro"/>
          <w:sz w:val="22"/>
          <w:szCs w:val="22"/>
        </w:rPr>
        <w:t>un búsqueda</w:t>
      </w:r>
      <w:proofErr w:type="gramEnd"/>
      <w:r w:rsidR="00793324" w:rsidRPr="00611315">
        <w:rPr>
          <w:rFonts w:ascii="Verdana" w:eastAsia="Verdana Pro" w:hAnsi="Verdana" w:cs="Verdana Pro"/>
          <w:sz w:val="22"/>
          <w:szCs w:val="22"/>
        </w:rPr>
        <w:t xml:space="preserve"> de procesos de selección a través de la</w:t>
      </w:r>
      <w:r w:rsidR="002D7720" w:rsidRPr="00611315">
        <w:rPr>
          <w:rFonts w:ascii="Verdana" w:eastAsia="Verdana Pro" w:hAnsi="Verdana" w:cs="Verdana Pro"/>
          <w:sz w:val="22"/>
          <w:szCs w:val="22"/>
        </w:rPr>
        <w:t xml:space="preserve"> base “S</w:t>
      </w:r>
      <w:r w:rsidR="00650B13">
        <w:rPr>
          <w:rFonts w:ascii="Verdana" w:eastAsia="Verdana Pro" w:hAnsi="Verdana" w:cs="Verdana Pro"/>
          <w:sz w:val="22"/>
          <w:szCs w:val="22"/>
        </w:rPr>
        <w:t>ECOP</w:t>
      </w:r>
      <w:r w:rsidR="002D7720" w:rsidRPr="00611315">
        <w:rPr>
          <w:rFonts w:ascii="Verdana" w:eastAsia="Verdana Pro" w:hAnsi="Verdana" w:cs="Verdana Pro"/>
          <w:sz w:val="22"/>
          <w:szCs w:val="22"/>
        </w:rPr>
        <w:t xml:space="preserve"> II – Contratos electrónicos” de</w:t>
      </w:r>
      <w:r w:rsidR="0059606B" w:rsidRPr="00611315">
        <w:rPr>
          <w:rFonts w:ascii="Verdana" w:eastAsia="Verdana Pro" w:hAnsi="Verdana" w:cs="Verdana Pro"/>
          <w:sz w:val="22"/>
          <w:szCs w:val="22"/>
        </w:rPr>
        <w:t xml:space="preserve"> la plataforma Datos Abiertos</w:t>
      </w:r>
      <w:r w:rsidR="000E7F2D" w:rsidRPr="00611315">
        <w:rPr>
          <w:rFonts w:ascii="Verdana" w:eastAsia="Verdana Pro" w:hAnsi="Verdana" w:cs="Verdana Pro"/>
          <w:sz w:val="22"/>
          <w:szCs w:val="22"/>
        </w:rPr>
        <w:t xml:space="preserve">. Producto del ejercicio realizado se logró consolidar una búsqueda de </w:t>
      </w:r>
      <w:r w:rsidR="0071235F" w:rsidRPr="00611315">
        <w:rPr>
          <w:rFonts w:ascii="Verdana" w:eastAsia="Verdana Pro" w:hAnsi="Verdana" w:cs="Verdana Pro"/>
          <w:sz w:val="22"/>
          <w:szCs w:val="22"/>
        </w:rPr>
        <w:t>326 procesos de selección, mediante los cuales se lograron identificar a los siguientes proveedores que participaron como oferentes en procesos de selección con objetos enmarcados en el sector de Agua Potable y Saneamiento Básico:</w:t>
      </w:r>
    </w:p>
    <w:p w14:paraId="2A41486F" w14:textId="77777777" w:rsidR="00F47B13" w:rsidRDefault="00F47B13" w:rsidP="004E6AA4">
      <w:pPr>
        <w:pStyle w:val="Textoindependiente"/>
        <w:spacing w:line="259" w:lineRule="auto"/>
        <w:ind w:left="140"/>
        <w:jc w:val="both"/>
        <w:rPr>
          <w:rFonts w:ascii="Verdana" w:eastAsia="Verdana Pro" w:hAnsi="Verdana" w:cs="Verdana Pro"/>
          <w:sz w:val="22"/>
          <w:szCs w:val="22"/>
        </w:rPr>
      </w:pPr>
    </w:p>
    <w:p w14:paraId="3DD2C1AA" w14:textId="77777777" w:rsidR="00650B13" w:rsidRDefault="00650B13" w:rsidP="004E6AA4">
      <w:pPr>
        <w:pStyle w:val="Textoindependiente"/>
        <w:spacing w:line="259" w:lineRule="auto"/>
        <w:ind w:left="140"/>
        <w:jc w:val="both"/>
        <w:rPr>
          <w:rFonts w:ascii="Verdana" w:eastAsia="Verdana Pro" w:hAnsi="Verdana" w:cs="Verdana Pro"/>
          <w:sz w:val="22"/>
          <w:szCs w:val="22"/>
        </w:rPr>
      </w:pPr>
    </w:p>
    <w:p w14:paraId="4AF3A845" w14:textId="77777777" w:rsidR="00650B13" w:rsidRPr="00611315" w:rsidRDefault="00650B13" w:rsidP="004E6AA4">
      <w:pPr>
        <w:pStyle w:val="Textoindependiente"/>
        <w:spacing w:line="259" w:lineRule="auto"/>
        <w:ind w:left="140"/>
        <w:jc w:val="both"/>
        <w:rPr>
          <w:rFonts w:ascii="Verdana" w:eastAsia="Verdana Pro" w:hAnsi="Verdana" w:cs="Verdana Pro"/>
          <w:sz w:val="22"/>
          <w:szCs w:val="22"/>
        </w:rPr>
      </w:pPr>
    </w:p>
    <w:p w14:paraId="3C8C19E5" w14:textId="12E8BAE3" w:rsidR="00F47B13" w:rsidRPr="00611315" w:rsidRDefault="00EF1941" w:rsidP="00EF1941">
      <w:pPr>
        <w:pStyle w:val="Descripcin"/>
        <w:jc w:val="center"/>
        <w:rPr>
          <w:rFonts w:ascii="Verdana" w:eastAsia="Verdana Pro" w:hAnsi="Verdana" w:cs="Verdana Pro"/>
          <w:sz w:val="24"/>
          <w:szCs w:val="24"/>
        </w:rPr>
      </w:pPr>
      <w:bookmarkStart w:id="33" w:name="_Toc231368670"/>
      <w:r w:rsidRPr="00611315">
        <w:rPr>
          <w:rFonts w:ascii="Verdana" w:hAnsi="Verdana"/>
          <w:sz w:val="22"/>
          <w:szCs w:val="22"/>
        </w:rPr>
        <w:lastRenderedPageBreak/>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382A2E" w:rsidRPr="00611315">
        <w:rPr>
          <w:rFonts w:ascii="Verdana" w:hAnsi="Verdana"/>
          <w:noProof/>
          <w:sz w:val="22"/>
          <w:szCs w:val="22"/>
        </w:rPr>
        <w:t>3</w:t>
      </w:r>
      <w:r w:rsidRPr="00611315">
        <w:rPr>
          <w:rFonts w:ascii="Verdana" w:hAnsi="Verdana"/>
          <w:sz w:val="22"/>
          <w:szCs w:val="22"/>
        </w:rPr>
        <w:fldChar w:fldCharType="end"/>
      </w:r>
      <w:r w:rsidRPr="00611315">
        <w:rPr>
          <w:rFonts w:ascii="Verdana" w:hAnsi="Verdana"/>
          <w:sz w:val="22"/>
          <w:szCs w:val="22"/>
        </w:rPr>
        <w:t>. Oferentes Procesos de Selección APYSB SECOP II</w:t>
      </w:r>
      <w:bookmarkEnd w:id="33"/>
    </w:p>
    <w:tbl>
      <w:tblPr>
        <w:tblW w:w="6941" w:type="dxa"/>
        <w:jc w:val="center"/>
        <w:tblCellMar>
          <w:left w:w="70" w:type="dxa"/>
          <w:right w:w="70" w:type="dxa"/>
        </w:tblCellMar>
        <w:tblLook w:val="04A0" w:firstRow="1" w:lastRow="0" w:firstColumn="1" w:lastColumn="0" w:noHBand="0" w:noVBand="1"/>
      </w:tblPr>
      <w:tblGrid>
        <w:gridCol w:w="1980"/>
        <w:gridCol w:w="4961"/>
      </w:tblGrid>
      <w:tr w:rsidR="00642FBB" w:rsidRPr="00611315" w14:paraId="1604C616" w14:textId="77777777" w:rsidTr="00EF1941">
        <w:trPr>
          <w:trHeight w:val="495"/>
          <w:tblHeader/>
          <w:jc w:val="center"/>
        </w:trPr>
        <w:tc>
          <w:tcPr>
            <w:tcW w:w="1980" w:type="dxa"/>
            <w:tcBorders>
              <w:top w:val="single" w:sz="4" w:space="0" w:color="auto"/>
              <w:left w:val="single" w:sz="4" w:space="0" w:color="auto"/>
              <w:bottom w:val="single" w:sz="4" w:space="0" w:color="auto"/>
              <w:right w:val="nil"/>
            </w:tcBorders>
            <w:shd w:val="clear" w:color="auto" w:fill="D9D9D9" w:themeFill="background1" w:themeFillShade="D9"/>
            <w:vAlign w:val="center"/>
            <w:hideMark/>
          </w:tcPr>
          <w:p w14:paraId="60BF06EB" w14:textId="45EA70F8" w:rsidR="00642FBB" w:rsidRPr="00611315" w:rsidRDefault="00642FBB">
            <w:pPr>
              <w:jc w:val="center"/>
              <w:rPr>
                <w:rFonts w:ascii="Verdana" w:hAnsi="Verdana"/>
                <w:b/>
                <w:bCs/>
                <w:sz w:val="20"/>
                <w:szCs w:val="20"/>
                <w:lang w:eastAsia="es-CO"/>
              </w:rPr>
            </w:pPr>
            <w:r w:rsidRPr="00611315">
              <w:rPr>
                <w:rFonts w:ascii="Verdana" w:hAnsi="Verdana"/>
                <w:b/>
                <w:bCs/>
                <w:sz w:val="20"/>
                <w:szCs w:val="20"/>
              </w:rPr>
              <w:t>N</w:t>
            </w:r>
            <w:r w:rsidR="00F47B13" w:rsidRPr="00611315">
              <w:rPr>
                <w:rFonts w:ascii="Verdana" w:hAnsi="Verdana"/>
                <w:b/>
                <w:bCs/>
                <w:sz w:val="20"/>
                <w:szCs w:val="20"/>
              </w:rPr>
              <w:t>IT</w:t>
            </w:r>
          </w:p>
        </w:tc>
        <w:tc>
          <w:tcPr>
            <w:tcW w:w="496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7942CF" w14:textId="4291A310" w:rsidR="00642FBB" w:rsidRPr="00611315" w:rsidRDefault="00F47B13" w:rsidP="00F47B13">
            <w:pPr>
              <w:jc w:val="center"/>
              <w:rPr>
                <w:rFonts w:ascii="Verdana" w:hAnsi="Verdana"/>
                <w:b/>
                <w:bCs/>
                <w:sz w:val="20"/>
                <w:szCs w:val="20"/>
              </w:rPr>
            </w:pPr>
            <w:r w:rsidRPr="00611315">
              <w:rPr>
                <w:rFonts w:ascii="Verdana" w:hAnsi="Verdana"/>
                <w:b/>
                <w:bCs/>
                <w:sz w:val="20"/>
                <w:szCs w:val="20"/>
              </w:rPr>
              <w:t>EMPRESA</w:t>
            </w:r>
          </w:p>
        </w:tc>
      </w:tr>
      <w:tr w:rsidR="00642FBB" w:rsidRPr="00611315" w14:paraId="26A805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02FE706" w14:textId="77777777" w:rsidR="00642FBB" w:rsidRPr="00611315" w:rsidRDefault="00642FBB">
            <w:pPr>
              <w:jc w:val="center"/>
              <w:rPr>
                <w:rFonts w:ascii="Verdana" w:hAnsi="Verdana"/>
                <w:sz w:val="20"/>
                <w:szCs w:val="20"/>
              </w:rPr>
            </w:pPr>
            <w:r w:rsidRPr="00611315">
              <w:rPr>
                <w:rFonts w:ascii="Verdana" w:hAnsi="Verdana"/>
                <w:sz w:val="20"/>
                <w:szCs w:val="20"/>
              </w:rPr>
              <w:t>900086144</w:t>
            </w:r>
          </w:p>
        </w:tc>
        <w:tc>
          <w:tcPr>
            <w:tcW w:w="4961" w:type="dxa"/>
            <w:tcBorders>
              <w:top w:val="nil"/>
              <w:left w:val="nil"/>
              <w:bottom w:val="single" w:sz="4" w:space="0" w:color="auto"/>
              <w:right w:val="single" w:sz="4" w:space="0" w:color="auto"/>
            </w:tcBorders>
            <w:noWrap/>
            <w:vAlign w:val="center"/>
            <w:hideMark/>
          </w:tcPr>
          <w:p w14:paraId="58BEB163" w14:textId="77777777" w:rsidR="00642FBB" w:rsidRPr="00611315" w:rsidRDefault="00642FBB" w:rsidP="00F47B13">
            <w:pPr>
              <w:jc w:val="center"/>
              <w:rPr>
                <w:rFonts w:ascii="Verdana" w:hAnsi="Verdana"/>
                <w:sz w:val="20"/>
                <w:szCs w:val="20"/>
              </w:rPr>
            </w:pPr>
            <w:r w:rsidRPr="00611315">
              <w:rPr>
                <w:rFonts w:ascii="Verdana" w:hAnsi="Verdana"/>
                <w:sz w:val="20"/>
                <w:szCs w:val="20"/>
              </w:rPr>
              <w:t>AFATOP S.A.S.</w:t>
            </w:r>
          </w:p>
        </w:tc>
      </w:tr>
      <w:tr w:rsidR="00642FBB" w:rsidRPr="00611315" w14:paraId="5954732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6E7AD82" w14:textId="77777777" w:rsidR="00642FBB" w:rsidRPr="00611315" w:rsidRDefault="00642FBB">
            <w:pPr>
              <w:jc w:val="center"/>
              <w:rPr>
                <w:rFonts w:ascii="Verdana" w:hAnsi="Verdana"/>
                <w:sz w:val="20"/>
                <w:szCs w:val="20"/>
              </w:rPr>
            </w:pPr>
            <w:r w:rsidRPr="00611315">
              <w:rPr>
                <w:rFonts w:ascii="Verdana" w:hAnsi="Verdana"/>
                <w:sz w:val="20"/>
                <w:szCs w:val="20"/>
              </w:rPr>
              <w:t>901310031</w:t>
            </w:r>
          </w:p>
        </w:tc>
        <w:tc>
          <w:tcPr>
            <w:tcW w:w="4961" w:type="dxa"/>
            <w:tcBorders>
              <w:top w:val="nil"/>
              <w:left w:val="nil"/>
              <w:bottom w:val="single" w:sz="4" w:space="0" w:color="auto"/>
              <w:right w:val="single" w:sz="4" w:space="0" w:color="auto"/>
            </w:tcBorders>
            <w:noWrap/>
            <w:vAlign w:val="center"/>
            <w:hideMark/>
          </w:tcPr>
          <w:p w14:paraId="50F81BEF" w14:textId="77777777" w:rsidR="00642FBB" w:rsidRPr="00611315" w:rsidRDefault="00642FBB" w:rsidP="00F47B13">
            <w:pPr>
              <w:jc w:val="center"/>
              <w:rPr>
                <w:rFonts w:ascii="Verdana" w:hAnsi="Verdana"/>
                <w:sz w:val="20"/>
                <w:szCs w:val="20"/>
              </w:rPr>
            </w:pPr>
            <w:r w:rsidRPr="00611315">
              <w:rPr>
                <w:rFonts w:ascii="Verdana" w:hAnsi="Verdana"/>
                <w:sz w:val="20"/>
                <w:szCs w:val="20"/>
              </w:rPr>
              <w:t>ASB ONASSIS CONSTRUCCIONES S.A.S</w:t>
            </w:r>
          </w:p>
        </w:tc>
      </w:tr>
      <w:tr w:rsidR="00642FBB" w:rsidRPr="00611315" w14:paraId="340F2A48"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7D22BAF" w14:textId="77777777" w:rsidR="00642FBB" w:rsidRPr="00611315" w:rsidRDefault="00642FBB">
            <w:pPr>
              <w:jc w:val="center"/>
              <w:rPr>
                <w:rFonts w:ascii="Verdana" w:hAnsi="Verdana"/>
                <w:sz w:val="20"/>
                <w:szCs w:val="20"/>
              </w:rPr>
            </w:pPr>
            <w:r w:rsidRPr="00611315">
              <w:rPr>
                <w:rFonts w:ascii="Verdana" w:hAnsi="Verdana"/>
                <w:sz w:val="20"/>
                <w:szCs w:val="20"/>
              </w:rPr>
              <w:t>30685544</w:t>
            </w:r>
          </w:p>
        </w:tc>
        <w:tc>
          <w:tcPr>
            <w:tcW w:w="4961" w:type="dxa"/>
            <w:tcBorders>
              <w:top w:val="nil"/>
              <w:left w:val="nil"/>
              <w:bottom w:val="single" w:sz="4" w:space="0" w:color="auto"/>
              <w:right w:val="single" w:sz="4" w:space="0" w:color="auto"/>
            </w:tcBorders>
            <w:noWrap/>
            <w:vAlign w:val="center"/>
            <w:hideMark/>
          </w:tcPr>
          <w:p w14:paraId="74E298DC" w14:textId="77777777" w:rsidR="00642FBB" w:rsidRPr="00611315" w:rsidRDefault="00642FBB" w:rsidP="00F47B13">
            <w:pPr>
              <w:jc w:val="center"/>
              <w:rPr>
                <w:rFonts w:ascii="Verdana" w:hAnsi="Verdana"/>
                <w:sz w:val="20"/>
                <w:szCs w:val="20"/>
              </w:rPr>
            </w:pPr>
            <w:r w:rsidRPr="00611315">
              <w:rPr>
                <w:rFonts w:ascii="Verdana" w:hAnsi="Verdana"/>
                <w:sz w:val="20"/>
                <w:szCs w:val="20"/>
              </w:rPr>
              <w:t>CARVAJAL PINEDA CLAUDIA STELLA</w:t>
            </w:r>
          </w:p>
        </w:tc>
      </w:tr>
      <w:tr w:rsidR="00642FBB" w:rsidRPr="00611315" w14:paraId="4F78264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4D5D776" w14:textId="77777777" w:rsidR="00642FBB" w:rsidRPr="00611315" w:rsidRDefault="00642FBB">
            <w:pPr>
              <w:jc w:val="center"/>
              <w:rPr>
                <w:rFonts w:ascii="Verdana" w:hAnsi="Verdana"/>
                <w:sz w:val="20"/>
                <w:szCs w:val="20"/>
              </w:rPr>
            </w:pPr>
            <w:r w:rsidRPr="00611315">
              <w:rPr>
                <w:rFonts w:ascii="Verdana" w:hAnsi="Verdana"/>
                <w:sz w:val="20"/>
                <w:szCs w:val="20"/>
              </w:rPr>
              <w:t>901488330</w:t>
            </w:r>
          </w:p>
        </w:tc>
        <w:tc>
          <w:tcPr>
            <w:tcW w:w="4961" w:type="dxa"/>
            <w:tcBorders>
              <w:top w:val="nil"/>
              <w:left w:val="nil"/>
              <w:bottom w:val="single" w:sz="4" w:space="0" w:color="auto"/>
              <w:right w:val="single" w:sz="4" w:space="0" w:color="auto"/>
            </w:tcBorders>
            <w:noWrap/>
            <w:vAlign w:val="center"/>
            <w:hideMark/>
          </w:tcPr>
          <w:p w14:paraId="5AB79265"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CONSTRUCCIONES CANNAAN S.A.S</w:t>
            </w:r>
          </w:p>
        </w:tc>
      </w:tr>
      <w:tr w:rsidR="00642FBB" w:rsidRPr="00611315" w14:paraId="611C723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F622A3E" w14:textId="77777777" w:rsidR="00642FBB" w:rsidRPr="00611315" w:rsidRDefault="00642FBB">
            <w:pPr>
              <w:jc w:val="center"/>
              <w:rPr>
                <w:rFonts w:ascii="Verdana" w:hAnsi="Verdana"/>
                <w:sz w:val="20"/>
                <w:szCs w:val="20"/>
              </w:rPr>
            </w:pPr>
            <w:r w:rsidRPr="00611315">
              <w:rPr>
                <w:rFonts w:ascii="Verdana" w:hAnsi="Verdana"/>
                <w:sz w:val="20"/>
                <w:szCs w:val="20"/>
              </w:rPr>
              <w:t>901148384</w:t>
            </w:r>
          </w:p>
        </w:tc>
        <w:tc>
          <w:tcPr>
            <w:tcW w:w="4961" w:type="dxa"/>
            <w:tcBorders>
              <w:top w:val="nil"/>
              <w:left w:val="nil"/>
              <w:bottom w:val="single" w:sz="4" w:space="0" w:color="auto"/>
              <w:right w:val="single" w:sz="4" w:space="0" w:color="auto"/>
            </w:tcBorders>
            <w:noWrap/>
            <w:vAlign w:val="center"/>
            <w:hideMark/>
          </w:tcPr>
          <w:p w14:paraId="03FB774D"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CONSTRUCCIONES SERTOR S.A.S.</w:t>
            </w:r>
          </w:p>
        </w:tc>
      </w:tr>
      <w:tr w:rsidR="00642FBB" w:rsidRPr="00611315" w14:paraId="12E06D0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B571030" w14:textId="77777777" w:rsidR="00642FBB" w:rsidRPr="00611315" w:rsidRDefault="00642FBB">
            <w:pPr>
              <w:jc w:val="center"/>
              <w:rPr>
                <w:rFonts w:ascii="Verdana" w:hAnsi="Verdana"/>
                <w:sz w:val="20"/>
                <w:szCs w:val="20"/>
              </w:rPr>
            </w:pPr>
            <w:r w:rsidRPr="00611315">
              <w:rPr>
                <w:rFonts w:ascii="Verdana" w:hAnsi="Verdana"/>
                <w:sz w:val="20"/>
                <w:szCs w:val="20"/>
              </w:rPr>
              <w:t>901441594</w:t>
            </w:r>
          </w:p>
        </w:tc>
        <w:tc>
          <w:tcPr>
            <w:tcW w:w="4961" w:type="dxa"/>
            <w:tcBorders>
              <w:top w:val="nil"/>
              <w:left w:val="nil"/>
              <w:bottom w:val="single" w:sz="4" w:space="0" w:color="auto"/>
              <w:right w:val="single" w:sz="4" w:space="0" w:color="auto"/>
            </w:tcBorders>
            <w:noWrap/>
            <w:vAlign w:val="center"/>
            <w:hideMark/>
          </w:tcPr>
          <w:p w14:paraId="7614B13D"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CARIBE NORTE S.A.S</w:t>
            </w:r>
          </w:p>
        </w:tc>
      </w:tr>
      <w:tr w:rsidR="00642FBB" w:rsidRPr="00611315" w14:paraId="07C3588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6C31608" w14:textId="77777777" w:rsidR="00642FBB" w:rsidRPr="00611315" w:rsidRDefault="00642FBB">
            <w:pPr>
              <w:jc w:val="center"/>
              <w:rPr>
                <w:rFonts w:ascii="Verdana" w:hAnsi="Verdana"/>
                <w:sz w:val="20"/>
                <w:szCs w:val="20"/>
              </w:rPr>
            </w:pPr>
            <w:r w:rsidRPr="00611315">
              <w:rPr>
                <w:rFonts w:ascii="Verdana" w:hAnsi="Verdana"/>
                <w:sz w:val="20"/>
                <w:szCs w:val="20"/>
              </w:rPr>
              <w:t>901710952</w:t>
            </w:r>
          </w:p>
        </w:tc>
        <w:tc>
          <w:tcPr>
            <w:tcW w:w="4961" w:type="dxa"/>
            <w:tcBorders>
              <w:top w:val="nil"/>
              <w:left w:val="nil"/>
              <w:bottom w:val="single" w:sz="4" w:space="0" w:color="auto"/>
              <w:right w:val="single" w:sz="4" w:space="0" w:color="auto"/>
            </w:tcBorders>
            <w:noWrap/>
            <w:vAlign w:val="center"/>
            <w:hideMark/>
          </w:tcPr>
          <w:p w14:paraId="45311A1B"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SRB S.A.S</w:t>
            </w:r>
          </w:p>
        </w:tc>
      </w:tr>
      <w:tr w:rsidR="00642FBB" w:rsidRPr="00611315" w14:paraId="46DD645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C28CB6C" w14:textId="77777777" w:rsidR="00642FBB" w:rsidRPr="00611315" w:rsidRDefault="00642FBB">
            <w:pPr>
              <w:jc w:val="center"/>
              <w:rPr>
                <w:rFonts w:ascii="Verdana" w:hAnsi="Verdana"/>
                <w:sz w:val="20"/>
                <w:szCs w:val="20"/>
              </w:rPr>
            </w:pPr>
            <w:r w:rsidRPr="00611315">
              <w:rPr>
                <w:rFonts w:ascii="Verdana" w:hAnsi="Verdana"/>
                <w:sz w:val="20"/>
                <w:szCs w:val="20"/>
              </w:rPr>
              <w:t>900644317</w:t>
            </w:r>
          </w:p>
        </w:tc>
        <w:tc>
          <w:tcPr>
            <w:tcW w:w="4961" w:type="dxa"/>
            <w:tcBorders>
              <w:top w:val="nil"/>
              <w:left w:val="nil"/>
              <w:bottom w:val="single" w:sz="4" w:space="0" w:color="auto"/>
              <w:right w:val="single" w:sz="4" w:space="0" w:color="auto"/>
            </w:tcBorders>
            <w:noWrap/>
            <w:vAlign w:val="center"/>
            <w:hideMark/>
          </w:tcPr>
          <w:p w14:paraId="7410E2E5"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CONSTRUOBRAS F.D.C S.A.S</w:t>
            </w:r>
          </w:p>
        </w:tc>
      </w:tr>
      <w:tr w:rsidR="00642FBB" w:rsidRPr="00611315" w14:paraId="2CE73368"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65F9F99" w14:textId="77777777" w:rsidR="00642FBB" w:rsidRPr="00611315" w:rsidRDefault="00642FBB">
            <w:pPr>
              <w:jc w:val="center"/>
              <w:rPr>
                <w:rFonts w:ascii="Verdana" w:hAnsi="Verdana"/>
                <w:sz w:val="20"/>
                <w:szCs w:val="20"/>
              </w:rPr>
            </w:pPr>
            <w:r w:rsidRPr="00611315">
              <w:rPr>
                <w:rFonts w:ascii="Verdana" w:hAnsi="Verdana"/>
                <w:sz w:val="20"/>
                <w:szCs w:val="20"/>
              </w:rPr>
              <w:t>900775574</w:t>
            </w:r>
          </w:p>
        </w:tc>
        <w:tc>
          <w:tcPr>
            <w:tcW w:w="4961" w:type="dxa"/>
            <w:tcBorders>
              <w:top w:val="nil"/>
              <w:left w:val="nil"/>
              <w:bottom w:val="single" w:sz="4" w:space="0" w:color="auto"/>
              <w:right w:val="single" w:sz="4" w:space="0" w:color="auto"/>
            </w:tcBorders>
            <w:noWrap/>
            <w:vAlign w:val="center"/>
            <w:hideMark/>
          </w:tcPr>
          <w:p w14:paraId="0D7A6E54" w14:textId="77777777" w:rsidR="00642FBB" w:rsidRPr="00611315" w:rsidRDefault="00642FBB" w:rsidP="00F47B13">
            <w:pPr>
              <w:jc w:val="center"/>
              <w:rPr>
                <w:rFonts w:ascii="Verdana" w:hAnsi="Verdana"/>
                <w:sz w:val="20"/>
                <w:szCs w:val="20"/>
              </w:rPr>
            </w:pPr>
            <w:r w:rsidRPr="00611315">
              <w:rPr>
                <w:rFonts w:ascii="Verdana" w:hAnsi="Verdana"/>
                <w:sz w:val="20"/>
                <w:szCs w:val="20"/>
              </w:rPr>
              <w:t>DBD INGENIERIA S.A.S.</w:t>
            </w:r>
          </w:p>
        </w:tc>
      </w:tr>
      <w:tr w:rsidR="00642FBB" w:rsidRPr="00611315" w14:paraId="5CF549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CABDAAC" w14:textId="77777777" w:rsidR="00642FBB" w:rsidRPr="00611315" w:rsidRDefault="00642FBB">
            <w:pPr>
              <w:jc w:val="center"/>
              <w:rPr>
                <w:rFonts w:ascii="Verdana" w:hAnsi="Verdana"/>
                <w:sz w:val="20"/>
                <w:szCs w:val="20"/>
              </w:rPr>
            </w:pPr>
            <w:r w:rsidRPr="00611315">
              <w:rPr>
                <w:rFonts w:ascii="Verdana" w:hAnsi="Verdana"/>
                <w:sz w:val="20"/>
                <w:szCs w:val="20"/>
              </w:rPr>
              <w:t>901353775</w:t>
            </w:r>
          </w:p>
        </w:tc>
        <w:tc>
          <w:tcPr>
            <w:tcW w:w="4961" w:type="dxa"/>
            <w:tcBorders>
              <w:top w:val="nil"/>
              <w:left w:val="nil"/>
              <w:bottom w:val="single" w:sz="4" w:space="0" w:color="auto"/>
              <w:right w:val="single" w:sz="4" w:space="0" w:color="auto"/>
            </w:tcBorders>
            <w:noWrap/>
            <w:vAlign w:val="center"/>
            <w:hideMark/>
          </w:tcPr>
          <w:p w14:paraId="27F0D3AD" w14:textId="77777777" w:rsidR="00642FBB" w:rsidRPr="00611315" w:rsidRDefault="00642FBB" w:rsidP="00F47B13">
            <w:pPr>
              <w:jc w:val="center"/>
              <w:rPr>
                <w:rFonts w:ascii="Verdana" w:hAnsi="Verdana"/>
                <w:sz w:val="20"/>
                <w:szCs w:val="20"/>
              </w:rPr>
            </w:pPr>
            <w:r w:rsidRPr="00611315">
              <w:rPr>
                <w:rFonts w:ascii="Verdana" w:hAnsi="Verdana"/>
                <w:sz w:val="20"/>
                <w:szCs w:val="20"/>
              </w:rPr>
              <w:t>ESPINA &amp; DELFIN COLOMBIA S.A.S</w:t>
            </w:r>
          </w:p>
        </w:tc>
      </w:tr>
      <w:tr w:rsidR="00642FBB" w:rsidRPr="00611315" w14:paraId="53BE8E1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9116913" w14:textId="77777777" w:rsidR="00642FBB" w:rsidRPr="00611315" w:rsidRDefault="00642FBB">
            <w:pPr>
              <w:jc w:val="center"/>
              <w:rPr>
                <w:rFonts w:ascii="Verdana" w:hAnsi="Verdana"/>
                <w:sz w:val="20"/>
                <w:szCs w:val="20"/>
              </w:rPr>
            </w:pPr>
            <w:r w:rsidRPr="00611315">
              <w:rPr>
                <w:rFonts w:ascii="Verdana" w:hAnsi="Verdana"/>
                <w:sz w:val="20"/>
                <w:szCs w:val="20"/>
              </w:rPr>
              <w:t>900421299</w:t>
            </w:r>
          </w:p>
        </w:tc>
        <w:tc>
          <w:tcPr>
            <w:tcW w:w="4961" w:type="dxa"/>
            <w:tcBorders>
              <w:top w:val="nil"/>
              <w:left w:val="nil"/>
              <w:bottom w:val="single" w:sz="4" w:space="0" w:color="auto"/>
              <w:right w:val="single" w:sz="4" w:space="0" w:color="auto"/>
            </w:tcBorders>
            <w:noWrap/>
            <w:vAlign w:val="center"/>
            <w:hideMark/>
          </w:tcPr>
          <w:p w14:paraId="3BF8D2DF" w14:textId="77777777" w:rsidR="00642FBB" w:rsidRPr="00611315" w:rsidRDefault="00642FBB" w:rsidP="00F47B13">
            <w:pPr>
              <w:jc w:val="center"/>
              <w:rPr>
                <w:rFonts w:ascii="Verdana" w:hAnsi="Verdana"/>
                <w:sz w:val="20"/>
                <w:szCs w:val="20"/>
              </w:rPr>
            </w:pPr>
            <w:r w:rsidRPr="00611315">
              <w:rPr>
                <w:rFonts w:ascii="Verdana" w:hAnsi="Verdana"/>
                <w:sz w:val="20"/>
                <w:szCs w:val="20"/>
              </w:rPr>
              <w:t>ESPINA &amp; DELFIN S.L.</w:t>
            </w:r>
          </w:p>
        </w:tc>
      </w:tr>
      <w:tr w:rsidR="00642FBB" w:rsidRPr="00611315" w14:paraId="2D3333D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05E5429" w14:textId="77777777" w:rsidR="00642FBB" w:rsidRPr="00611315" w:rsidRDefault="00642FBB">
            <w:pPr>
              <w:jc w:val="center"/>
              <w:rPr>
                <w:rFonts w:ascii="Verdana" w:hAnsi="Verdana"/>
                <w:sz w:val="20"/>
                <w:szCs w:val="20"/>
              </w:rPr>
            </w:pPr>
            <w:r w:rsidRPr="00611315">
              <w:rPr>
                <w:rFonts w:ascii="Verdana" w:hAnsi="Verdana"/>
                <w:sz w:val="20"/>
                <w:szCs w:val="20"/>
              </w:rPr>
              <w:t>10277837</w:t>
            </w:r>
          </w:p>
        </w:tc>
        <w:tc>
          <w:tcPr>
            <w:tcW w:w="4961" w:type="dxa"/>
            <w:tcBorders>
              <w:top w:val="nil"/>
              <w:left w:val="nil"/>
              <w:bottom w:val="single" w:sz="4" w:space="0" w:color="auto"/>
              <w:right w:val="single" w:sz="4" w:space="0" w:color="auto"/>
            </w:tcBorders>
            <w:noWrap/>
            <w:vAlign w:val="center"/>
            <w:hideMark/>
          </w:tcPr>
          <w:p w14:paraId="4DCF8521" w14:textId="77777777" w:rsidR="00642FBB" w:rsidRPr="00611315" w:rsidRDefault="00642FBB" w:rsidP="00F47B13">
            <w:pPr>
              <w:jc w:val="center"/>
              <w:rPr>
                <w:rFonts w:ascii="Verdana" w:hAnsi="Verdana"/>
                <w:sz w:val="20"/>
                <w:szCs w:val="20"/>
              </w:rPr>
            </w:pPr>
            <w:r w:rsidRPr="00611315">
              <w:rPr>
                <w:rFonts w:ascii="Verdana" w:hAnsi="Verdana"/>
                <w:sz w:val="20"/>
                <w:szCs w:val="20"/>
              </w:rPr>
              <w:t>ESTRADA JARAMILLO FEDERICO</w:t>
            </w:r>
          </w:p>
        </w:tc>
      </w:tr>
      <w:tr w:rsidR="00642FBB" w:rsidRPr="00611315" w14:paraId="4DF299F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0583AFD" w14:textId="77777777" w:rsidR="00642FBB" w:rsidRPr="00611315" w:rsidRDefault="00642FBB">
            <w:pPr>
              <w:jc w:val="center"/>
              <w:rPr>
                <w:rFonts w:ascii="Verdana" w:hAnsi="Verdana"/>
                <w:sz w:val="20"/>
                <w:szCs w:val="20"/>
              </w:rPr>
            </w:pPr>
            <w:r w:rsidRPr="00611315">
              <w:rPr>
                <w:rFonts w:ascii="Verdana" w:hAnsi="Verdana"/>
                <w:sz w:val="20"/>
                <w:szCs w:val="20"/>
              </w:rPr>
              <w:t>800032277</w:t>
            </w:r>
          </w:p>
        </w:tc>
        <w:tc>
          <w:tcPr>
            <w:tcW w:w="4961" w:type="dxa"/>
            <w:tcBorders>
              <w:top w:val="nil"/>
              <w:left w:val="nil"/>
              <w:bottom w:val="single" w:sz="4" w:space="0" w:color="auto"/>
              <w:right w:val="single" w:sz="4" w:space="0" w:color="auto"/>
            </w:tcBorders>
            <w:noWrap/>
            <w:vAlign w:val="center"/>
            <w:hideMark/>
          </w:tcPr>
          <w:p w14:paraId="73DBAFC2" w14:textId="77777777" w:rsidR="00642FBB" w:rsidRPr="00611315" w:rsidRDefault="00642FBB" w:rsidP="00F47B13">
            <w:pPr>
              <w:jc w:val="center"/>
              <w:rPr>
                <w:rFonts w:ascii="Verdana" w:hAnsi="Verdana"/>
                <w:sz w:val="20"/>
                <w:szCs w:val="20"/>
              </w:rPr>
            </w:pPr>
            <w:r w:rsidRPr="00611315">
              <w:rPr>
                <w:rFonts w:ascii="Verdana" w:hAnsi="Verdana"/>
                <w:sz w:val="20"/>
                <w:szCs w:val="20"/>
              </w:rPr>
              <w:t>ESTUDIOS TECNICOS Y CONSTRUCCIONES S.A.S</w:t>
            </w:r>
          </w:p>
        </w:tc>
      </w:tr>
      <w:tr w:rsidR="00642FBB" w:rsidRPr="00611315" w14:paraId="0F89F26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F0A6A21" w14:textId="77777777" w:rsidR="00642FBB" w:rsidRPr="00611315" w:rsidRDefault="00642FBB">
            <w:pPr>
              <w:jc w:val="center"/>
              <w:rPr>
                <w:rFonts w:ascii="Verdana" w:hAnsi="Verdana"/>
                <w:sz w:val="20"/>
                <w:szCs w:val="20"/>
              </w:rPr>
            </w:pPr>
            <w:r w:rsidRPr="00611315">
              <w:rPr>
                <w:rFonts w:ascii="Verdana" w:hAnsi="Verdana"/>
                <w:sz w:val="20"/>
                <w:szCs w:val="20"/>
              </w:rPr>
              <w:t>901191273</w:t>
            </w:r>
          </w:p>
        </w:tc>
        <w:tc>
          <w:tcPr>
            <w:tcW w:w="4961" w:type="dxa"/>
            <w:tcBorders>
              <w:top w:val="nil"/>
              <w:left w:val="nil"/>
              <w:bottom w:val="single" w:sz="4" w:space="0" w:color="auto"/>
              <w:right w:val="single" w:sz="4" w:space="0" w:color="auto"/>
            </w:tcBorders>
            <w:noWrap/>
            <w:vAlign w:val="center"/>
            <w:hideMark/>
          </w:tcPr>
          <w:p w14:paraId="7D96716A" w14:textId="77777777" w:rsidR="00642FBB" w:rsidRPr="00611315" w:rsidRDefault="00642FBB" w:rsidP="00F47B13">
            <w:pPr>
              <w:jc w:val="center"/>
              <w:rPr>
                <w:rFonts w:ascii="Verdana" w:hAnsi="Verdana"/>
                <w:sz w:val="20"/>
                <w:szCs w:val="20"/>
              </w:rPr>
            </w:pPr>
            <w:r w:rsidRPr="00611315">
              <w:rPr>
                <w:rFonts w:ascii="Verdana" w:hAnsi="Verdana"/>
                <w:sz w:val="20"/>
                <w:szCs w:val="20"/>
              </w:rPr>
              <w:t>GALA INGENIERIA SAS</w:t>
            </w:r>
          </w:p>
        </w:tc>
      </w:tr>
      <w:tr w:rsidR="00642FBB" w:rsidRPr="00041ECD" w14:paraId="6728CB58"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A256635" w14:textId="77777777" w:rsidR="00642FBB" w:rsidRPr="00611315" w:rsidRDefault="00642FBB">
            <w:pPr>
              <w:jc w:val="center"/>
              <w:rPr>
                <w:rFonts w:ascii="Verdana" w:hAnsi="Verdana"/>
                <w:sz w:val="20"/>
                <w:szCs w:val="20"/>
              </w:rPr>
            </w:pPr>
            <w:r w:rsidRPr="00611315">
              <w:rPr>
                <w:rFonts w:ascii="Verdana" w:hAnsi="Verdana"/>
                <w:sz w:val="20"/>
                <w:szCs w:val="20"/>
              </w:rPr>
              <w:t>829002160</w:t>
            </w:r>
          </w:p>
        </w:tc>
        <w:tc>
          <w:tcPr>
            <w:tcW w:w="4961" w:type="dxa"/>
            <w:tcBorders>
              <w:top w:val="nil"/>
              <w:left w:val="nil"/>
              <w:bottom w:val="single" w:sz="4" w:space="0" w:color="auto"/>
              <w:right w:val="single" w:sz="4" w:space="0" w:color="auto"/>
            </w:tcBorders>
            <w:noWrap/>
            <w:vAlign w:val="center"/>
            <w:hideMark/>
          </w:tcPr>
          <w:p w14:paraId="47CEE4B5" w14:textId="77777777" w:rsidR="00642FBB" w:rsidRPr="00611315" w:rsidRDefault="00642FBB" w:rsidP="00F47B13">
            <w:pPr>
              <w:jc w:val="center"/>
              <w:rPr>
                <w:rFonts w:ascii="Verdana" w:hAnsi="Verdana"/>
                <w:sz w:val="20"/>
                <w:szCs w:val="20"/>
                <w:lang w:val="en-US"/>
              </w:rPr>
            </w:pPr>
            <w:r w:rsidRPr="00611315">
              <w:rPr>
                <w:rFonts w:ascii="Verdana" w:hAnsi="Verdana"/>
                <w:sz w:val="20"/>
                <w:szCs w:val="20"/>
                <w:lang w:val="en-US"/>
              </w:rPr>
              <w:t>GLOBAL ENGINEERING AND DESIGN S.A.S.</w:t>
            </w:r>
          </w:p>
        </w:tc>
      </w:tr>
      <w:tr w:rsidR="00642FBB" w:rsidRPr="00611315" w14:paraId="6BEE997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30DD5C6" w14:textId="77777777" w:rsidR="00642FBB" w:rsidRPr="00611315" w:rsidRDefault="00642FBB">
            <w:pPr>
              <w:jc w:val="center"/>
              <w:rPr>
                <w:rFonts w:ascii="Verdana" w:hAnsi="Verdana"/>
                <w:sz w:val="20"/>
                <w:szCs w:val="20"/>
              </w:rPr>
            </w:pPr>
            <w:r w:rsidRPr="00611315">
              <w:rPr>
                <w:rFonts w:ascii="Verdana" w:hAnsi="Verdana"/>
                <w:sz w:val="20"/>
                <w:szCs w:val="20"/>
              </w:rPr>
              <w:t>802001456</w:t>
            </w:r>
          </w:p>
        </w:tc>
        <w:tc>
          <w:tcPr>
            <w:tcW w:w="4961" w:type="dxa"/>
            <w:tcBorders>
              <w:top w:val="nil"/>
              <w:left w:val="nil"/>
              <w:bottom w:val="single" w:sz="4" w:space="0" w:color="auto"/>
              <w:right w:val="single" w:sz="4" w:space="0" w:color="auto"/>
            </w:tcBorders>
            <w:noWrap/>
            <w:vAlign w:val="center"/>
            <w:hideMark/>
          </w:tcPr>
          <w:p w14:paraId="64CEC87F" w14:textId="77777777" w:rsidR="00642FBB" w:rsidRPr="00611315" w:rsidRDefault="00642FBB" w:rsidP="00F47B13">
            <w:pPr>
              <w:jc w:val="center"/>
              <w:rPr>
                <w:rFonts w:ascii="Verdana" w:hAnsi="Verdana"/>
                <w:sz w:val="20"/>
                <w:szCs w:val="20"/>
              </w:rPr>
            </w:pPr>
            <w:r w:rsidRPr="00611315">
              <w:rPr>
                <w:rFonts w:ascii="Verdana" w:hAnsi="Verdana"/>
                <w:sz w:val="20"/>
                <w:szCs w:val="20"/>
              </w:rPr>
              <w:t>GOMYSIL CONSTRUCCIONES S.A.S</w:t>
            </w:r>
          </w:p>
        </w:tc>
      </w:tr>
      <w:tr w:rsidR="00642FBB" w:rsidRPr="00611315" w14:paraId="6966F75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B8312B9" w14:textId="77777777" w:rsidR="00642FBB" w:rsidRPr="00611315" w:rsidRDefault="00642FBB">
            <w:pPr>
              <w:jc w:val="center"/>
              <w:rPr>
                <w:rFonts w:ascii="Verdana" w:hAnsi="Verdana"/>
                <w:sz w:val="20"/>
                <w:szCs w:val="20"/>
              </w:rPr>
            </w:pPr>
            <w:r w:rsidRPr="00611315">
              <w:rPr>
                <w:rFonts w:ascii="Verdana" w:hAnsi="Verdana"/>
                <w:sz w:val="20"/>
                <w:szCs w:val="20"/>
              </w:rPr>
              <w:t>830110735</w:t>
            </w:r>
          </w:p>
        </w:tc>
        <w:tc>
          <w:tcPr>
            <w:tcW w:w="4961" w:type="dxa"/>
            <w:tcBorders>
              <w:top w:val="nil"/>
              <w:left w:val="nil"/>
              <w:bottom w:val="single" w:sz="4" w:space="0" w:color="auto"/>
              <w:right w:val="single" w:sz="4" w:space="0" w:color="auto"/>
            </w:tcBorders>
            <w:noWrap/>
            <w:vAlign w:val="center"/>
            <w:hideMark/>
          </w:tcPr>
          <w:p w14:paraId="2E72139B" w14:textId="77777777" w:rsidR="00642FBB" w:rsidRPr="00611315" w:rsidRDefault="00642FBB" w:rsidP="00F47B13">
            <w:pPr>
              <w:jc w:val="center"/>
              <w:rPr>
                <w:rFonts w:ascii="Verdana" w:hAnsi="Verdana"/>
                <w:sz w:val="20"/>
                <w:szCs w:val="20"/>
              </w:rPr>
            </w:pPr>
            <w:r w:rsidRPr="00611315">
              <w:rPr>
                <w:rFonts w:ascii="Verdana" w:hAnsi="Verdana"/>
                <w:sz w:val="20"/>
                <w:szCs w:val="20"/>
              </w:rPr>
              <w:t>GRUPO CONSTRUCTOR PRISMA S.A.S.</w:t>
            </w:r>
          </w:p>
        </w:tc>
      </w:tr>
      <w:tr w:rsidR="00642FBB" w:rsidRPr="00611315" w14:paraId="7983D900"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E2B1913" w14:textId="77777777" w:rsidR="00642FBB" w:rsidRPr="00611315" w:rsidRDefault="00642FBB">
            <w:pPr>
              <w:jc w:val="center"/>
              <w:rPr>
                <w:rFonts w:ascii="Verdana" w:hAnsi="Verdana"/>
                <w:sz w:val="20"/>
                <w:szCs w:val="20"/>
              </w:rPr>
            </w:pPr>
            <w:r w:rsidRPr="00611315">
              <w:rPr>
                <w:rFonts w:ascii="Verdana" w:hAnsi="Verdana"/>
                <w:sz w:val="20"/>
                <w:szCs w:val="20"/>
              </w:rPr>
              <w:t>901613617</w:t>
            </w:r>
          </w:p>
        </w:tc>
        <w:tc>
          <w:tcPr>
            <w:tcW w:w="4961" w:type="dxa"/>
            <w:tcBorders>
              <w:top w:val="nil"/>
              <w:left w:val="nil"/>
              <w:bottom w:val="single" w:sz="4" w:space="0" w:color="auto"/>
              <w:right w:val="single" w:sz="4" w:space="0" w:color="auto"/>
            </w:tcBorders>
            <w:noWrap/>
            <w:vAlign w:val="center"/>
            <w:hideMark/>
          </w:tcPr>
          <w:p w14:paraId="466DB349" w14:textId="77777777" w:rsidR="00642FBB" w:rsidRPr="00611315" w:rsidRDefault="00642FBB" w:rsidP="00F47B13">
            <w:pPr>
              <w:jc w:val="center"/>
              <w:rPr>
                <w:rFonts w:ascii="Verdana" w:hAnsi="Verdana"/>
                <w:sz w:val="20"/>
                <w:szCs w:val="20"/>
              </w:rPr>
            </w:pPr>
            <w:r w:rsidRPr="00611315">
              <w:rPr>
                <w:rFonts w:ascii="Verdana" w:hAnsi="Verdana"/>
                <w:sz w:val="20"/>
                <w:szCs w:val="20"/>
              </w:rPr>
              <w:t>GRUPO EGV CONSTRUCCIONES ZOMAC S.A.S.</w:t>
            </w:r>
          </w:p>
        </w:tc>
      </w:tr>
      <w:tr w:rsidR="00642FBB" w:rsidRPr="00611315" w14:paraId="608C271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228BAE7" w14:textId="77777777" w:rsidR="00642FBB" w:rsidRPr="00611315" w:rsidRDefault="00642FBB">
            <w:pPr>
              <w:jc w:val="center"/>
              <w:rPr>
                <w:rFonts w:ascii="Verdana" w:hAnsi="Verdana"/>
                <w:sz w:val="20"/>
                <w:szCs w:val="20"/>
              </w:rPr>
            </w:pPr>
            <w:r w:rsidRPr="00611315">
              <w:rPr>
                <w:rFonts w:ascii="Verdana" w:hAnsi="Verdana"/>
                <w:sz w:val="20"/>
                <w:szCs w:val="20"/>
              </w:rPr>
              <w:t>901303548</w:t>
            </w:r>
          </w:p>
        </w:tc>
        <w:tc>
          <w:tcPr>
            <w:tcW w:w="4961" w:type="dxa"/>
            <w:tcBorders>
              <w:top w:val="nil"/>
              <w:left w:val="nil"/>
              <w:bottom w:val="single" w:sz="4" w:space="0" w:color="auto"/>
              <w:right w:val="single" w:sz="4" w:space="0" w:color="auto"/>
            </w:tcBorders>
            <w:noWrap/>
            <w:vAlign w:val="center"/>
            <w:hideMark/>
          </w:tcPr>
          <w:p w14:paraId="7F970AF4" w14:textId="77777777" w:rsidR="00642FBB" w:rsidRPr="00611315" w:rsidRDefault="00642FBB" w:rsidP="00F47B13">
            <w:pPr>
              <w:jc w:val="center"/>
              <w:rPr>
                <w:rFonts w:ascii="Verdana" w:hAnsi="Verdana"/>
                <w:sz w:val="20"/>
                <w:szCs w:val="20"/>
              </w:rPr>
            </w:pPr>
            <w:r w:rsidRPr="00611315">
              <w:rPr>
                <w:rFonts w:ascii="Verdana" w:hAnsi="Verdana"/>
                <w:sz w:val="20"/>
                <w:szCs w:val="20"/>
              </w:rPr>
              <w:t>HAIFA HYDRAULIC SOLUTIONS SAS</w:t>
            </w:r>
          </w:p>
        </w:tc>
      </w:tr>
      <w:tr w:rsidR="00642FBB" w:rsidRPr="00611315" w14:paraId="1F6A9DE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BC40E97" w14:textId="77777777" w:rsidR="00642FBB" w:rsidRPr="00611315" w:rsidRDefault="00642FBB">
            <w:pPr>
              <w:jc w:val="center"/>
              <w:rPr>
                <w:rFonts w:ascii="Verdana" w:hAnsi="Verdana"/>
                <w:sz w:val="20"/>
                <w:szCs w:val="20"/>
              </w:rPr>
            </w:pPr>
            <w:r w:rsidRPr="00611315">
              <w:rPr>
                <w:rFonts w:ascii="Verdana" w:hAnsi="Verdana"/>
                <w:sz w:val="20"/>
                <w:szCs w:val="20"/>
              </w:rPr>
              <w:t>901663824</w:t>
            </w:r>
          </w:p>
        </w:tc>
        <w:tc>
          <w:tcPr>
            <w:tcW w:w="4961" w:type="dxa"/>
            <w:tcBorders>
              <w:top w:val="nil"/>
              <w:left w:val="nil"/>
              <w:bottom w:val="single" w:sz="4" w:space="0" w:color="auto"/>
              <w:right w:val="single" w:sz="4" w:space="0" w:color="auto"/>
            </w:tcBorders>
            <w:noWrap/>
            <w:vAlign w:val="center"/>
            <w:hideMark/>
          </w:tcPr>
          <w:p w14:paraId="2B70BF60" w14:textId="77777777" w:rsidR="00642FBB" w:rsidRPr="00611315" w:rsidRDefault="00642FBB" w:rsidP="00F47B13">
            <w:pPr>
              <w:jc w:val="center"/>
              <w:rPr>
                <w:rFonts w:ascii="Verdana" w:hAnsi="Verdana"/>
                <w:sz w:val="20"/>
                <w:szCs w:val="20"/>
              </w:rPr>
            </w:pPr>
            <w:r w:rsidRPr="00611315">
              <w:rPr>
                <w:rFonts w:ascii="Verdana" w:hAnsi="Verdana"/>
                <w:sz w:val="20"/>
                <w:szCs w:val="20"/>
              </w:rPr>
              <w:t>INGENIERIA Y CONSTRUCCIONES SAN FRANCISCO SAS</w:t>
            </w:r>
          </w:p>
        </w:tc>
      </w:tr>
      <w:tr w:rsidR="00642FBB" w:rsidRPr="00611315" w14:paraId="28B6CD4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8390441" w14:textId="77777777" w:rsidR="00642FBB" w:rsidRPr="00611315" w:rsidRDefault="00642FBB">
            <w:pPr>
              <w:jc w:val="center"/>
              <w:rPr>
                <w:rFonts w:ascii="Verdana" w:hAnsi="Verdana"/>
                <w:sz w:val="20"/>
                <w:szCs w:val="20"/>
              </w:rPr>
            </w:pPr>
            <w:r w:rsidRPr="00611315">
              <w:rPr>
                <w:rFonts w:ascii="Verdana" w:hAnsi="Verdana"/>
                <w:sz w:val="20"/>
                <w:szCs w:val="20"/>
              </w:rPr>
              <w:t>901249383</w:t>
            </w:r>
          </w:p>
        </w:tc>
        <w:tc>
          <w:tcPr>
            <w:tcW w:w="4961" w:type="dxa"/>
            <w:tcBorders>
              <w:top w:val="nil"/>
              <w:left w:val="nil"/>
              <w:bottom w:val="single" w:sz="4" w:space="0" w:color="auto"/>
              <w:right w:val="single" w:sz="4" w:space="0" w:color="auto"/>
            </w:tcBorders>
            <w:noWrap/>
            <w:vAlign w:val="center"/>
            <w:hideMark/>
          </w:tcPr>
          <w:p w14:paraId="1E65212F" w14:textId="77777777" w:rsidR="00642FBB" w:rsidRPr="00611315" w:rsidRDefault="00642FBB" w:rsidP="00F47B13">
            <w:pPr>
              <w:jc w:val="center"/>
              <w:rPr>
                <w:rFonts w:ascii="Verdana" w:hAnsi="Verdana"/>
                <w:sz w:val="20"/>
                <w:szCs w:val="20"/>
              </w:rPr>
            </w:pPr>
            <w:r w:rsidRPr="00611315">
              <w:rPr>
                <w:rFonts w:ascii="Verdana" w:hAnsi="Verdana"/>
                <w:sz w:val="20"/>
                <w:szCs w:val="20"/>
              </w:rPr>
              <w:t>KAP CONSTRUCCIONES S.A.S</w:t>
            </w:r>
          </w:p>
        </w:tc>
      </w:tr>
      <w:tr w:rsidR="00642FBB" w:rsidRPr="00611315" w14:paraId="23224D6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7EF233F" w14:textId="77777777" w:rsidR="00642FBB" w:rsidRPr="00611315" w:rsidRDefault="00642FBB">
            <w:pPr>
              <w:jc w:val="center"/>
              <w:rPr>
                <w:rFonts w:ascii="Verdana" w:hAnsi="Verdana"/>
                <w:sz w:val="20"/>
                <w:szCs w:val="20"/>
              </w:rPr>
            </w:pPr>
            <w:r w:rsidRPr="00611315">
              <w:rPr>
                <w:rFonts w:ascii="Verdana" w:hAnsi="Verdana"/>
                <w:sz w:val="20"/>
                <w:szCs w:val="20"/>
              </w:rPr>
              <w:t>901558067</w:t>
            </w:r>
          </w:p>
        </w:tc>
        <w:tc>
          <w:tcPr>
            <w:tcW w:w="4961" w:type="dxa"/>
            <w:tcBorders>
              <w:top w:val="nil"/>
              <w:left w:val="nil"/>
              <w:bottom w:val="single" w:sz="4" w:space="0" w:color="auto"/>
              <w:right w:val="single" w:sz="4" w:space="0" w:color="auto"/>
            </w:tcBorders>
            <w:noWrap/>
            <w:vAlign w:val="center"/>
            <w:hideMark/>
          </w:tcPr>
          <w:p w14:paraId="7C27EFAA" w14:textId="77777777" w:rsidR="00642FBB" w:rsidRPr="00611315" w:rsidRDefault="00642FBB" w:rsidP="00F47B13">
            <w:pPr>
              <w:jc w:val="center"/>
              <w:rPr>
                <w:rFonts w:ascii="Verdana" w:hAnsi="Verdana"/>
                <w:sz w:val="20"/>
                <w:szCs w:val="20"/>
              </w:rPr>
            </w:pPr>
            <w:r w:rsidRPr="00611315">
              <w:rPr>
                <w:rFonts w:ascii="Verdana" w:hAnsi="Verdana"/>
                <w:sz w:val="20"/>
                <w:szCs w:val="20"/>
              </w:rPr>
              <w:t>MANGO CONSTRUCCIONES S.A.S.</w:t>
            </w:r>
          </w:p>
        </w:tc>
      </w:tr>
      <w:tr w:rsidR="00642FBB" w:rsidRPr="00611315" w14:paraId="4ACB378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6008A56" w14:textId="77777777" w:rsidR="00642FBB" w:rsidRPr="00611315" w:rsidRDefault="00642FBB">
            <w:pPr>
              <w:jc w:val="center"/>
              <w:rPr>
                <w:rFonts w:ascii="Verdana" w:hAnsi="Verdana"/>
                <w:sz w:val="20"/>
                <w:szCs w:val="20"/>
              </w:rPr>
            </w:pPr>
            <w:r w:rsidRPr="00611315">
              <w:rPr>
                <w:rFonts w:ascii="Verdana" w:hAnsi="Verdana"/>
                <w:sz w:val="20"/>
                <w:szCs w:val="20"/>
              </w:rPr>
              <w:t>901611331</w:t>
            </w:r>
          </w:p>
        </w:tc>
        <w:tc>
          <w:tcPr>
            <w:tcW w:w="4961" w:type="dxa"/>
            <w:tcBorders>
              <w:top w:val="nil"/>
              <w:left w:val="nil"/>
              <w:bottom w:val="single" w:sz="4" w:space="0" w:color="auto"/>
              <w:right w:val="single" w:sz="4" w:space="0" w:color="auto"/>
            </w:tcBorders>
            <w:noWrap/>
            <w:vAlign w:val="center"/>
            <w:hideMark/>
          </w:tcPr>
          <w:p w14:paraId="0DC7F33E" w14:textId="77777777" w:rsidR="00642FBB" w:rsidRPr="00611315" w:rsidRDefault="00642FBB" w:rsidP="00F47B13">
            <w:pPr>
              <w:jc w:val="center"/>
              <w:rPr>
                <w:rFonts w:ascii="Verdana" w:hAnsi="Verdana"/>
                <w:sz w:val="20"/>
                <w:szCs w:val="20"/>
              </w:rPr>
            </w:pPr>
            <w:r w:rsidRPr="00611315">
              <w:rPr>
                <w:rFonts w:ascii="Verdana" w:hAnsi="Verdana"/>
                <w:sz w:val="20"/>
                <w:szCs w:val="20"/>
              </w:rPr>
              <w:t>MIRAFLOREZ CIVILES S.A.S.</w:t>
            </w:r>
          </w:p>
        </w:tc>
      </w:tr>
      <w:tr w:rsidR="00642FBB" w:rsidRPr="00611315" w14:paraId="2765302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11D79F3" w14:textId="77777777" w:rsidR="00642FBB" w:rsidRPr="00611315" w:rsidRDefault="00642FBB">
            <w:pPr>
              <w:jc w:val="center"/>
              <w:rPr>
                <w:rFonts w:ascii="Verdana" w:hAnsi="Verdana"/>
                <w:sz w:val="20"/>
                <w:szCs w:val="20"/>
              </w:rPr>
            </w:pPr>
            <w:r w:rsidRPr="00611315">
              <w:rPr>
                <w:rFonts w:ascii="Verdana" w:hAnsi="Verdana"/>
                <w:sz w:val="20"/>
                <w:szCs w:val="20"/>
              </w:rPr>
              <w:t>901628534</w:t>
            </w:r>
          </w:p>
        </w:tc>
        <w:tc>
          <w:tcPr>
            <w:tcW w:w="4961" w:type="dxa"/>
            <w:tcBorders>
              <w:top w:val="nil"/>
              <w:left w:val="nil"/>
              <w:bottom w:val="single" w:sz="4" w:space="0" w:color="auto"/>
              <w:right w:val="single" w:sz="4" w:space="0" w:color="auto"/>
            </w:tcBorders>
            <w:noWrap/>
            <w:vAlign w:val="center"/>
            <w:hideMark/>
          </w:tcPr>
          <w:p w14:paraId="12DC458F" w14:textId="77777777" w:rsidR="00642FBB" w:rsidRPr="00611315" w:rsidRDefault="00642FBB" w:rsidP="00F47B13">
            <w:pPr>
              <w:jc w:val="center"/>
              <w:rPr>
                <w:rFonts w:ascii="Verdana" w:hAnsi="Verdana"/>
                <w:sz w:val="20"/>
                <w:szCs w:val="20"/>
              </w:rPr>
            </w:pPr>
            <w:r w:rsidRPr="00611315">
              <w:rPr>
                <w:rFonts w:ascii="Verdana" w:hAnsi="Verdana"/>
                <w:sz w:val="20"/>
                <w:szCs w:val="20"/>
              </w:rPr>
              <w:t>MT CONSTRUCCION Y DISEÑO DE PROYECTO S.A.S.</w:t>
            </w:r>
          </w:p>
        </w:tc>
      </w:tr>
      <w:tr w:rsidR="00642FBB" w:rsidRPr="00611315" w14:paraId="7371F9B8"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FF61526" w14:textId="77777777" w:rsidR="00642FBB" w:rsidRPr="00611315" w:rsidRDefault="00642FBB">
            <w:pPr>
              <w:jc w:val="center"/>
              <w:rPr>
                <w:rFonts w:ascii="Verdana" w:hAnsi="Verdana"/>
                <w:sz w:val="20"/>
                <w:szCs w:val="20"/>
              </w:rPr>
            </w:pPr>
            <w:r w:rsidRPr="00611315">
              <w:rPr>
                <w:rFonts w:ascii="Verdana" w:hAnsi="Verdana"/>
                <w:sz w:val="20"/>
                <w:szCs w:val="20"/>
              </w:rPr>
              <w:t>11033110</w:t>
            </w:r>
          </w:p>
        </w:tc>
        <w:tc>
          <w:tcPr>
            <w:tcW w:w="4961" w:type="dxa"/>
            <w:tcBorders>
              <w:top w:val="nil"/>
              <w:left w:val="nil"/>
              <w:bottom w:val="single" w:sz="4" w:space="0" w:color="auto"/>
              <w:right w:val="single" w:sz="4" w:space="0" w:color="auto"/>
            </w:tcBorders>
            <w:noWrap/>
            <w:vAlign w:val="center"/>
            <w:hideMark/>
          </w:tcPr>
          <w:p w14:paraId="4E9634BC" w14:textId="77777777" w:rsidR="00642FBB" w:rsidRPr="00611315" w:rsidRDefault="00642FBB" w:rsidP="00F47B13">
            <w:pPr>
              <w:jc w:val="center"/>
              <w:rPr>
                <w:rFonts w:ascii="Verdana" w:hAnsi="Verdana"/>
                <w:sz w:val="20"/>
                <w:szCs w:val="20"/>
              </w:rPr>
            </w:pPr>
            <w:r w:rsidRPr="00611315">
              <w:rPr>
                <w:rFonts w:ascii="Verdana" w:hAnsi="Verdana"/>
                <w:sz w:val="20"/>
                <w:szCs w:val="20"/>
              </w:rPr>
              <w:t>PEREZ SOLANO ARCADIO ALBERTO</w:t>
            </w:r>
          </w:p>
        </w:tc>
      </w:tr>
      <w:tr w:rsidR="00642FBB" w:rsidRPr="00611315" w14:paraId="6332104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685F77C" w14:textId="77777777" w:rsidR="00642FBB" w:rsidRPr="00611315" w:rsidRDefault="00642FBB">
            <w:pPr>
              <w:jc w:val="center"/>
              <w:rPr>
                <w:rFonts w:ascii="Verdana" w:hAnsi="Verdana"/>
                <w:sz w:val="20"/>
                <w:szCs w:val="20"/>
              </w:rPr>
            </w:pPr>
            <w:r w:rsidRPr="00611315">
              <w:rPr>
                <w:rFonts w:ascii="Verdana" w:hAnsi="Verdana"/>
                <w:sz w:val="20"/>
                <w:szCs w:val="20"/>
              </w:rPr>
              <w:t>901410618</w:t>
            </w:r>
          </w:p>
        </w:tc>
        <w:tc>
          <w:tcPr>
            <w:tcW w:w="4961" w:type="dxa"/>
            <w:tcBorders>
              <w:top w:val="nil"/>
              <w:left w:val="nil"/>
              <w:bottom w:val="single" w:sz="4" w:space="0" w:color="auto"/>
              <w:right w:val="single" w:sz="4" w:space="0" w:color="auto"/>
            </w:tcBorders>
            <w:noWrap/>
            <w:vAlign w:val="center"/>
            <w:hideMark/>
          </w:tcPr>
          <w:p w14:paraId="0C7442C4" w14:textId="77777777" w:rsidR="00642FBB" w:rsidRPr="00611315" w:rsidRDefault="00642FBB" w:rsidP="00F47B13">
            <w:pPr>
              <w:jc w:val="center"/>
              <w:rPr>
                <w:rFonts w:ascii="Verdana" w:hAnsi="Verdana"/>
                <w:sz w:val="20"/>
                <w:szCs w:val="20"/>
              </w:rPr>
            </w:pPr>
            <w:r w:rsidRPr="00611315">
              <w:rPr>
                <w:rFonts w:ascii="Verdana" w:hAnsi="Verdana"/>
                <w:sz w:val="20"/>
                <w:szCs w:val="20"/>
              </w:rPr>
              <w:t>VERNIER INFRAESTRUCTURAS S.A.S</w:t>
            </w:r>
          </w:p>
        </w:tc>
      </w:tr>
      <w:tr w:rsidR="00642FBB" w:rsidRPr="00611315" w14:paraId="19C874B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2A73AAE" w14:textId="77777777" w:rsidR="00642FBB" w:rsidRPr="00611315" w:rsidRDefault="00642FBB">
            <w:pPr>
              <w:jc w:val="center"/>
              <w:rPr>
                <w:rFonts w:ascii="Verdana" w:hAnsi="Verdana"/>
                <w:sz w:val="20"/>
                <w:szCs w:val="20"/>
              </w:rPr>
            </w:pPr>
            <w:r w:rsidRPr="00611315">
              <w:rPr>
                <w:rFonts w:ascii="Verdana" w:hAnsi="Verdana"/>
                <w:sz w:val="20"/>
                <w:szCs w:val="20"/>
              </w:rPr>
              <w:t>901566942</w:t>
            </w:r>
          </w:p>
        </w:tc>
        <w:tc>
          <w:tcPr>
            <w:tcW w:w="4961" w:type="dxa"/>
            <w:tcBorders>
              <w:top w:val="nil"/>
              <w:left w:val="nil"/>
              <w:bottom w:val="single" w:sz="4" w:space="0" w:color="auto"/>
              <w:right w:val="single" w:sz="4" w:space="0" w:color="auto"/>
            </w:tcBorders>
            <w:noWrap/>
            <w:vAlign w:val="center"/>
            <w:hideMark/>
          </w:tcPr>
          <w:p w14:paraId="3482D23E" w14:textId="77777777" w:rsidR="00642FBB" w:rsidRPr="00611315" w:rsidRDefault="00642FBB" w:rsidP="00F47B13">
            <w:pPr>
              <w:jc w:val="center"/>
              <w:rPr>
                <w:rFonts w:ascii="Verdana" w:hAnsi="Verdana"/>
                <w:sz w:val="20"/>
                <w:szCs w:val="20"/>
              </w:rPr>
            </w:pPr>
            <w:r w:rsidRPr="00611315">
              <w:rPr>
                <w:rFonts w:ascii="Verdana" w:hAnsi="Verdana"/>
                <w:sz w:val="20"/>
                <w:szCs w:val="20"/>
              </w:rPr>
              <w:t>VIBAR INGENIERIA S.A.S</w:t>
            </w:r>
          </w:p>
        </w:tc>
      </w:tr>
      <w:tr w:rsidR="00642FBB" w:rsidRPr="00611315" w14:paraId="584DACA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A330C77" w14:textId="77777777" w:rsidR="00642FBB" w:rsidRPr="00611315" w:rsidRDefault="00642FBB">
            <w:pPr>
              <w:jc w:val="center"/>
              <w:rPr>
                <w:rFonts w:ascii="Verdana" w:hAnsi="Verdana"/>
                <w:sz w:val="20"/>
                <w:szCs w:val="20"/>
              </w:rPr>
            </w:pPr>
            <w:r w:rsidRPr="00611315">
              <w:rPr>
                <w:rFonts w:ascii="Verdana" w:hAnsi="Verdana"/>
                <w:sz w:val="20"/>
                <w:szCs w:val="20"/>
              </w:rPr>
              <w:t>5991873</w:t>
            </w:r>
          </w:p>
        </w:tc>
        <w:tc>
          <w:tcPr>
            <w:tcW w:w="4961" w:type="dxa"/>
            <w:tcBorders>
              <w:top w:val="nil"/>
              <w:left w:val="nil"/>
              <w:bottom w:val="single" w:sz="4" w:space="0" w:color="auto"/>
              <w:right w:val="single" w:sz="4" w:space="0" w:color="auto"/>
            </w:tcBorders>
            <w:noWrap/>
            <w:vAlign w:val="center"/>
            <w:hideMark/>
          </w:tcPr>
          <w:p w14:paraId="53720599" w14:textId="77777777" w:rsidR="00642FBB" w:rsidRPr="00611315" w:rsidRDefault="00642FBB" w:rsidP="00F47B13">
            <w:pPr>
              <w:jc w:val="center"/>
              <w:rPr>
                <w:rFonts w:ascii="Verdana" w:hAnsi="Verdana"/>
                <w:sz w:val="20"/>
                <w:szCs w:val="20"/>
              </w:rPr>
            </w:pPr>
            <w:r w:rsidRPr="00611315">
              <w:rPr>
                <w:rFonts w:ascii="Verdana" w:hAnsi="Verdana"/>
                <w:sz w:val="20"/>
                <w:szCs w:val="20"/>
              </w:rPr>
              <w:br/>
              <w:t>PEDRO JULIO CARRILLO RODRIGUEZ</w:t>
            </w:r>
          </w:p>
        </w:tc>
      </w:tr>
      <w:tr w:rsidR="00642FBB" w:rsidRPr="00611315" w14:paraId="5A462C7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6E555FD" w14:textId="77777777" w:rsidR="00642FBB" w:rsidRPr="00611315" w:rsidRDefault="00642FBB">
            <w:pPr>
              <w:jc w:val="center"/>
              <w:rPr>
                <w:rFonts w:ascii="Verdana" w:hAnsi="Verdana"/>
                <w:sz w:val="20"/>
                <w:szCs w:val="20"/>
              </w:rPr>
            </w:pPr>
            <w:r w:rsidRPr="00611315">
              <w:rPr>
                <w:rFonts w:ascii="Verdana" w:hAnsi="Verdana"/>
                <w:sz w:val="20"/>
                <w:szCs w:val="20"/>
              </w:rPr>
              <w:t>830010728</w:t>
            </w:r>
          </w:p>
        </w:tc>
        <w:tc>
          <w:tcPr>
            <w:tcW w:w="4961" w:type="dxa"/>
            <w:tcBorders>
              <w:top w:val="nil"/>
              <w:left w:val="nil"/>
              <w:bottom w:val="single" w:sz="4" w:space="0" w:color="auto"/>
              <w:right w:val="single" w:sz="4" w:space="0" w:color="auto"/>
            </w:tcBorders>
            <w:noWrap/>
            <w:vAlign w:val="center"/>
            <w:hideMark/>
          </w:tcPr>
          <w:p w14:paraId="1720A427" w14:textId="77777777" w:rsidR="00642FBB" w:rsidRPr="00611315" w:rsidRDefault="00642FBB" w:rsidP="00F47B13">
            <w:pPr>
              <w:jc w:val="center"/>
              <w:rPr>
                <w:rFonts w:ascii="Verdana" w:hAnsi="Verdana"/>
                <w:sz w:val="20"/>
                <w:szCs w:val="20"/>
              </w:rPr>
            </w:pPr>
            <w:r w:rsidRPr="00611315">
              <w:rPr>
                <w:rFonts w:ascii="Verdana" w:hAnsi="Verdana"/>
                <w:sz w:val="20"/>
                <w:szCs w:val="20"/>
              </w:rPr>
              <w:t>ECOCIVIL SAS - ESTRUCTURAS Y OBRAS CIVILES - S.A.S.</w:t>
            </w:r>
          </w:p>
        </w:tc>
      </w:tr>
      <w:tr w:rsidR="00642FBB" w:rsidRPr="00611315" w14:paraId="673D547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124587F" w14:textId="77777777" w:rsidR="00642FBB" w:rsidRPr="00611315" w:rsidRDefault="00642FBB">
            <w:pPr>
              <w:jc w:val="center"/>
              <w:rPr>
                <w:rFonts w:ascii="Verdana" w:hAnsi="Verdana"/>
                <w:sz w:val="20"/>
                <w:szCs w:val="20"/>
              </w:rPr>
            </w:pPr>
            <w:r w:rsidRPr="00611315">
              <w:rPr>
                <w:rFonts w:ascii="Verdana" w:hAnsi="Verdana"/>
                <w:sz w:val="20"/>
                <w:szCs w:val="20"/>
              </w:rPr>
              <w:t>800250918</w:t>
            </w:r>
          </w:p>
        </w:tc>
        <w:tc>
          <w:tcPr>
            <w:tcW w:w="4961" w:type="dxa"/>
            <w:tcBorders>
              <w:top w:val="nil"/>
              <w:left w:val="nil"/>
              <w:bottom w:val="single" w:sz="4" w:space="0" w:color="auto"/>
              <w:right w:val="single" w:sz="4" w:space="0" w:color="auto"/>
            </w:tcBorders>
            <w:noWrap/>
            <w:vAlign w:val="center"/>
            <w:hideMark/>
          </w:tcPr>
          <w:p w14:paraId="7A63F1BA" w14:textId="77777777" w:rsidR="00642FBB" w:rsidRPr="00611315" w:rsidRDefault="00642FBB" w:rsidP="00F47B13">
            <w:pPr>
              <w:jc w:val="center"/>
              <w:rPr>
                <w:rFonts w:ascii="Verdana" w:hAnsi="Verdana"/>
                <w:sz w:val="20"/>
                <w:szCs w:val="20"/>
              </w:rPr>
            </w:pPr>
            <w:r w:rsidRPr="00611315">
              <w:rPr>
                <w:rFonts w:ascii="Verdana" w:hAnsi="Verdana"/>
                <w:sz w:val="20"/>
                <w:szCs w:val="20"/>
              </w:rPr>
              <w:br/>
              <w:t>ACUAMEUNIERSAS</w:t>
            </w:r>
          </w:p>
        </w:tc>
      </w:tr>
      <w:tr w:rsidR="00642FBB" w:rsidRPr="00611315" w14:paraId="083DF3A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6DF6394" w14:textId="77777777" w:rsidR="00642FBB" w:rsidRPr="00611315" w:rsidRDefault="00642FBB">
            <w:pPr>
              <w:jc w:val="center"/>
              <w:rPr>
                <w:rFonts w:ascii="Verdana" w:hAnsi="Verdana"/>
                <w:sz w:val="20"/>
                <w:szCs w:val="20"/>
              </w:rPr>
            </w:pPr>
            <w:r w:rsidRPr="00611315">
              <w:rPr>
                <w:rFonts w:ascii="Verdana" w:hAnsi="Verdana"/>
                <w:sz w:val="20"/>
                <w:szCs w:val="20"/>
              </w:rPr>
              <w:t>19106280</w:t>
            </w:r>
          </w:p>
        </w:tc>
        <w:tc>
          <w:tcPr>
            <w:tcW w:w="4961" w:type="dxa"/>
            <w:tcBorders>
              <w:top w:val="nil"/>
              <w:left w:val="nil"/>
              <w:bottom w:val="single" w:sz="4" w:space="0" w:color="auto"/>
              <w:right w:val="single" w:sz="4" w:space="0" w:color="auto"/>
            </w:tcBorders>
            <w:noWrap/>
            <w:vAlign w:val="center"/>
            <w:hideMark/>
          </w:tcPr>
          <w:p w14:paraId="32FBFDA2" w14:textId="77777777" w:rsidR="00642FBB" w:rsidRPr="00611315" w:rsidRDefault="00642FBB" w:rsidP="00F47B13">
            <w:pPr>
              <w:jc w:val="center"/>
              <w:rPr>
                <w:rFonts w:ascii="Verdana" w:hAnsi="Verdana"/>
                <w:sz w:val="20"/>
                <w:szCs w:val="20"/>
              </w:rPr>
            </w:pPr>
            <w:r w:rsidRPr="00611315">
              <w:rPr>
                <w:rFonts w:ascii="Verdana" w:hAnsi="Verdana"/>
                <w:sz w:val="20"/>
                <w:szCs w:val="20"/>
              </w:rPr>
              <w:t>ARIAS DUQUE HUGO ALBERTO</w:t>
            </w:r>
          </w:p>
        </w:tc>
      </w:tr>
      <w:tr w:rsidR="00642FBB" w:rsidRPr="00611315" w14:paraId="76349871"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BB982FE" w14:textId="77777777" w:rsidR="00642FBB" w:rsidRPr="00611315" w:rsidRDefault="00642FBB">
            <w:pPr>
              <w:jc w:val="center"/>
              <w:rPr>
                <w:rFonts w:ascii="Verdana" w:hAnsi="Verdana"/>
                <w:sz w:val="20"/>
                <w:szCs w:val="20"/>
              </w:rPr>
            </w:pPr>
            <w:r w:rsidRPr="00611315">
              <w:rPr>
                <w:rFonts w:ascii="Verdana" w:hAnsi="Verdana"/>
                <w:sz w:val="20"/>
                <w:szCs w:val="20"/>
              </w:rPr>
              <w:lastRenderedPageBreak/>
              <w:t>900940418</w:t>
            </w:r>
          </w:p>
        </w:tc>
        <w:tc>
          <w:tcPr>
            <w:tcW w:w="4961" w:type="dxa"/>
            <w:tcBorders>
              <w:top w:val="nil"/>
              <w:left w:val="nil"/>
              <w:bottom w:val="single" w:sz="4" w:space="0" w:color="auto"/>
              <w:right w:val="single" w:sz="4" w:space="0" w:color="auto"/>
            </w:tcBorders>
            <w:noWrap/>
            <w:vAlign w:val="center"/>
            <w:hideMark/>
          </w:tcPr>
          <w:p w14:paraId="26E339FE" w14:textId="77777777" w:rsidR="00642FBB" w:rsidRPr="00611315" w:rsidRDefault="00642FBB" w:rsidP="00F47B13">
            <w:pPr>
              <w:jc w:val="center"/>
              <w:rPr>
                <w:rFonts w:ascii="Verdana" w:hAnsi="Verdana"/>
                <w:sz w:val="20"/>
                <w:szCs w:val="20"/>
              </w:rPr>
            </w:pPr>
            <w:r w:rsidRPr="00611315">
              <w:rPr>
                <w:rFonts w:ascii="Verdana" w:hAnsi="Verdana"/>
                <w:sz w:val="20"/>
                <w:szCs w:val="20"/>
              </w:rPr>
              <w:t>COMPAÑIA ABC S.A.S</w:t>
            </w:r>
          </w:p>
        </w:tc>
      </w:tr>
      <w:tr w:rsidR="00642FBB" w:rsidRPr="00611315" w14:paraId="1CE4FCF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AC918B7" w14:textId="77777777" w:rsidR="00642FBB" w:rsidRPr="00611315" w:rsidRDefault="00642FBB">
            <w:pPr>
              <w:jc w:val="center"/>
              <w:rPr>
                <w:rFonts w:ascii="Verdana" w:hAnsi="Verdana"/>
                <w:sz w:val="20"/>
                <w:szCs w:val="20"/>
              </w:rPr>
            </w:pPr>
            <w:r w:rsidRPr="00611315">
              <w:rPr>
                <w:rFonts w:ascii="Verdana" w:hAnsi="Verdana"/>
                <w:sz w:val="20"/>
                <w:szCs w:val="20"/>
              </w:rPr>
              <w:t>900827311</w:t>
            </w:r>
          </w:p>
        </w:tc>
        <w:tc>
          <w:tcPr>
            <w:tcW w:w="4961" w:type="dxa"/>
            <w:tcBorders>
              <w:top w:val="nil"/>
              <w:left w:val="nil"/>
              <w:bottom w:val="single" w:sz="4" w:space="0" w:color="auto"/>
              <w:right w:val="single" w:sz="4" w:space="0" w:color="auto"/>
            </w:tcBorders>
            <w:noWrap/>
            <w:vAlign w:val="center"/>
            <w:hideMark/>
          </w:tcPr>
          <w:p w14:paraId="6FC61372" w14:textId="77777777" w:rsidR="00642FBB" w:rsidRPr="00611315" w:rsidRDefault="00642FBB" w:rsidP="00F47B13">
            <w:pPr>
              <w:jc w:val="center"/>
              <w:rPr>
                <w:rFonts w:ascii="Verdana" w:hAnsi="Verdana"/>
                <w:sz w:val="20"/>
                <w:szCs w:val="20"/>
              </w:rPr>
            </w:pPr>
            <w:r w:rsidRPr="00611315">
              <w:rPr>
                <w:rFonts w:ascii="Verdana" w:hAnsi="Verdana"/>
                <w:sz w:val="20"/>
                <w:szCs w:val="20"/>
              </w:rPr>
              <w:t>AZ SERVICONSTRUCCIONES SAS</w:t>
            </w:r>
          </w:p>
        </w:tc>
      </w:tr>
      <w:tr w:rsidR="00642FBB" w:rsidRPr="00611315" w14:paraId="7AB92BB2"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7CA6A6D" w14:textId="77777777" w:rsidR="00642FBB" w:rsidRPr="00611315" w:rsidRDefault="00642FBB">
            <w:pPr>
              <w:jc w:val="center"/>
              <w:rPr>
                <w:rFonts w:ascii="Verdana" w:hAnsi="Verdana"/>
                <w:sz w:val="20"/>
                <w:szCs w:val="20"/>
              </w:rPr>
            </w:pPr>
            <w:r w:rsidRPr="00611315">
              <w:rPr>
                <w:rFonts w:ascii="Verdana" w:hAnsi="Verdana"/>
                <w:sz w:val="20"/>
                <w:szCs w:val="20"/>
              </w:rPr>
              <w:t>10545813</w:t>
            </w:r>
          </w:p>
        </w:tc>
        <w:tc>
          <w:tcPr>
            <w:tcW w:w="4961" w:type="dxa"/>
            <w:tcBorders>
              <w:top w:val="nil"/>
              <w:left w:val="nil"/>
              <w:bottom w:val="single" w:sz="4" w:space="0" w:color="auto"/>
              <w:right w:val="single" w:sz="4" w:space="0" w:color="auto"/>
            </w:tcBorders>
            <w:noWrap/>
            <w:vAlign w:val="center"/>
            <w:hideMark/>
          </w:tcPr>
          <w:p w14:paraId="4B619C62" w14:textId="77777777" w:rsidR="00642FBB" w:rsidRPr="00611315" w:rsidRDefault="00642FBB" w:rsidP="00F47B13">
            <w:pPr>
              <w:jc w:val="center"/>
              <w:rPr>
                <w:rFonts w:ascii="Verdana" w:hAnsi="Verdana"/>
                <w:sz w:val="20"/>
                <w:szCs w:val="20"/>
              </w:rPr>
            </w:pPr>
            <w:r w:rsidRPr="00611315">
              <w:rPr>
                <w:rFonts w:ascii="Verdana" w:hAnsi="Verdana"/>
                <w:sz w:val="20"/>
                <w:szCs w:val="20"/>
              </w:rPr>
              <w:t>LUIS EGIMIO BARON VARGAS</w:t>
            </w:r>
          </w:p>
        </w:tc>
      </w:tr>
      <w:tr w:rsidR="00642FBB" w:rsidRPr="00041ECD" w14:paraId="18EDD47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CCE5289" w14:textId="77777777" w:rsidR="00642FBB" w:rsidRPr="00611315" w:rsidRDefault="00642FBB">
            <w:pPr>
              <w:jc w:val="center"/>
              <w:rPr>
                <w:rFonts w:ascii="Verdana" w:hAnsi="Verdana"/>
                <w:sz w:val="20"/>
                <w:szCs w:val="20"/>
              </w:rPr>
            </w:pPr>
            <w:r w:rsidRPr="00611315">
              <w:rPr>
                <w:rFonts w:ascii="Verdana" w:hAnsi="Verdana"/>
                <w:sz w:val="20"/>
                <w:szCs w:val="20"/>
              </w:rPr>
              <w:t>900241832</w:t>
            </w:r>
          </w:p>
        </w:tc>
        <w:tc>
          <w:tcPr>
            <w:tcW w:w="4961" w:type="dxa"/>
            <w:tcBorders>
              <w:top w:val="nil"/>
              <w:left w:val="nil"/>
              <w:bottom w:val="single" w:sz="4" w:space="0" w:color="auto"/>
              <w:right w:val="single" w:sz="4" w:space="0" w:color="auto"/>
            </w:tcBorders>
            <w:noWrap/>
            <w:vAlign w:val="center"/>
            <w:hideMark/>
          </w:tcPr>
          <w:p w14:paraId="024129D0" w14:textId="77777777" w:rsidR="00642FBB" w:rsidRPr="00611315" w:rsidRDefault="00642FBB" w:rsidP="00F47B13">
            <w:pPr>
              <w:jc w:val="center"/>
              <w:rPr>
                <w:rFonts w:ascii="Verdana" w:hAnsi="Verdana"/>
                <w:sz w:val="20"/>
                <w:szCs w:val="20"/>
                <w:lang w:val="en-US"/>
              </w:rPr>
            </w:pPr>
            <w:r w:rsidRPr="00611315">
              <w:rPr>
                <w:rFonts w:ascii="Verdana" w:hAnsi="Verdana"/>
                <w:sz w:val="20"/>
                <w:szCs w:val="20"/>
                <w:lang w:val="en-US"/>
              </w:rPr>
              <w:t>AMBICOL SERVICES S A S</w:t>
            </w:r>
          </w:p>
        </w:tc>
      </w:tr>
      <w:tr w:rsidR="00642FBB" w:rsidRPr="00611315" w14:paraId="75F2F492"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6FC08FB" w14:textId="77777777" w:rsidR="00642FBB" w:rsidRPr="00611315" w:rsidRDefault="00642FBB">
            <w:pPr>
              <w:jc w:val="center"/>
              <w:rPr>
                <w:rFonts w:ascii="Verdana" w:hAnsi="Verdana"/>
                <w:sz w:val="20"/>
                <w:szCs w:val="20"/>
              </w:rPr>
            </w:pPr>
            <w:r w:rsidRPr="00611315">
              <w:rPr>
                <w:rFonts w:ascii="Verdana" w:hAnsi="Verdana"/>
                <w:sz w:val="20"/>
                <w:szCs w:val="20"/>
              </w:rPr>
              <w:t>900367347</w:t>
            </w:r>
          </w:p>
        </w:tc>
        <w:tc>
          <w:tcPr>
            <w:tcW w:w="4961" w:type="dxa"/>
            <w:tcBorders>
              <w:top w:val="nil"/>
              <w:left w:val="nil"/>
              <w:bottom w:val="single" w:sz="4" w:space="0" w:color="auto"/>
              <w:right w:val="single" w:sz="4" w:space="0" w:color="auto"/>
            </w:tcBorders>
            <w:noWrap/>
            <w:vAlign w:val="center"/>
            <w:hideMark/>
          </w:tcPr>
          <w:p w14:paraId="3DF187C9" w14:textId="77777777" w:rsidR="00642FBB" w:rsidRPr="00611315" w:rsidRDefault="00642FBB" w:rsidP="00F47B13">
            <w:pPr>
              <w:jc w:val="center"/>
              <w:rPr>
                <w:rFonts w:ascii="Verdana" w:hAnsi="Verdana"/>
                <w:sz w:val="20"/>
                <w:szCs w:val="20"/>
              </w:rPr>
            </w:pPr>
            <w:r w:rsidRPr="00611315">
              <w:rPr>
                <w:rFonts w:ascii="Verdana" w:hAnsi="Verdana"/>
                <w:sz w:val="20"/>
                <w:szCs w:val="20"/>
              </w:rPr>
              <w:t>CRUZ O. MANTENIMIENTOS ECOLOGICOS Y PRODUCTIVOS S.A.S.</w:t>
            </w:r>
          </w:p>
        </w:tc>
      </w:tr>
      <w:tr w:rsidR="00642FBB" w:rsidRPr="00041ECD" w14:paraId="5C7A054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49D7AFB" w14:textId="77777777" w:rsidR="00642FBB" w:rsidRPr="00611315" w:rsidRDefault="00642FBB">
            <w:pPr>
              <w:jc w:val="center"/>
              <w:rPr>
                <w:rFonts w:ascii="Verdana" w:hAnsi="Verdana"/>
                <w:sz w:val="20"/>
                <w:szCs w:val="20"/>
              </w:rPr>
            </w:pPr>
            <w:r w:rsidRPr="00611315">
              <w:rPr>
                <w:rFonts w:ascii="Verdana" w:hAnsi="Verdana"/>
                <w:sz w:val="20"/>
                <w:szCs w:val="20"/>
              </w:rPr>
              <w:t>900841376</w:t>
            </w:r>
          </w:p>
        </w:tc>
        <w:tc>
          <w:tcPr>
            <w:tcW w:w="4961" w:type="dxa"/>
            <w:tcBorders>
              <w:top w:val="nil"/>
              <w:left w:val="nil"/>
              <w:bottom w:val="single" w:sz="4" w:space="0" w:color="auto"/>
              <w:right w:val="single" w:sz="4" w:space="0" w:color="auto"/>
            </w:tcBorders>
            <w:noWrap/>
            <w:vAlign w:val="center"/>
            <w:hideMark/>
          </w:tcPr>
          <w:p w14:paraId="28839F11" w14:textId="77777777" w:rsidR="00642FBB" w:rsidRPr="00611315" w:rsidRDefault="00642FBB" w:rsidP="00F47B13">
            <w:pPr>
              <w:jc w:val="center"/>
              <w:rPr>
                <w:rFonts w:ascii="Verdana" w:hAnsi="Verdana"/>
                <w:sz w:val="20"/>
                <w:szCs w:val="20"/>
                <w:lang w:val="en-US"/>
              </w:rPr>
            </w:pPr>
            <w:r w:rsidRPr="00611315">
              <w:rPr>
                <w:rFonts w:ascii="Verdana" w:hAnsi="Verdana"/>
                <w:sz w:val="20"/>
                <w:szCs w:val="20"/>
                <w:lang w:val="en-US"/>
              </w:rPr>
              <w:t>TEST TECHNOLOGY AND ENGINEERING SOLUTIONS LATAM S.A.S.</w:t>
            </w:r>
          </w:p>
        </w:tc>
      </w:tr>
      <w:tr w:rsidR="00642FBB" w:rsidRPr="00611315" w14:paraId="6DB5B7F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0292DD0" w14:textId="77777777" w:rsidR="00642FBB" w:rsidRPr="00611315" w:rsidRDefault="00642FBB">
            <w:pPr>
              <w:jc w:val="center"/>
              <w:rPr>
                <w:rFonts w:ascii="Verdana" w:hAnsi="Verdana"/>
                <w:sz w:val="20"/>
                <w:szCs w:val="20"/>
              </w:rPr>
            </w:pPr>
            <w:r w:rsidRPr="00611315">
              <w:rPr>
                <w:rFonts w:ascii="Verdana" w:hAnsi="Verdana"/>
                <w:sz w:val="20"/>
                <w:szCs w:val="20"/>
              </w:rPr>
              <w:t>900729436</w:t>
            </w:r>
          </w:p>
        </w:tc>
        <w:tc>
          <w:tcPr>
            <w:tcW w:w="4961" w:type="dxa"/>
            <w:tcBorders>
              <w:top w:val="nil"/>
              <w:left w:val="nil"/>
              <w:bottom w:val="single" w:sz="4" w:space="0" w:color="auto"/>
              <w:right w:val="single" w:sz="4" w:space="0" w:color="auto"/>
            </w:tcBorders>
            <w:noWrap/>
            <w:vAlign w:val="center"/>
            <w:hideMark/>
          </w:tcPr>
          <w:p w14:paraId="56CF672B" w14:textId="77777777" w:rsidR="00642FBB" w:rsidRPr="00611315" w:rsidRDefault="00642FBB" w:rsidP="00F47B13">
            <w:pPr>
              <w:jc w:val="center"/>
              <w:rPr>
                <w:rFonts w:ascii="Verdana" w:hAnsi="Verdana"/>
                <w:sz w:val="20"/>
                <w:szCs w:val="20"/>
              </w:rPr>
            </w:pPr>
            <w:r w:rsidRPr="00611315">
              <w:rPr>
                <w:rFonts w:ascii="Verdana" w:hAnsi="Verdana"/>
                <w:sz w:val="20"/>
                <w:szCs w:val="20"/>
              </w:rPr>
              <w:br/>
              <w:t>ING MEGASERVICIOS S.A.S</w:t>
            </w:r>
          </w:p>
        </w:tc>
      </w:tr>
      <w:tr w:rsidR="00642FBB" w:rsidRPr="00611315" w14:paraId="1E83FFC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F5F1BF3" w14:textId="77777777" w:rsidR="00642FBB" w:rsidRPr="00611315" w:rsidRDefault="00642FBB">
            <w:pPr>
              <w:jc w:val="center"/>
              <w:rPr>
                <w:rFonts w:ascii="Verdana" w:hAnsi="Verdana"/>
                <w:sz w:val="20"/>
                <w:szCs w:val="20"/>
              </w:rPr>
            </w:pPr>
            <w:r w:rsidRPr="00611315">
              <w:rPr>
                <w:rFonts w:ascii="Verdana" w:hAnsi="Verdana"/>
                <w:sz w:val="20"/>
                <w:szCs w:val="20"/>
              </w:rPr>
              <w:t>901147649</w:t>
            </w:r>
          </w:p>
        </w:tc>
        <w:tc>
          <w:tcPr>
            <w:tcW w:w="4961" w:type="dxa"/>
            <w:tcBorders>
              <w:top w:val="nil"/>
              <w:left w:val="nil"/>
              <w:bottom w:val="single" w:sz="4" w:space="0" w:color="auto"/>
              <w:right w:val="single" w:sz="4" w:space="0" w:color="auto"/>
            </w:tcBorders>
            <w:noWrap/>
            <w:vAlign w:val="center"/>
            <w:hideMark/>
          </w:tcPr>
          <w:p w14:paraId="2EC0337D" w14:textId="77777777" w:rsidR="00642FBB" w:rsidRPr="00611315" w:rsidRDefault="00642FBB" w:rsidP="00F47B13">
            <w:pPr>
              <w:jc w:val="center"/>
              <w:rPr>
                <w:rFonts w:ascii="Verdana" w:hAnsi="Verdana"/>
                <w:sz w:val="20"/>
                <w:szCs w:val="20"/>
              </w:rPr>
            </w:pPr>
            <w:r w:rsidRPr="00611315">
              <w:rPr>
                <w:rFonts w:ascii="Verdana" w:hAnsi="Verdana"/>
                <w:sz w:val="20"/>
                <w:szCs w:val="20"/>
              </w:rPr>
              <w:t>INGYEMEL PROFESIONALES J&amp;H S.A.S</w:t>
            </w:r>
          </w:p>
        </w:tc>
      </w:tr>
      <w:tr w:rsidR="00642FBB" w:rsidRPr="00611315" w14:paraId="084CBBC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8F84611" w14:textId="77777777" w:rsidR="00642FBB" w:rsidRPr="00611315" w:rsidRDefault="00642FBB">
            <w:pPr>
              <w:jc w:val="center"/>
              <w:rPr>
                <w:rFonts w:ascii="Verdana" w:hAnsi="Verdana"/>
                <w:sz w:val="20"/>
                <w:szCs w:val="20"/>
              </w:rPr>
            </w:pPr>
            <w:r w:rsidRPr="00611315">
              <w:rPr>
                <w:rFonts w:ascii="Verdana" w:hAnsi="Verdana"/>
                <w:sz w:val="20"/>
                <w:szCs w:val="20"/>
              </w:rPr>
              <w:t>819001468</w:t>
            </w:r>
          </w:p>
        </w:tc>
        <w:tc>
          <w:tcPr>
            <w:tcW w:w="4961" w:type="dxa"/>
            <w:tcBorders>
              <w:top w:val="nil"/>
              <w:left w:val="nil"/>
              <w:bottom w:val="single" w:sz="4" w:space="0" w:color="auto"/>
              <w:right w:val="single" w:sz="4" w:space="0" w:color="auto"/>
            </w:tcBorders>
            <w:noWrap/>
            <w:vAlign w:val="center"/>
            <w:hideMark/>
          </w:tcPr>
          <w:p w14:paraId="77A4CCAB"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CONSTRUAGRO S.A.S.</w:t>
            </w:r>
          </w:p>
        </w:tc>
      </w:tr>
      <w:tr w:rsidR="00642FBB" w:rsidRPr="00611315" w14:paraId="78208FC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2CD6EBC" w14:textId="77777777" w:rsidR="00642FBB" w:rsidRPr="00611315" w:rsidRDefault="00642FBB">
            <w:pPr>
              <w:jc w:val="center"/>
              <w:rPr>
                <w:rFonts w:ascii="Verdana" w:hAnsi="Verdana"/>
                <w:sz w:val="20"/>
                <w:szCs w:val="20"/>
              </w:rPr>
            </w:pPr>
            <w:r w:rsidRPr="00611315">
              <w:rPr>
                <w:rFonts w:ascii="Verdana" w:hAnsi="Verdana"/>
                <w:sz w:val="20"/>
                <w:szCs w:val="20"/>
              </w:rPr>
              <w:t>900450893</w:t>
            </w:r>
          </w:p>
        </w:tc>
        <w:tc>
          <w:tcPr>
            <w:tcW w:w="4961" w:type="dxa"/>
            <w:tcBorders>
              <w:top w:val="nil"/>
              <w:left w:val="nil"/>
              <w:bottom w:val="single" w:sz="4" w:space="0" w:color="auto"/>
              <w:right w:val="single" w:sz="4" w:space="0" w:color="auto"/>
            </w:tcBorders>
            <w:noWrap/>
            <w:vAlign w:val="center"/>
            <w:hideMark/>
          </w:tcPr>
          <w:p w14:paraId="1E1DCBCF" w14:textId="77777777" w:rsidR="00642FBB" w:rsidRPr="00611315" w:rsidRDefault="00642FBB" w:rsidP="00F47B13">
            <w:pPr>
              <w:jc w:val="center"/>
              <w:rPr>
                <w:rFonts w:ascii="Verdana" w:hAnsi="Verdana"/>
                <w:sz w:val="20"/>
                <w:szCs w:val="20"/>
              </w:rPr>
            </w:pPr>
            <w:r w:rsidRPr="00611315">
              <w:rPr>
                <w:rFonts w:ascii="Verdana" w:hAnsi="Verdana"/>
                <w:sz w:val="20"/>
                <w:szCs w:val="20"/>
              </w:rPr>
              <w:t>COMSERTEC DEL ATLANTICO</w:t>
            </w:r>
          </w:p>
        </w:tc>
      </w:tr>
      <w:tr w:rsidR="00642FBB" w:rsidRPr="00611315" w14:paraId="3056779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439A6E2" w14:textId="77777777" w:rsidR="00642FBB" w:rsidRPr="00611315" w:rsidRDefault="00642FBB">
            <w:pPr>
              <w:jc w:val="center"/>
              <w:rPr>
                <w:rFonts w:ascii="Verdana" w:hAnsi="Verdana"/>
                <w:sz w:val="20"/>
                <w:szCs w:val="20"/>
              </w:rPr>
            </w:pPr>
            <w:r w:rsidRPr="00611315">
              <w:rPr>
                <w:rFonts w:ascii="Verdana" w:hAnsi="Verdana"/>
                <w:sz w:val="20"/>
                <w:szCs w:val="20"/>
              </w:rPr>
              <w:t>800082101</w:t>
            </w:r>
          </w:p>
        </w:tc>
        <w:tc>
          <w:tcPr>
            <w:tcW w:w="4961" w:type="dxa"/>
            <w:tcBorders>
              <w:top w:val="nil"/>
              <w:left w:val="nil"/>
              <w:bottom w:val="single" w:sz="4" w:space="0" w:color="auto"/>
              <w:right w:val="single" w:sz="4" w:space="0" w:color="auto"/>
            </w:tcBorders>
            <w:noWrap/>
            <w:vAlign w:val="center"/>
            <w:hideMark/>
          </w:tcPr>
          <w:p w14:paraId="02C3E5E0" w14:textId="77777777" w:rsidR="00642FBB" w:rsidRPr="00611315" w:rsidRDefault="00642FBB" w:rsidP="00F47B13">
            <w:pPr>
              <w:jc w:val="center"/>
              <w:rPr>
                <w:rFonts w:ascii="Verdana" w:hAnsi="Verdana"/>
                <w:sz w:val="20"/>
                <w:szCs w:val="20"/>
              </w:rPr>
            </w:pPr>
            <w:r w:rsidRPr="00611315">
              <w:rPr>
                <w:rFonts w:ascii="Verdana" w:hAnsi="Verdana"/>
                <w:sz w:val="20"/>
                <w:szCs w:val="20"/>
              </w:rPr>
              <w:t>SOFOR INGENIEROS S.A.S.</w:t>
            </w:r>
          </w:p>
        </w:tc>
      </w:tr>
      <w:tr w:rsidR="00642FBB" w:rsidRPr="00611315" w14:paraId="7DEB85D1"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0361AE6" w14:textId="77777777" w:rsidR="00642FBB" w:rsidRPr="00611315" w:rsidRDefault="00642FBB">
            <w:pPr>
              <w:jc w:val="center"/>
              <w:rPr>
                <w:rFonts w:ascii="Verdana" w:hAnsi="Verdana"/>
                <w:sz w:val="20"/>
                <w:szCs w:val="20"/>
              </w:rPr>
            </w:pPr>
            <w:r w:rsidRPr="00611315">
              <w:rPr>
                <w:rFonts w:ascii="Verdana" w:hAnsi="Verdana"/>
                <w:sz w:val="20"/>
                <w:szCs w:val="20"/>
              </w:rPr>
              <w:t>900975870</w:t>
            </w:r>
          </w:p>
        </w:tc>
        <w:tc>
          <w:tcPr>
            <w:tcW w:w="4961" w:type="dxa"/>
            <w:tcBorders>
              <w:top w:val="nil"/>
              <w:left w:val="nil"/>
              <w:bottom w:val="single" w:sz="4" w:space="0" w:color="auto"/>
              <w:right w:val="single" w:sz="4" w:space="0" w:color="auto"/>
            </w:tcBorders>
            <w:noWrap/>
            <w:vAlign w:val="center"/>
            <w:hideMark/>
          </w:tcPr>
          <w:p w14:paraId="36B2A187" w14:textId="77777777" w:rsidR="00642FBB" w:rsidRPr="00611315" w:rsidRDefault="00642FBB" w:rsidP="00F47B13">
            <w:pPr>
              <w:jc w:val="center"/>
              <w:rPr>
                <w:rFonts w:ascii="Verdana" w:hAnsi="Verdana"/>
                <w:sz w:val="20"/>
                <w:szCs w:val="20"/>
              </w:rPr>
            </w:pPr>
            <w:r w:rsidRPr="00611315">
              <w:rPr>
                <w:rFonts w:ascii="Verdana" w:hAnsi="Verdana"/>
                <w:sz w:val="20"/>
                <w:szCs w:val="20"/>
              </w:rPr>
              <w:t>NEG INGENIERÍA S.A.S., BIC</w:t>
            </w:r>
          </w:p>
        </w:tc>
      </w:tr>
      <w:tr w:rsidR="00642FBB" w:rsidRPr="00611315" w14:paraId="4CD97F3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F799FFB" w14:textId="77777777" w:rsidR="00642FBB" w:rsidRPr="00611315" w:rsidRDefault="00642FBB">
            <w:pPr>
              <w:jc w:val="center"/>
              <w:rPr>
                <w:rFonts w:ascii="Verdana" w:hAnsi="Verdana"/>
                <w:sz w:val="20"/>
                <w:szCs w:val="20"/>
              </w:rPr>
            </w:pPr>
            <w:r w:rsidRPr="00611315">
              <w:rPr>
                <w:rFonts w:ascii="Verdana" w:hAnsi="Verdana"/>
                <w:sz w:val="20"/>
                <w:szCs w:val="20"/>
              </w:rPr>
              <w:t>900171717</w:t>
            </w:r>
          </w:p>
        </w:tc>
        <w:tc>
          <w:tcPr>
            <w:tcW w:w="4961" w:type="dxa"/>
            <w:tcBorders>
              <w:top w:val="nil"/>
              <w:left w:val="nil"/>
              <w:bottom w:val="single" w:sz="4" w:space="0" w:color="auto"/>
              <w:right w:val="single" w:sz="4" w:space="0" w:color="auto"/>
            </w:tcBorders>
            <w:noWrap/>
            <w:vAlign w:val="center"/>
            <w:hideMark/>
          </w:tcPr>
          <w:p w14:paraId="07FB402C" w14:textId="77777777" w:rsidR="00642FBB" w:rsidRPr="00611315" w:rsidRDefault="00642FBB" w:rsidP="00F47B13">
            <w:pPr>
              <w:jc w:val="center"/>
              <w:rPr>
                <w:rFonts w:ascii="Verdana" w:hAnsi="Verdana"/>
                <w:sz w:val="20"/>
                <w:szCs w:val="20"/>
              </w:rPr>
            </w:pPr>
            <w:r w:rsidRPr="00611315">
              <w:rPr>
                <w:rFonts w:ascii="Verdana" w:hAnsi="Verdana"/>
                <w:sz w:val="20"/>
                <w:szCs w:val="20"/>
              </w:rPr>
              <w:t>R&amp;J INGENIERIA SAS</w:t>
            </w:r>
          </w:p>
        </w:tc>
      </w:tr>
      <w:tr w:rsidR="00642FBB" w:rsidRPr="00611315" w14:paraId="2C0C13D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EF3749E" w14:textId="77777777" w:rsidR="00642FBB" w:rsidRPr="00611315" w:rsidRDefault="00642FBB">
            <w:pPr>
              <w:jc w:val="center"/>
              <w:rPr>
                <w:rFonts w:ascii="Verdana" w:hAnsi="Verdana"/>
                <w:sz w:val="20"/>
                <w:szCs w:val="20"/>
              </w:rPr>
            </w:pPr>
            <w:r w:rsidRPr="00611315">
              <w:rPr>
                <w:rFonts w:ascii="Verdana" w:hAnsi="Verdana"/>
                <w:sz w:val="20"/>
                <w:szCs w:val="20"/>
              </w:rPr>
              <w:t>900604010</w:t>
            </w:r>
          </w:p>
        </w:tc>
        <w:tc>
          <w:tcPr>
            <w:tcW w:w="4961" w:type="dxa"/>
            <w:tcBorders>
              <w:top w:val="nil"/>
              <w:left w:val="nil"/>
              <w:bottom w:val="single" w:sz="4" w:space="0" w:color="auto"/>
              <w:right w:val="single" w:sz="4" w:space="0" w:color="auto"/>
            </w:tcBorders>
            <w:noWrap/>
            <w:vAlign w:val="center"/>
            <w:hideMark/>
          </w:tcPr>
          <w:p w14:paraId="6CCDBE57" w14:textId="77777777" w:rsidR="00642FBB" w:rsidRPr="00611315" w:rsidRDefault="00642FBB" w:rsidP="00F47B13">
            <w:pPr>
              <w:jc w:val="center"/>
              <w:rPr>
                <w:rFonts w:ascii="Verdana" w:hAnsi="Verdana"/>
                <w:sz w:val="20"/>
                <w:szCs w:val="20"/>
              </w:rPr>
            </w:pPr>
            <w:r w:rsidRPr="00611315">
              <w:rPr>
                <w:rFonts w:ascii="Verdana" w:hAnsi="Verdana"/>
                <w:sz w:val="20"/>
                <w:szCs w:val="20"/>
              </w:rPr>
              <w:t>INCIVILPRO SAS</w:t>
            </w:r>
          </w:p>
        </w:tc>
      </w:tr>
      <w:tr w:rsidR="00642FBB" w:rsidRPr="00611315" w14:paraId="7ABF977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66282F6" w14:textId="77777777" w:rsidR="00642FBB" w:rsidRPr="00611315" w:rsidRDefault="00642FBB">
            <w:pPr>
              <w:jc w:val="center"/>
              <w:rPr>
                <w:rFonts w:ascii="Verdana" w:hAnsi="Verdana"/>
                <w:sz w:val="20"/>
                <w:szCs w:val="20"/>
              </w:rPr>
            </w:pPr>
            <w:r w:rsidRPr="00611315">
              <w:rPr>
                <w:rFonts w:ascii="Verdana" w:hAnsi="Verdana"/>
                <w:sz w:val="20"/>
                <w:szCs w:val="20"/>
              </w:rPr>
              <w:t>860058536</w:t>
            </w:r>
          </w:p>
        </w:tc>
        <w:tc>
          <w:tcPr>
            <w:tcW w:w="4961" w:type="dxa"/>
            <w:tcBorders>
              <w:top w:val="nil"/>
              <w:left w:val="nil"/>
              <w:bottom w:val="single" w:sz="4" w:space="0" w:color="auto"/>
              <w:right w:val="single" w:sz="4" w:space="0" w:color="auto"/>
            </w:tcBorders>
            <w:noWrap/>
            <w:vAlign w:val="center"/>
            <w:hideMark/>
          </w:tcPr>
          <w:p w14:paraId="6C46FF5E" w14:textId="77777777" w:rsidR="00642FBB" w:rsidRPr="00611315" w:rsidRDefault="00642FBB" w:rsidP="00F47B13">
            <w:pPr>
              <w:jc w:val="center"/>
              <w:rPr>
                <w:rFonts w:ascii="Verdana" w:hAnsi="Verdana"/>
                <w:sz w:val="20"/>
                <w:szCs w:val="20"/>
              </w:rPr>
            </w:pPr>
            <w:r w:rsidRPr="00611315">
              <w:rPr>
                <w:rFonts w:ascii="Verdana" w:hAnsi="Verdana"/>
                <w:sz w:val="20"/>
                <w:szCs w:val="20"/>
              </w:rPr>
              <w:t>MARAN SAS</w:t>
            </w:r>
          </w:p>
        </w:tc>
      </w:tr>
      <w:tr w:rsidR="00642FBB" w:rsidRPr="00611315" w14:paraId="1D73D87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3233DE6" w14:textId="77777777" w:rsidR="00642FBB" w:rsidRPr="00611315" w:rsidRDefault="00642FBB">
            <w:pPr>
              <w:jc w:val="center"/>
              <w:rPr>
                <w:rFonts w:ascii="Verdana" w:hAnsi="Verdana"/>
                <w:sz w:val="20"/>
                <w:szCs w:val="20"/>
              </w:rPr>
            </w:pPr>
            <w:r w:rsidRPr="00611315">
              <w:rPr>
                <w:rFonts w:ascii="Verdana" w:hAnsi="Verdana"/>
                <w:sz w:val="20"/>
                <w:szCs w:val="20"/>
              </w:rPr>
              <w:t>900263450</w:t>
            </w:r>
          </w:p>
        </w:tc>
        <w:tc>
          <w:tcPr>
            <w:tcW w:w="4961" w:type="dxa"/>
            <w:tcBorders>
              <w:top w:val="nil"/>
              <w:left w:val="nil"/>
              <w:bottom w:val="single" w:sz="4" w:space="0" w:color="auto"/>
              <w:right w:val="single" w:sz="4" w:space="0" w:color="auto"/>
            </w:tcBorders>
            <w:noWrap/>
            <w:vAlign w:val="center"/>
            <w:hideMark/>
          </w:tcPr>
          <w:p w14:paraId="1A0A6FE8" w14:textId="77777777" w:rsidR="00642FBB" w:rsidRPr="00611315" w:rsidRDefault="00642FBB" w:rsidP="00F47B13">
            <w:pPr>
              <w:jc w:val="center"/>
              <w:rPr>
                <w:rFonts w:ascii="Verdana" w:hAnsi="Verdana"/>
                <w:sz w:val="20"/>
                <w:szCs w:val="20"/>
              </w:rPr>
            </w:pPr>
            <w:r w:rsidRPr="00611315">
              <w:rPr>
                <w:rFonts w:ascii="Verdana" w:hAnsi="Verdana"/>
                <w:sz w:val="20"/>
                <w:szCs w:val="20"/>
              </w:rPr>
              <w:t>PROYECTOS DISEÑOS INGENIERIA ARQUITECTURA Y CONSTRUCCIONES LTDA.</w:t>
            </w:r>
          </w:p>
        </w:tc>
      </w:tr>
      <w:tr w:rsidR="00642FBB" w:rsidRPr="00611315" w14:paraId="714B16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0444E7C" w14:textId="77777777" w:rsidR="00642FBB" w:rsidRPr="00611315" w:rsidRDefault="00642FBB">
            <w:pPr>
              <w:jc w:val="center"/>
              <w:rPr>
                <w:rFonts w:ascii="Verdana" w:hAnsi="Verdana"/>
                <w:sz w:val="20"/>
                <w:szCs w:val="20"/>
              </w:rPr>
            </w:pPr>
            <w:r w:rsidRPr="00611315">
              <w:rPr>
                <w:rFonts w:ascii="Verdana" w:hAnsi="Verdana"/>
                <w:sz w:val="20"/>
                <w:szCs w:val="20"/>
              </w:rPr>
              <w:t>901164047</w:t>
            </w:r>
          </w:p>
        </w:tc>
        <w:tc>
          <w:tcPr>
            <w:tcW w:w="4961" w:type="dxa"/>
            <w:tcBorders>
              <w:top w:val="nil"/>
              <w:left w:val="nil"/>
              <w:bottom w:val="single" w:sz="4" w:space="0" w:color="auto"/>
              <w:right w:val="single" w:sz="4" w:space="0" w:color="auto"/>
            </w:tcBorders>
            <w:noWrap/>
            <w:vAlign w:val="center"/>
            <w:hideMark/>
          </w:tcPr>
          <w:p w14:paraId="5783AB2F" w14:textId="77777777" w:rsidR="00642FBB" w:rsidRPr="00611315" w:rsidRDefault="00642FBB" w:rsidP="00F47B13">
            <w:pPr>
              <w:jc w:val="center"/>
              <w:rPr>
                <w:rFonts w:ascii="Verdana" w:hAnsi="Verdana"/>
                <w:sz w:val="20"/>
                <w:szCs w:val="20"/>
              </w:rPr>
            </w:pPr>
            <w:r w:rsidRPr="00611315">
              <w:rPr>
                <w:rFonts w:ascii="Verdana" w:hAnsi="Verdana"/>
                <w:sz w:val="20"/>
                <w:szCs w:val="20"/>
              </w:rPr>
              <w:t>JBC OBRAS Y CONSTRUCCIONES SAS</w:t>
            </w:r>
          </w:p>
        </w:tc>
      </w:tr>
      <w:tr w:rsidR="00642FBB" w:rsidRPr="00611315" w14:paraId="4053FC3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8AAE7FE" w14:textId="77777777" w:rsidR="00642FBB" w:rsidRPr="00611315" w:rsidRDefault="00642FBB">
            <w:pPr>
              <w:jc w:val="center"/>
              <w:rPr>
                <w:rFonts w:ascii="Verdana" w:hAnsi="Verdana"/>
                <w:sz w:val="20"/>
                <w:szCs w:val="20"/>
              </w:rPr>
            </w:pPr>
            <w:r w:rsidRPr="00611315">
              <w:rPr>
                <w:rFonts w:ascii="Verdana" w:hAnsi="Verdana"/>
                <w:sz w:val="20"/>
                <w:szCs w:val="20"/>
              </w:rPr>
              <w:t>800251700</w:t>
            </w:r>
          </w:p>
        </w:tc>
        <w:tc>
          <w:tcPr>
            <w:tcW w:w="4961" w:type="dxa"/>
            <w:tcBorders>
              <w:top w:val="nil"/>
              <w:left w:val="nil"/>
              <w:bottom w:val="single" w:sz="4" w:space="0" w:color="auto"/>
              <w:right w:val="single" w:sz="4" w:space="0" w:color="auto"/>
            </w:tcBorders>
            <w:noWrap/>
            <w:vAlign w:val="center"/>
            <w:hideMark/>
          </w:tcPr>
          <w:p w14:paraId="7F92DDCD" w14:textId="77777777" w:rsidR="00642FBB" w:rsidRPr="00611315" w:rsidRDefault="00642FBB" w:rsidP="00F47B13">
            <w:pPr>
              <w:jc w:val="center"/>
              <w:rPr>
                <w:rFonts w:ascii="Verdana" w:hAnsi="Verdana"/>
                <w:sz w:val="20"/>
                <w:szCs w:val="20"/>
              </w:rPr>
            </w:pPr>
            <w:r w:rsidRPr="00611315">
              <w:rPr>
                <w:rFonts w:ascii="Verdana" w:hAnsi="Verdana"/>
                <w:sz w:val="20"/>
                <w:szCs w:val="20"/>
              </w:rPr>
              <w:t>SYC - S.A.S. SERVICIOS-INGENIERIA Y CONSTRUCCION</w:t>
            </w:r>
          </w:p>
        </w:tc>
      </w:tr>
      <w:tr w:rsidR="00642FBB" w:rsidRPr="00611315" w14:paraId="2281611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0FF451C" w14:textId="77777777" w:rsidR="00642FBB" w:rsidRPr="00611315" w:rsidRDefault="00642FBB">
            <w:pPr>
              <w:jc w:val="center"/>
              <w:rPr>
                <w:rFonts w:ascii="Verdana" w:hAnsi="Verdana"/>
                <w:sz w:val="20"/>
                <w:szCs w:val="20"/>
              </w:rPr>
            </w:pPr>
            <w:r w:rsidRPr="00611315">
              <w:rPr>
                <w:rFonts w:ascii="Verdana" w:hAnsi="Verdana"/>
                <w:sz w:val="20"/>
                <w:szCs w:val="20"/>
              </w:rPr>
              <w:t>826000391</w:t>
            </w:r>
          </w:p>
        </w:tc>
        <w:tc>
          <w:tcPr>
            <w:tcW w:w="4961" w:type="dxa"/>
            <w:tcBorders>
              <w:top w:val="nil"/>
              <w:left w:val="nil"/>
              <w:bottom w:val="single" w:sz="4" w:space="0" w:color="auto"/>
              <w:right w:val="single" w:sz="4" w:space="0" w:color="auto"/>
            </w:tcBorders>
            <w:noWrap/>
            <w:vAlign w:val="center"/>
            <w:hideMark/>
          </w:tcPr>
          <w:p w14:paraId="0C0B246F" w14:textId="77777777" w:rsidR="00642FBB" w:rsidRPr="00611315" w:rsidRDefault="00642FBB" w:rsidP="00F47B13">
            <w:pPr>
              <w:jc w:val="center"/>
              <w:rPr>
                <w:rFonts w:ascii="Verdana" w:hAnsi="Verdana"/>
                <w:sz w:val="20"/>
                <w:szCs w:val="20"/>
              </w:rPr>
            </w:pPr>
            <w:r w:rsidRPr="00611315">
              <w:rPr>
                <w:rFonts w:ascii="Verdana" w:hAnsi="Verdana"/>
                <w:sz w:val="20"/>
                <w:szCs w:val="20"/>
              </w:rPr>
              <w:t>INGTEC SOCIEDAD POR ACCIONES SIMPLIFICADA</w:t>
            </w:r>
          </w:p>
        </w:tc>
      </w:tr>
      <w:tr w:rsidR="00642FBB" w:rsidRPr="00611315" w14:paraId="6EBF1D1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8773E25" w14:textId="77777777" w:rsidR="00642FBB" w:rsidRPr="00611315" w:rsidRDefault="00642FBB">
            <w:pPr>
              <w:jc w:val="center"/>
              <w:rPr>
                <w:rFonts w:ascii="Verdana" w:hAnsi="Verdana"/>
                <w:sz w:val="20"/>
                <w:szCs w:val="20"/>
              </w:rPr>
            </w:pPr>
            <w:r w:rsidRPr="00611315">
              <w:rPr>
                <w:rFonts w:ascii="Verdana" w:hAnsi="Verdana"/>
                <w:sz w:val="20"/>
                <w:szCs w:val="20"/>
              </w:rPr>
              <w:t>901266761</w:t>
            </w:r>
          </w:p>
        </w:tc>
        <w:tc>
          <w:tcPr>
            <w:tcW w:w="4961" w:type="dxa"/>
            <w:tcBorders>
              <w:top w:val="nil"/>
              <w:left w:val="nil"/>
              <w:bottom w:val="single" w:sz="4" w:space="0" w:color="auto"/>
              <w:right w:val="single" w:sz="4" w:space="0" w:color="auto"/>
            </w:tcBorders>
            <w:noWrap/>
            <w:vAlign w:val="center"/>
            <w:hideMark/>
          </w:tcPr>
          <w:p w14:paraId="7197FC83"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CONSTRUCCIONES AZIMUT S.A.S.</w:t>
            </w:r>
          </w:p>
        </w:tc>
      </w:tr>
      <w:tr w:rsidR="00642FBB" w:rsidRPr="00611315" w14:paraId="3E89BB38"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4CB9342" w14:textId="77777777" w:rsidR="00642FBB" w:rsidRPr="00611315" w:rsidRDefault="00642FBB">
            <w:pPr>
              <w:jc w:val="center"/>
              <w:rPr>
                <w:rFonts w:ascii="Verdana" w:hAnsi="Verdana"/>
                <w:sz w:val="20"/>
                <w:szCs w:val="20"/>
              </w:rPr>
            </w:pPr>
            <w:r w:rsidRPr="00611315">
              <w:rPr>
                <w:rFonts w:ascii="Verdana" w:hAnsi="Verdana"/>
                <w:sz w:val="20"/>
                <w:szCs w:val="20"/>
              </w:rPr>
              <w:t>810002434</w:t>
            </w:r>
          </w:p>
        </w:tc>
        <w:tc>
          <w:tcPr>
            <w:tcW w:w="4961" w:type="dxa"/>
            <w:tcBorders>
              <w:top w:val="nil"/>
              <w:left w:val="nil"/>
              <w:bottom w:val="single" w:sz="4" w:space="0" w:color="auto"/>
              <w:right w:val="single" w:sz="4" w:space="0" w:color="auto"/>
            </w:tcBorders>
            <w:noWrap/>
            <w:vAlign w:val="center"/>
            <w:hideMark/>
          </w:tcPr>
          <w:p w14:paraId="00DD22B9" w14:textId="77777777" w:rsidR="00642FBB" w:rsidRPr="00611315" w:rsidRDefault="00642FBB" w:rsidP="00F47B13">
            <w:pPr>
              <w:jc w:val="center"/>
              <w:rPr>
                <w:rFonts w:ascii="Verdana" w:hAnsi="Verdana"/>
                <w:sz w:val="20"/>
                <w:szCs w:val="20"/>
              </w:rPr>
            </w:pPr>
            <w:r w:rsidRPr="00611315">
              <w:rPr>
                <w:rFonts w:ascii="Verdana" w:hAnsi="Verdana"/>
                <w:sz w:val="20"/>
                <w:szCs w:val="20"/>
              </w:rPr>
              <w:t>L.R. AMBIENTAL S.A.S.</w:t>
            </w:r>
          </w:p>
        </w:tc>
      </w:tr>
      <w:tr w:rsidR="00642FBB" w:rsidRPr="00611315" w14:paraId="316FB23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4E02D09" w14:textId="77777777" w:rsidR="00642FBB" w:rsidRPr="00611315" w:rsidRDefault="00642FBB">
            <w:pPr>
              <w:jc w:val="center"/>
              <w:rPr>
                <w:rFonts w:ascii="Verdana" w:hAnsi="Verdana"/>
                <w:sz w:val="20"/>
                <w:szCs w:val="20"/>
              </w:rPr>
            </w:pPr>
            <w:r w:rsidRPr="00611315">
              <w:rPr>
                <w:rFonts w:ascii="Verdana" w:hAnsi="Verdana"/>
                <w:sz w:val="20"/>
                <w:szCs w:val="20"/>
              </w:rPr>
              <w:t>901160292</w:t>
            </w:r>
          </w:p>
        </w:tc>
        <w:tc>
          <w:tcPr>
            <w:tcW w:w="4961" w:type="dxa"/>
            <w:tcBorders>
              <w:top w:val="nil"/>
              <w:left w:val="nil"/>
              <w:bottom w:val="single" w:sz="4" w:space="0" w:color="auto"/>
              <w:right w:val="single" w:sz="4" w:space="0" w:color="auto"/>
            </w:tcBorders>
            <w:noWrap/>
            <w:vAlign w:val="center"/>
            <w:hideMark/>
          </w:tcPr>
          <w:p w14:paraId="672C8177" w14:textId="77777777" w:rsidR="00642FBB" w:rsidRPr="00611315" w:rsidRDefault="00642FBB" w:rsidP="00F47B13">
            <w:pPr>
              <w:jc w:val="center"/>
              <w:rPr>
                <w:rFonts w:ascii="Verdana" w:hAnsi="Verdana"/>
                <w:sz w:val="20"/>
                <w:szCs w:val="20"/>
              </w:rPr>
            </w:pPr>
            <w:r w:rsidRPr="00611315">
              <w:rPr>
                <w:rFonts w:ascii="Verdana" w:hAnsi="Verdana"/>
                <w:sz w:val="20"/>
                <w:szCs w:val="20"/>
              </w:rPr>
              <w:t>GRUPO DINAMO INGENIERIA S.A.S</w:t>
            </w:r>
          </w:p>
        </w:tc>
      </w:tr>
      <w:tr w:rsidR="00642FBB" w:rsidRPr="00611315" w14:paraId="4C5A7F2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5147E63" w14:textId="77777777" w:rsidR="00642FBB" w:rsidRPr="00611315" w:rsidRDefault="00642FBB">
            <w:pPr>
              <w:jc w:val="center"/>
              <w:rPr>
                <w:rFonts w:ascii="Verdana" w:hAnsi="Verdana"/>
                <w:sz w:val="20"/>
                <w:szCs w:val="20"/>
              </w:rPr>
            </w:pPr>
            <w:r w:rsidRPr="00611315">
              <w:rPr>
                <w:rFonts w:ascii="Verdana" w:hAnsi="Verdana"/>
                <w:sz w:val="20"/>
                <w:szCs w:val="20"/>
              </w:rPr>
              <w:t>900520676</w:t>
            </w:r>
          </w:p>
        </w:tc>
        <w:tc>
          <w:tcPr>
            <w:tcW w:w="4961" w:type="dxa"/>
            <w:tcBorders>
              <w:top w:val="nil"/>
              <w:left w:val="nil"/>
              <w:bottom w:val="single" w:sz="4" w:space="0" w:color="auto"/>
              <w:right w:val="single" w:sz="4" w:space="0" w:color="auto"/>
            </w:tcBorders>
            <w:noWrap/>
            <w:vAlign w:val="center"/>
            <w:hideMark/>
          </w:tcPr>
          <w:p w14:paraId="1E415B5B" w14:textId="77777777" w:rsidR="00642FBB" w:rsidRPr="00611315" w:rsidRDefault="00642FBB" w:rsidP="00F47B13">
            <w:pPr>
              <w:jc w:val="center"/>
              <w:rPr>
                <w:rFonts w:ascii="Verdana" w:hAnsi="Verdana"/>
                <w:sz w:val="20"/>
                <w:szCs w:val="20"/>
              </w:rPr>
            </w:pPr>
            <w:r w:rsidRPr="00611315">
              <w:rPr>
                <w:rFonts w:ascii="Verdana" w:hAnsi="Verdana"/>
                <w:sz w:val="20"/>
                <w:szCs w:val="20"/>
              </w:rPr>
              <w:t>VERDE ECOLOGICO SAS</w:t>
            </w:r>
          </w:p>
        </w:tc>
      </w:tr>
      <w:tr w:rsidR="00642FBB" w:rsidRPr="00611315" w14:paraId="7722649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6CD1E36" w14:textId="77777777" w:rsidR="00642FBB" w:rsidRPr="00611315" w:rsidRDefault="00642FBB">
            <w:pPr>
              <w:jc w:val="center"/>
              <w:rPr>
                <w:rFonts w:ascii="Verdana" w:hAnsi="Verdana"/>
                <w:sz w:val="20"/>
                <w:szCs w:val="20"/>
              </w:rPr>
            </w:pPr>
            <w:r w:rsidRPr="00611315">
              <w:rPr>
                <w:rFonts w:ascii="Verdana" w:hAnsi="Verdana"/>
                <w:sz w:val="20"/>
                <w:szCs w:val="20"/>
              </w:rPr>
              <w:t>900152368</w:t>
            </w:r>
          </w:p>
        </w:tc>
        <w:tc>
          <w:tcPr>
            <w:tcW w:w="4961" w:type="dxa"/>
            <w:tcBorders>
              <w:top w:val="nil"/>
              <w:left w:val="nil"/>
              <w:bottom w:val="single" w:sz="4" w:space="0" w:color="auto"/>
              <w:right w:val="single" w:sz="4" w:space="0" w:color="auto"/>
            </w:tcBorders>
            <w:noWrap/>
            <w:vAlign w:val="center"/>
            <w:hideMark/>
          </w:tcPr>
          <w:p w14:paraId="460CE10C" w14:textId="77777777" w:rsidR="00642FBB" w:rsidRPr="00611315" w:rsidRDefault="00642FBB" w:rsidP="00F47B13">
            <w:pPr>
              <w:jc w:val="center"/>
              <w:rPr>
                <w:rFonts w:ascii="Verdana" w:hAnsi="Verdana"/>
                <w:sz w:val="20"/>
                <w:szCs w:val="20"/>
              </w:rPr>
            </w:pPr>
            <w:r w:rsidRPr="00611315">
              <w:rPr>
                <w:rFonts w:ascii="Verdana" w:hAnsi="Verdana"/>
                <w:sz w:val="20"/>
                <w:szCs w:val="20"/>
              </w:rPr>
              <w:t>INGENIERIA DE BOMBAS Y PLANTAS SAS</w:t>
            </w:r>
          </w:p>
        </w:tc>
      </w:tr>
      <w:tr w:rsidR="00642FBB" w:rsidRPr="00611315" w14:paraId="6D0ED76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D7B0ABD" w14:textId="77777777" w:rsidR="00642FBB" w:rsidRPr="00611315" w:rsidRDefault="00642FBB">
            <w:pPr>
              <w:jc w:val="center"/>
              <w:rPr>
                <w:rFonts w:ascii="Verdana" w:hAnsi="Verdana"/>
                <w:sz w:val="20"/>
                <w:szCs w:val="20"/>
              </w:rPr>
            </w:pPr>
            <w:r w:rsidRPr="00611315">
              <w:rPr>
                <w:rFonts w:ascii="Verdana" w:hAnsi="Verdana"/>
                <w:sz w:val="20"/>
                <w:szCs w:val="20"/>
              </w:rPr>
              <w:t>900767893</w:t>
            </w:r>
          </w:p>
        </w:tc>
        <w:tc>
          <w:tcPr>
            <w:tcW w:w="4961" w:type="dxa"/>
            <w:tcBorders>
              <w:top w:val="nil"/>
              <w:left w:val="nil"/>
              <w:bottom w:val="single" w:sz="4" w:space="0" w:color="auto"/>
              <w:right w:val="single" w:sz="4" w:space="0" w:color="auto"/>
            </w:tcBorders>
            <w:noWrap/>
            <w:vAlign w:val="center"/>
            <w:hideMark/>
          </w:tcPr>
          <w:p w14:paraId="7457F2E9"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CONSTRUCCIONES HHT S.A.S.</w:t>
            </w:r>
          </w:p>
        </w:tc>
      </w:tr>
      <w:tr w:rsidR="00642FBB" w:rsidRPr="00611315" w14:paraId="0707DC9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D6A162E" w14:textId="77777777" w:rsidR="00642FBB" w:rsidRPr="00611315" w:rsidRDefault="00642FBB">
            <w:pPr>
              <w:jc w:val="center"/>
              <w:rPr>
                <w:rFonts w:ascii="Verdana" w:hAnsi="Verdana"/>
                <w:sz w:val="20"/>
                <w:szCs w:val="20"/>
              </w:rPr>
            </w:pPr>
            <w:r w:rsidRPr="00611315">
              <w:rPr>
                <w:rFonts w:ascii="Verdana" w:hAnsi="Verdana"/>
                <w:sz w:val="20"/>
                <w:szCs w:val="20"/>
              </w:rPr>
              <w:t>901022051</w:t>
            </w:r>
          </w:p>
        </w:tc>
        <w:tc>
          <w:tcPr>
            <w:tcW w:w="4961" w:type="dxa"/>
            <w:tcBorders>
              <w:top w:val="nil"/>
              <w:left w:val="nil"/>
              <w:bottom w:val="single" w:sz="4" w:space="0" w:color="auto"/>
              <w:right w:val="single" w:sz="4" w:space="0" w:color="auto"/>
            </w:tcBorders>
            <w:noWrap/>
            <w:vAlign w:val="center"/>
            <w:hideMark/>
          </w:tcPr>
          <w:p w14:paraId="19E1D07C" w14:textId="77777777" w:rsidR="00642FBB" w:rsidRPr="00611315" w:rsidRDefault="00642FBB" w:rsidP="00F47B13">
            <w:pPr>
              <w:jc w:val="center"/>
              <w:rPr>
                <w:rFonts w:ascii="Verdana" w:hAnsi="Verdana"/>
                <w:sz w:val="20"/>
                <w:szCs w:val="20"/>
              </w:rPr>
            </w:pPr>
            <w:r w:rsidRPr="00611315">
              <w:rPr>
                <w:rFonts w:ascii="Verdana" w:hAnsi="Verdana"/>
                <w:sz w:val="20"/>
                <w:szCs w:val="20"/>
              </w:rPr>
              <w:t>ARKAL CONSTRUCCIONES Y CONSULTORIAS S.A.S</w:t>
            </w:r>
          </w:p>
        </w:tc>
      </w:tr>
      <w:tr w:rsidR="00642FBB" w:rsidRPr="00611315" w14:paraId="0B08112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3A5975E" w14:textId="77777777" w:rsidR="00642FBB" w:rsidRPr="00611315" w:rsidRDefault="00642FBB">
            <w:pPr>
              <w:jc w:val="center"/>
              <w:rPr>
                <w:rFonts w:ascii="Verdana" w:hAnsi="Verdana"/>
                <w:sz w:val="20"/>
                <w:szCs w:val="20"/>
              </w:rPr>
            </w:pPr>
            <w:r w:rsidRPr="00611315">
              <w:rPr>
                <w:rFonts w:ascii="Verdana" w:hAnsi="Verdana"/>
                <w:sz w:val="20"/>
                <w:szCs w:val="20"/>
              </w:rPr>
              <w:t>900058258</w:t>
            </w:r>
          </w:p>
        </w:tc>
        <w:tc>
          <w:tcPr>
            <w:tcW w:w="4961" w:type="dxa"/>
            <w:tcBorders>
              <w:top w:val="nil"/>
              <w:left w:val="nil"/>
              <w:bottom w:val="single" w:sz="4" w:space="0" w:color="auto"/>
              <w:right w:val="single" w:sz="4" w:space="0" w:color="auto"/>
            </w:tcBorders>
            <w:noWrap/>
            <w:vAlign w:val="center"/>
            <w:hideMark/>
          </w:tcPr>
          <w:p w14:paraId="12ACD22F" w14:textId="77777777" w:rsidR="00642FBB" w:rsidRPr="00611315" w:rsidRDefault="00642FBB" w:rsidP="00F47B13">
            <w:pPr>
              <w:jc w:val="center"/>
              <w:rPr>
                <w:rFonts w:ascii="Verdana" w:hAnsi="Verdana"/>
                <w:sz w:val="20"/>
                <w:szCs w:val="20"/>
              </w:rPr>
            </w:pPr>
            <w:r w:rsidRPr="00611315">
              <w:rPr>
                <w:rFonts w:ascii="Verdana" w:hAnsi="Verdana"/>
                <w:sz w:val="20"/>
                <w:szCs w:val="20"/>
              </w:rPr>
              <w:t>SILCONS S.A.S.</w:t>
            </w:r>
          </w:p>
        </w:tc>
      </w:tr>
      <w:tr w:rsidR="00642FBB" w:rsidRPr="00611315" w14:paraId="778295A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F876C05" w14:textId="77777777" w:rsidR="00642FBB" w:rsidRPr="00611315" w:rsidRDefault="00642FBB">
            <w:pPr>
              <w:jc w:val="center"/>
              <w:rPr>
                <w:rFonts w:ascii="Verdana" w:hAnsi="Verdana"/>
                <w:sz w:val="20"/>
                <w:szCs w:val="20"/>
              </w:rPr>
            </w:pPr>
            <w:r w:rsidRPr="00611315">
              <w:rPr>
                <w:rFonts w:ascii="Verdana" w:hAnsi="Verdana"/>
                <w:sz w:val="20"/>
                <w:szCs w:val="20"/>
              </w:rPr>
              <w:t>830510381</w:t>
            </w:r>
          </w:p>
        </w:tc>
        <w:tc>
          <w:tcPr>
            <w:tcW w:w="4961" w:type="dxa"/>
            <w:tcBorders>
              <w:top w:val="nil"/>
              <w:left w:val="nil"/>
              <w:bottom w:val="single" w:sz="4" w:space="0" w:color="auto"/>
              <w:right w:val="single" w:sz="4" w:space="0" w:color="auto"/>
            </w:tcBorders>
            <w:noWrap/>
            <w:vAlign w:val="center"/>
            <w:hideMark/>
          </w:tcPr>
          <w:p w14:paraId="1947EE03" w14:textId="77777777" w:rsidR="00642FBB" w:rsidRPr="00611315" w:rsidRDefault="00642FBB" w:rsidP="00F47B13">
            <w:pPr>
              <w:jc w:val="center"/>
              <w:rPr>
                <w:rFonts w:ascii="Verdana" w:hAnsi="Verdana"/>
                <w:sz w:val="20"/>
                <w:szCs w:val="20"/>
              </w:rPr>
            </w:pPr>
            <w:r w:rsidRPr="00611315">
              <w:rPr>
                <w:rFonts w:ascii="Verdana" w:hAnsi="Verdana"/>
                <w:sz w:val="20"/>
                <w:szCs w:val="20"/>
              </w:rPr>
              <w:t>CM INGENIERIA S.A.S.</w:t>
            </w:r>
          </w:p>
        </w:tc>
      </w:tr>
      <w:tr w:rsidR="00642FBB" w:rsidRPr="00611315" w14:paraId="5E277F8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7B4C43E" w14:textId="77777777" w:rsidR="00642FBB" w:rsidRPr="00611315" w:rsidRDefault="00642FBB">
            <w:pPr>
              <w:jc w:val="center"/>
              <w:rPr>
                <w:rFonts w:ascii="Verdana" w:hAnsi="Verdana"/>
                <w:sz w:val="20"/>
                <w:szCs w:val="20"/>
              </w:rPr>
            </w:pPr>
            <w:r w:rsidRPr="00611315">
              <w:rPr>
                <w:rFonts w:ascii="Verdana" w:hAnsi="Verdana"/>
                <w:sz w:val="20"/>
                <w:szCs w:val="20"/>
              </w:rPr>
              <w:t>901200185</w:t>
            </w:r>
          </w:p>
        </w:tc>
        <w:tc>
          <w:tcPr>
            <w:tcW w:w="4961" w:type="dxa"/>
            <w:tcBorders>
              <w:top w:val="nil"/>
              <w:left w:val="nil"/>
              <w:bottom w:val="single" w:sz="4" w:space="0" w:color="auto"/>
              <w:right w:val="single" w:sz="4" w:space="0" w:color="auto"/>
            </w:tcBorders>
            <w:noWrap/>
            <w:vAlign w:val="center"/>
            <w:hideMark/>
          </w:tcPr>
          <w:p w14:paraId="1CD979EF" w14:textId="77777777" w:rsidR="00642FBB" w:rsidRPr="00611315" w:rsidRDefault="00642FBB" w:rsidP="00F47B13">
            <w:pPr>
              <w:jc w:val="center"/>
              <w:rPr>
                <w:rFonts w:ascii="Verdana" w:hAnsi="Verdana"/>
                <w:sz w:val="20"/>
                <w:szCs w:val="20"/>
              </w:rPr>
            </w:pPr>
            <w:r w:rsidRPr="00611315">
              <w:rPr>
                <w:rFonts w:ascii="Verdana" w:hAnsi="Verdana"/>
                <w:sz w:val="20"/>
                <w:szCs w:val="20"/>
              </w:rPr>
              <w:t>EMUNAH S.A.S.</w:t>
            </w:r>
          </w:p>
        </w:tc>
      </w:tr>
      <w:tr w:rsidR="00642FBB" w:rsidRPr="00611315" w14:paraId="2BEBC2E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C53E5E9" w14:textId="77777777" w:rsidR="00642FBB" w:rsidRPr="00611315" w:rsidRDefault="00642FBB">
            <w:pPr>
              <w:jc w:val="center"/>
              <w:rPr>
                <w:rFonts w:ascii="Verdana" w:hAnsi="Verdana"/>
                <w:sz w:val="20"/>
                <w:szCs w:val="20"/>
              </w:rPr>
            </w:pPr>
            <w:r w:rsidRPr="00611315">
              <w:rPr>
                <w:rFonts w:ascii="Verdana" w:hAnsi="Verdana"/>
                <w:sz w:val="20"/>
                <w:szCs w:val="20"/>
              </w:rPr>
              <w:t>901049157</w:t>
            </w:r>
          </w:p>
        </w:tc>
        <w:tc>
          <w:tcPr>
            <w:tcW w:w="4961" w:type="dxa"/>
            <w:tcBorders>
              <w:top w:val="nil"/>
              <w:left w:val="nil"/>
              <w:bottom w:val="single" w:sz="4" w:space="0" w:color="auto"/>
              <w:right w:val="single" w:sz="4" w:space="0" w:color="auto"/>
            </w:tcBorders>
            <w:noWrap/>
            <w:vAlign w:val="center"/>
            <w:hideMark/>
          </w:tcPr>
          <w:p w14:paraId="29A7F842" w14:textId="77777777" w:rsidR="00642FBB" w:rsidRPr="00611315" w:rsidRDefault="00642FBB" w:rsidP="00F47B13">
            <w:pPr>
              <w:jc w:val="center"/>
              <w:rPr>
                <w:rFonts w:ascii="Verdana" w:hAnsi="Verdana"/>
                <w:sz w:val="20"/>
                <w:szCs w:val="20"/>
              </w:rPr>
            </w:pPr>
            <w:r w:rsidRPr="00611315">
              <w:rPr>
                <w:rFonts w:ascii="Verdana" w:hAnsi="Verdana"/>
                <w:sz w:val="20"/>
                <w:szCs w:val="20"/>
              </w:rPr>
              <w:t>RIDA SOLUCIONES INTEGRALES SAS</w:t>
            </w:r>
          </w:p>
        </w:tc>
      </w:tr>
      <w:tr w:rsidR="00642FBB" w:rsidRPr="00611315" w14:paraId="38F7BD9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EA22531" w14:textId="77777777" w:rsidR="00642FBB" w:rsidRPr="00611315" w:rsidRDefault="00642FBB">
            <w:pPr>
              <w:jc w:val="center"/>
              <w:rPr>
                <w:rFonts w:ascii="Verdana" w:hAnsi="Verdana"/>
                <w:sz w:val="20"/>
                <w:szCs w:val="20"/>
              </w:rPr>
            </w:pPr>
            <w:r w:rsidRPr="00611315">
              <w:rPr>
                <w:rFonts w:ascii="Verdana" w:hAnsi="Verdana"/>
                <w:sz w:val="20"/>
                <w:szCs w:val="20"/>
              </w:rPr>
              <w:t>900160996</w:t>
            </w:r>
          </w:p>
        </w:tc>
        <w:tc>
          <w:tcPr>
            <w:tcW w:w="4961" w:type="dxa"/>
            <w:tcBorders>
              <w:top w:val="nil"/>
              <w:left w:val="nil"/>
              <w:bottom w:val="single" w:sz="4" w:space="0" w:color="auto"/>
              <w:right w:val="single" w:sz="4" w:space="0" w:color="auto"/>
            </w:tcBorders>
            <w:noWrap/>
            <w:vAlign w:val="center"/>
            <w:hideMark/>
          </w:tcPr>
          <w:p w14:paraId="7D797E85" w14:textId="77777777" w:rsidR="00642FBB" w:rsidRPr="00611315" w:rsidRDefault="00642FBB" w:rsidP="00F47B13">
            <w:pPr>
              <w:jc w:val="center"/>
              <w:rPr>
                <w:rFonts w:ascii="Verdana" w:hAnsi="Verdana"/>
                <w:sz w:val="20"/>
                <w:szCs w:val="20"/>
              </w:rPr>
            </w:pPr>
            <w:r w:rsidRPr="00611315">
              <w:rPr>
                <w:rFonts w:ascii="Verdana" w:hAnsi="Verdana"/>
                <w:sz w:val="20"/>
                <w:szCs w:val="20"/>
              </w:rPr>
              <w:t>PROYECTOS DE INGENIERIA CIVIL Y AMBIENTAL S A S</w:t>
            </w:r>
          </w:p>
        </w:tc>
      </w:tr>
      <w:tr w:rsidR="00642FBB" w:rsidRPr="00611315" w14:paraId="0CBC92B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330F458" w14:textId="77777777" w:rsidR="00642FBB" w:rsidRPr="00611315" w:rsidRDefault="00642FBB">
            <w:pPr>
              <w:jc w:val="center"/>
              <w:rPr>
                <w:rFonts w:ascii="Verdana" w:hAnsi="Verdana"/>
                <w:sz w:val="20"/>
                <w:szCs w:val="20"/>
              </w:rPr>
            </w:pPr>
            <w:r w:rsidRPr="00611315">
              <w:rPr>
                <w:rFonts w:ascii="Verdana" w:hAnsi="Verdana"/>
                <w:sz w:val="20"/>
                <w:szCs w:val="20"/>
              </w:rPr>
              <w:lastRenderedPageBreak/>
              <w:t>901510700</w:t>
            </w:r>
          </w:p>
        </w:tc>
        <w:tc>
          <w:tcPr>
            <w:tcW w:w="4961" w:type="dxa"/>
            <w:tcBorders>
              <w:top w:val="nil"/>
              <w:left w:val="nil"/>
              <w:bottom w:val="single" w:sz="4" w:space="0" w:color="auto"/>
              <w:right w:val="single" w:sz="4" w:space="0" w:color="auto"/>
            </w:tcBorders>
            <w:noWrap/>
            <w:vAlign w:val="center"/>
            <w:hideMark/>
          </w:tcPr>
          <w:p w14:paraId="581A8712" w14:textId="77777777" w:rsidR="00642FBB" w:rsidRPr="00611315" w:rsidRDefault="00642FBB" w:rsidP="00F47B13">
            <w:pPr>
              <w:jc w:val="center"/>
              <w:rPr>
                <w:rFonts w:ascii="Verdana" w:hAnsi="Verdana"/>
                <w:sz w:val="20"/>
                <w:szCs w:val="20"/>
              </w:rPr>
            </w:pPr>
            <w:r w:rsidRPr="00611315">
              <w:rPr>
                <w:rFonts w:ascii="Verdana" w:hAnsi="Verdana"/>
                <w:sz w:val="20"/>
                <w:szCs w:val="20"/>
              </w:rPr>
              <w:t>VOLGA CONSTRUCCIONES SAS</w:t>
            </w:r>
          </w:p>
        </w:tc>
      </w:tr>
      <w:tr w:rsidR="00642FBB" w:rsidRPr="00611315" w14:paraId="70978BE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955FDEE" w14:textId="77777777" w:rsidR="00642FBB" w:rsidRPr="00611315" w:rsidRDefault="00642FBB">
            <w:pPr>
              <w:jc w:val="center"/>
              <w:rPr>
                <w:rFonts w:ascii="Verdana" w:hAnsi="Verdana"/>
                <w:sz w:val="20"/>
                <w:szCs w:val="20"/>
              </w:rPr>
            </w:pPr>
            <w:r w:rsidRPr="00611315">
              <w:rPr>
                <w:rFonts w:ascii="Verdana" w:hAnsi="Verdana"/>
                <w:sz w:val="20"/>
                <w:szCs w:val="20"/>
              </w:rPr>
              <w:t>900037299</w:t>
            </w:r>
          </w:p>
        </w:tc>
        <w:tc>
          <w:tcPr>
            <w:tcW w:w="4961" w:type="dxa"/>
            <w:tcBorders>
              <w:top w:val="nil"/>
              <w:left w:val="nil"/>
              <w:bottom w:val="single" w:sz="4" w:space="0" w:color="auto"/>
              <w:right w:val="single" w:sz="4" w:space="0" w:color="auto"/>
            </w:tcBorders>
            <w:noWrap/>
            <w:vAlign w:val="center"/>
            <w:hideMark/>
          </w:tcPr>
          <w:p w14:paraId="32FB5FD0"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ANCLA S.A.S.</w:t>
            </w:r>
          </w:p>
        </w:tc>
      </w:tr>
      <w:tr w:rsidR="00642FBB" w:rsidRPr="00611315" w14:paraId="479DF70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0DFC304" w14:textId="77777777" w:rsidR="00642FBB" w:rsidRPr="00611315" w:rsidRDefault="00642FBB">
            <w:pPr>
              <w:jc w:val="center"/>
              <w:rPr>
                <w:rFonts w:ascii="Verdana" w:hAnsi="Verdana"/>
                <w:sz w:val="20"/>
                <w:szCs w:val="20"/>
              </w:rPr>
            </w:pPr>
            <w:r w:rsidRPr="00611315">
              <w:rPr>
                <w:rFonts w:ascii="Verdana" w:hAnsi="Verdana"/>
                <w:sz w:val="20"/>
                <w:szCs w:val="20"/>
              </w:rPr>
              <w:t>800252740</w:t>
            </w:r>
          </w:p>
        </w:tc>
        <w:tc>
          <w:tcPr>
            <w:tcW w:w="4961" w:type="dxa"/>
            <w:tcBorders>
              <w:top w:val="nil"/>
              <w:left w:val="nil"/>
              <w:bottom w:val="single" w:sz="4" w:space="0" w:color="auto"/>
              <w:right w:val="single" w:sz="4" w:space="0" w:color="auto"/>
            </w:tcBorders>
            <w:noWrap/>
            <w:vAlign w:val="center"/>
            <w:hideMark/>
          </w:tcPr>
          <w:p w14:paraId="234921AF"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CONSTRUCOL - CONSTRUCTORA COLOMBIA S.A.S.</w:t>
            </w:r>
          </w:p>
        </w:tc>
      </w:tr>
      <w:tr w:rsidR="00642FBB" w:rsidRPr="00611315" w14:paraId="79A0171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21A1B87" w14:textId="77777777" w:rsidR="00642FBB" w:rsidRPr="00611315" w:rsidRDefault="00642FBB">
            <w:pPr>
              <w:jc w:val="center"/>
              <w:rPr>
                <w:rFonts w:ascii="Verdana" w:hAnsi="Verdana"/>
                <w:sz w:val="20"/>
                <w:szCs w:val="20"/>
              </w:rPr>
            </w:pPr>
            <w:r w:rsidRPr="00611315">
              <w:rPr>
                <w:rFonts w:ascii="Verdana" w:hAnsi="Verdana"/>
                <w:sz w:val="20"/>
                <w:szCs w:val="20"/>
              </w:rPr>
              <w:t>901164470</w:t>
            </w:r>
          </w:p>
        </w:tc>
        <w:tc>
          <w:tcPr>
            <w:tcW w:w="4961" w:type="dxa"/>
            <w:tcBorders>
              <w:top w:val="nil"/>
              <w:left w:val="nil"/>
              <w:bottom w:val="single" w:sz="4" w:space="0" w:color="auto"/>
              <w:right w:val="single" w:sz="4" w:space="0" w:color="auto"/>
            </w:tcBorders>
            <w:noWrap/>
            <w:vAlign w:val="center"/>
            <w:hideMark/>
          </w:tcPr>
          <w:p w14:paraId="0E9EB55B" w14:textId="77777777" w:rsidR="00642FBB" w:rsidRPr="00611315" w:rsidRDefault="00642FBB" w:rsidP="00F47B13">
            <w:pPr>
              <w:jc w:val="center"/>
              <w:rPr>
                <w:rFonts w:ascii="Verdana" w:hAnsi="Verdana"/>
                <w:sz w:val="20"/>
                <w:szCs w:val="20"/>
              </w:rPr>
            </w:pPr>
            <w:r w:rsidRPr="00611315">
              <w:rPr>
                <w:rFonts w:ascii="Verdana" w:hAnsi="Verdana"/>
                <w:sz w:val="20"/>
                <w:szCs w:val="20"/>
              </w:rPr>
              <w:t>WES CONSTRUCCIONES S.A.S</w:t>
            </w:r>
          </w:p>
        </w:tc>
      </w:tr>
      <w:tr w:rsidR="00642FBB" w:rsidRPr="00611315" w14:paraId="06D1D810"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DA27539" w14:textId="77777777" w:rsidR="00642FBB" w:rsidRPr="00611315" w:rsidRDefault="00642FBB">
            <w:pPr>
              <w:jc w:val="center"/>
              <w:rPr>
                <w:rFonts w:ascii="Verdana" w:hAnsi="Verdana"/>
                <w:sz w:val="20"/>
                <w:szCs w:val="20"/>
              </w:rPr>
            </w:pPr>
            <w:r w:rsidRPr="00611315">
              <w:rPr>
                <w:rFonts w:ascii="Verdana" w:hAnsi="Verdana"/>
                <w:sz w:val="20"/>
                <w:szCs w:val="20"/>
              </w:rPr>
              <w:t>900807530</w:t>
            </w:r>
          </w:p>
        </w:tc>
        <w:tc>
          <w:tcPr>
            <w:tcW w:w="4961" w:type="dxa"/>
            <w:tcBorders>
              <w:top w:val="nil"/>
              <w:left w:val="nil"/>
              <w:bottom w:val="single" w:sz="4" w:space="0" w:color="auto"/>
              <w:right w:val="single" w:sz="4" w:space="0" w:color="auto"/>
            </w:tcBorders>
            <w:noWrap/>
            <w:vAlign w:val="center"/>
            <w:hideMark/>
          </w:tcPr>
          <w:p w14:paraId="2C77B119" w14:textId="77777777" w:rsidR="00642FBB" w:rsidRPr="00611315" w:rsidRDefault="00642FBB" w:rsidP="00F47B13">
            <w:pPr>
              <w:jc w:val="center"/>
              <w:rPr>
                <w:rFonts w:ascii="Verdana" w:hAnsi="Verdana"/>
                <w:sz w:val="20"/>
                <w:szCs w:val="20"/>
              </w:rPr>
            </w:pPr>
            <w:r w:rsidRPr="00611315">
              <w:rPr>
                <w:rFonts w:ascii="Verdana" w:hAnsi="Verdana"/>
                <w:sz w:val="20"/>
                <w:szCs w:val="20"/>
              </w:rPr>
              <w:t>URBANOS INFRAESTRUCTURA S A S</w:t>
            </w:r>
          </w:p>
        </w:tc>
      </w:tr>
      <w:tr w:rsidR="00642FBB" w:rsidRPr="00611315" w14:paraId="234523B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B5A9855" w14:textId="77777777" w:rsidR="00642FBB" w:rsidRPr="00611315" w:rsidRDefault="00642FBB">
            <w:pPr>
              <w:jc w:val="center"/>
              <w:rPr>
                <w:rFonts w:ascii="Verdana" w:hAnsi="Verdana"/>
                <w:sz w:val="20"/>
                <w:szCs w:val="20"/>
              </w:rPr>
            </w:pPr>
            <w:r w:rsidRPr="00611315">
              <w:rPr>
                <w:rFonts w:ascii="Verdana" w:hAnsi="Verdana"/>
                <w:sz w:val="20"/>
                <w:szCs w:val="20"/>
              </w:rPr>
              <w:t>900587436</w:t>
            </w:r>
          </w:p>
        </w:tc>
        <w:tc>
          <w:tcPr>
            <w:tcW w:w="4961" w:type="dxa"/>
            <w:tcBorders>
              <w:top w:val="nil"/>
              <w:left w:val="nil"/>
              <w:bottom w:val="single" w:sz="4" w:space="0" w:color="auto"/>
              <w:right w:val="single" w:sz="4" w:space="0" w:color="auto"/>
            </w:tcBorders>
            <w:noWrap/>
            <w:vAlign w:val="center"/>
            <w:hideMark/>
          </w:tcPr>
          <w:p w14:paraId="1D92C967" w14:textId="77777777" w:rsidR="00642FBB" w:rsidRPr="00611315" w:rsidRDefault="00642FBB" w:rsidP="00F47B13">
            <w:pPr>
              <w:jc w:val="center"/>
              <w:rPr>
                <w:rFonts w:ascii="Verdana" w:hAnsi="Verdana"/>
                <w:sz w:val="20"/>
                <w:szCs w:val="20"/>
              </w:rPr>
            </w:pPr>
            <w:r w:rsidRPr="00611315">
              <w:rPr>
                <w:rFonts w:ascii="Verdana" w:hAnsi="Verdana"/>
                <w:sz w:val="20"/>
                <w:szCs w:val="20"/>
              </w:rPr>
              <w:t>INFRAESTRUCTURA CAR Y CIA S A S</w:t>
            </w:r>
          </w:p>
        </w:tc>
      </w:tr>
      <w:tr w:rsidR="00642FBB" w:rsidRPr="00611315" w14:paraId="72BF5FB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E77551B" w14:textId="77777777" w:rsidR="00642FBB" w:rsidRPr="00611315" w:rsidRDefault="00642FBB">
            <w:pPr>
              <w:jc w:val="center"/>
              <w:rPr>
                <w:rFonts w:ascii="Verdana" w:hAnsi="Verdana"/>
                <w:sz w:val="20"/>
                <w:szCs w:val="20"/>
              </w:rPr>
            </w:pPr>
            <w:r w:rsidRPr="00611315">
              <w:rPr>
                <w:rFonts w:ascii="Verdana" w:hAnsi="Verdana"/>
                <w:sz w:val="20"/>
                <w:szCs w:val="20"/>
              </w:rPr>
              <w:t>830007560</w:t>
            </w:r>
          </w:p>
        </w:tc>
        <w:tc>
          <w:tcPr>
            <w:tcW w:w="4961" w:type="dxa"/>
            <w:tcBorders>
              <w:top w:val="nil"/>
              <w:left w:val="nil"/>
              <w:bottom w:val="single" w:sz="4" w:space="0" w:color="auto"/>
              <w:right w:val="single" w:sz="4" w:space="0" w:color="auto"/>
            </w:tcBorders>
            <w:noWrap/>
            <w:vAlign w:val="center"/>
            <w:hideMark/>
          </w:tcPr>
          <w:p w14:paraId="3308C6CC" w14:textId="77777777" w:rsidR="00642FBB" w:rsidRPr="00611315" w:rsidRDefault="00642FBB" w:rsidP="00F47B13">
            <w:pPr>
              <w:jc w:val="center"/>
              <w:rPr>
                <w:rFonts w:ascii="Verdana" w:hAnsi="Verdana"/>
                <w:sz w:val="20"/>
                <w:szCs w:val="20"/>
              </w:rPr>
            </w:pPr>
            <w:r w:rsidRPr="00611315">
              <w:rPr>
                <w:rFonts w:ascii="Verdana" w:hAnsi="Verdana"/>
                <w:sz w:val="20"/>
                <w:szCs w:val="20"/>
              </w:rPr>
              <w:t>ID S.A.S</w:t>
            </w:r>
          </w:p>
        </w:tc>
      </w:tr>
      <w:tr w:rsidR="00642FBB" w:rsidRPr="00611315" w14:paraId="176FD4D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2C7E6FE" w14:textId="77777777" w:rsidR="00642FBB" w:rsidRPr="00611315" w:rsidRDefault="00642FBB">
            <w:pPr>
              <w:jc w:val="center"/>
              <w:rPr>
                <w:rFonts w:ascii="Verdana" w:hAnsi="Verdana"/>
                <w:sz w:val="20"/>
                <w:szCs w:val="20"/>
              </w:rPr>
            </w:pPr>
            <w:r w:rsidRPr="00611315">
              <w:rPr>
                <w:rFonts w:ascii="Verdana" w:hAnsi="Verdana"/>
                <w:sz w:val="20"/>
                <w:szCs w:val="20"/>
              </w:rPr>
              <w:t>805004350</w:t>
            </w:r>
          </w:p>
        </w:tc>
        <w:tc>
          <w:tcPr>
            <w:tcW w:w="4961" w:type="dxa"/>
            <w:tcBorders>
              <w:top w:val="nil"/>
              <w:left w:val="nil"/>
              <w:bottom w:val="single" w:sz="4" w:space="0" w:color="auto"/>
              <w:right w:val="single" w:sz="4" w:space="0" w:color="auto"/>
            </w:tcBorders>
            <w:noWrap/>
            <w:vAlign w:val="center"/>
            <w:hideMark/>
          </w:tcPr>
          <w:p w14:paraId="39F56D53" w14:textId="77777777" w:rsidR="00642FBB" w:rsidRPr="00611315" w:rsidRDefault="00642FBB" w:rsidP="00F47B13">
            <w:pPr>
              <w:jc w:val="center"/>
              <w:rPr>
                <w:rFonts w:ascii="Verdana" w:hAnsi="Verdana"/>
                <w:sz w:val="20"/>
                <w:szCs w:val="20"/>
              </w:rPr>
            </w:pPr>
            <w:r w:rsidRPr="00611315">
              <w:rPr>
                <w:rFonts w:ascii="Verdana" w:hAnsi="Verdana"/>
                <w:sz w:val="20"/>
                <w:szCs w:val="20"/>
              </w:rPr>
              <w:t>ASTINCO S.A.S</w:t>
            </w:r>
          </w:p>
        </w:tc>
      </w:tr>
      <w:tr w:rsidR="00642FBB" w:rsidRPr="00611315" w14:paraId="44B5E43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844B463" w14:textId="77777777" w:rsidR="00642FBB" w:rsidRPr="00611315" w:rsidRDefault="00642FBB">
            <w:pPr>
              <w:jc w:val="center"/>
              <w:rPr>
                <w:rFonts w:ascii="Verdana" w:hAnsi="Verdana"/>
                <w:sz w:val="20"/>
                <w:szCs w:val="20"/>
              </w:rPr>
            </w:pPr>
            <w:r w:rsidRPr="00611315">
              <w:rPr>
                <w:rFonts w:ascii="Verdana" w:hAnsi="Verdana"/>
                <w:sz w:val="20"/>
                <w:szCs w:val="20"/>
              </w:rPr>
              <w:t>900264026</w:t>
            </w:r>
          </w:p>
        </w:tc>
        <w:tc>
          <w:tcPr>
            <w:tcW w:w="4961" w:type="dxa"/>
            <w:tcBorders>
              <w:top w:val="nil"/>
              <w:left w:val="nil"/>
              <w:bottom w:val="single" w:sz="4" w:space="0" w:color="auto"/>
              <w:right w:val="single" w:sz="4" w:space="0" w:color="auto"/>
            </w:tcBorders>
            <w:noWrap/>
            <w:vAlign w:val="center"/>
            <w:hideMark/>
          </w:tcPr>
          <w:p w14:paraId="3EC91EF8" w14:textId="77777777" w:rsidR="00642FBB" w:rsidRPr="00611315" w:rsidRDefault="00642FBB" w:rsidP="00F47B13">
            <w:pPr>
              <w:jc w:val="center"/>
              <w:rPr>
                <w:rFonts w:ascii="Verdana" w:hAnsi="Verdana"/>
                <w:sz w:val="20"/>
                <w:szCs w:val="20"/>
              </w:rPr>
            </w:pPr>
            <w:r w:rsidRPr="00611315">
              <w:rPr>
                <w:rFonts w:ascii="Verdana" w:hAnsi="Verdana"/>
                <w:sz w:val="20"/>
                <w:szCs w:val="20"/>
              </w:rPr>
              <w:t>SERVICIOS INTEGRALES DE INGENIERIA Y CONSTRUCCION SAS</w:t>
            </w:r>
          </w:p>
        </w:tc>
      </w:tr>
      <w:tr w:rsidR="00642FBB" w:rsidRPr="00611315" w14:paraId="55D2B5D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101D154" w14:textId="77777777" w:rsidR="00642FBB" w:rsidRPr="00611315" w:rsidRDefault="00642FBB">
            <w:pPr>
              <w:jc w:val="center"/>
              <w:rPr>
                <w:rFonts w:ascii="Verdana" w:hAnsi="Verdana"/>
                <w:sz w:val="20"/>
                <w:szCs w:val="20"/>
              </w:rPr>
            </w:pPr>
            <w:r w:rsidRPr="00611315">
              <w:rPr>
                <w:rFonts w:ascii="Verdana" w:hAnsi="Verdana"/>
                <w:sz w:val="20"/>
                <w:szCs w:val="20"/>
              </w:rPr>
              <w:t>900281931</w:t>
            </w:r>
          </w:p>
        </w:tc>
        <w:tc>
          <w:tcPr>
            <w:tcW w:w="4961" w:type="dxa"/>
            <w:tcBorders>
              <w:top w:val="nil"/>
              <w:left w:val="nil"/>
              <w:bottom w:val="single" w:sz="4" w:space="0" w:color="auto"/>
              <w:right w:val="single" w:sz="4" w:space="0" w:color="auto"/>
            </w:tcBorders>
            <w:noWrap/>
            <w:vAlign w:val="center"/>
            <w:hideMark/>
          </w:tcPr>
          <w:p w14:paraId="0DC83CD7"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SAAVAR S.A.S.</w:t>
            </w:r>
          </w:p>
        </w:tc>
      </w:tr>
      <w:tr w:rsidR="00642FBB" w:rsidRPr="00611315" w14:paraId="22AB04D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F9783C7" w14:textId="77777777" w:rsidR="00642FBB" w:rsidRPr="00611315" w:rsidRDefault="00642FBB">
            <w:pPr>
              <w:jc w:val="center"/>
              <w:rPr>
                <w:rFonts w:ascii="Verdana" w:hAnsi="Verdana"/>
                <w:sz w:val="20"/>
                <w:szCs w:val="20"/>
              </w:rPr>
            </w:pPr>
            <w:r w:rsidRPr="00611315">
              <w:rPr>
                <w:rFonts w:ascii="Verdana" w:hAnsi="Verdana"/>
                <w:sz w:val="20"/>
                <w:szCs w:val="20"/>
              </w:rPr>
              <w:t>901411468</w:t>
            </w:r>
          </w:p>
        </w:tc>
        <w:tc>
          <w:tcPr>
            <w:tcW w:w="4961" w:type="dxa"/>
            <w:tcBorders>
              <w:top w:val="nil"/>
              <w:left w:val="nil"/>
              <w:bottom w:val="single" w:sz="4" w:space="0" w:color="auto"/>
              <w:right w:val="single" w:sz="4" w:space="0" w:color="auto"/>
            </w:tcBorders>
            <w:noWrap/>
            <w:vAlign w:val="center"/>
            <w:hideMark/>
          </w:tcPr>
          <w:p w14:paraId="42A72E61" w14:textId="77777777" w:rsidR="00642FBB" w:rsidRPr="00611315" w:rsidRDefault="00642FBB" w:rsidP="00F47B13">
            <w:pPr>
              <w:jc w:val="center"/>
              <w:rPr>
                <w:rFonts w:ascii="Verdana" w:hAnsi="Verdana"/>
                <w:sz w:val="20"/>
                <w:szCs w:val="20"/>
              </w:rPr>
            </w:pPr>
            <w:r w:rsidRPr="00611315">
              <w:rPr>
                <w:rFonts w:ascii="Verdana" w:hAnsi="Verdana"/>
                <w:sz w:val="20"/>
                <w:szCs w:val="20"/>
              </w:rPr>
              <w:t>LC CONSTRUCCIONES</w:t>
            </w:r>
          </w:p>
        </w:tc>
      </w:tr>
      <w:tr w:rsidR="00642FBB" w:rsidRPr="00611315" w14:paraId="501BC23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5E5C8DC" w14:textId="77777777" w:rsidR="00642FBB" w:rsidRPr="00611315" w:rsidRDefault="00642FBB">
            <w:pPr>
              <w:jc w:val="center"/>
              <w:rPr>
                <w:rFonts w:ascii="Verdana" w:hAnsi="Verdana"/>
                <w:sz w:val="20"/>
                <w:szCs w:val="20"/>
              </w:rPr>
            </w:pPr>
            <w:r w:rsidRPr="00611315">
              <w:rPr>
                <w:rFonts w:ascii="Verdana" w:hAnsi="Verdana"/>
                <w:sz w:val="20"/>
                <w:szCs w:val="20"/>
              </w:rPr>
              <w:t>813003916</w:t>
            </w:r>
          </w:p>
        </w:tc>
        <w:tc>
          <w:tcPr>
            <w:tcW w:w="4961" w:type="dxa"/>
            <w:tcBorders>
              <w:top w:val="nil"/>
              <w:left w:val="nil"/>
              <w:bottom w:val="single" w:sz="4" w:space="0" w:color="auto"/>
              <w:right w:val="single" w:sz="4" w:space="0" w:color="auto"/>
            </w:tcBorders>
            <w:noWrap/>
            <w:vAlign w:val="center"/>
            <w:hideMark/>
          </w:tcPr>
          <w:p w14:paraId="2B575319" w14:textId="77777777" w:rsidR="00642FBB" w:rsidRPr="00611315" w:rsidRDefault="00642FBB" w:rsidP="00F47B13">
            <w:pPr>
              <w:jc w:val="center"/>
              <w:rPr>
                <w:rFonts w:ascii="Verdana" w:hAnsi="Verdana"/>
                <w:sz w:val="20"/>
                <w:szCs w:val="20"/>
              </w:rPr>
            </w:pPr>
            <w:r w:rsidRPr="00611315">
              <w:rPr>
                <w:rFonts w:ascii="Verdana" w:hAnsi="Verdana"/>
                <w:sz w:val="20"/>
                <w:szCs w:val="20"/>
              </w:rPr>
              <w:t>RAELJA INGENIERIA S.A.S.</w:t>
            </w:r>
          </w:p>
        </w:tc>
      </w:tr>
      <w:tr w:rsidR="00642FBB" w:rsidRPr="00611315" w14:paraId="3A6A11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3F7AE65" w14:textId="77777777" w:rsidR="00642FBB" w:rsidRPr="00611315" w:rsidRDefault="00642FBB">
            <w:pPr>
              <w:jc w:val="center"/>
              <w:rPr>
                <w:rFonts w:ascii="Verdana" w:hAnsi="Verdana"/>
                <w:sz w:val="20"/>
                <w:szCs w:val="20"/>
              </w:rPr>
            </w:pPr>
            <w:r w:rsidRPr="00611315">
              <w:rPr>
                <w:rFonts w:ascii="Verdana" w:hAnsi="Verdana"/>
                <w:sz w:val="20"/>
                <w:szCs w:val="20"/>
              </w:rPr>
              <w:t>901206662</w:t>
            </w:r>
          </w:p>
        </w:tc>
        <w:tc>
          <w:tcPr>
            <w:tcW w:w="4961" w:type="dxa"/>
            <w:tcBorders>
              <w:top w:val="nil"/>
              <w:left w:val="nil"/>
              <w:bottom w:val="single" w:sz="4" w:space="0" w:color="auto"/>
              <w:right w:val="single" w:sz="4" w:space="0" w:color="auto"/>
            </w:tcBorders>
            <w:noWrap/>
            <w:vAlign w:val="center"/>
            <w:hideMark/>
          </w:tcPr>
          <w:p w14:paraId="5FEA4BC8" w14:textId="77777777" w:rsidR="00642FBB" w:rsidRPr="00611315" w:rsidRDefault="00642FBB" w:rsidP="00F47B13">
            <w:pPr>
              <w:jc w:val="center"/>
              <w:rPr>
                <w:rFonts w:ascii="Verdana" w:hAnsi="Verdana"/>
                <w:sz w:val="20"/>
                <w:szCs w:val="20"/>
              </w:rPr>
            </w:pPr>
            <w:r w:rsidRPr="00611315">
              <w:rPr>
                <w:rFonts w:ascii="Verdana" w:hAnsi="Verdana"/>
                <w:sz w:val="20"/>
                <w:szCs w:val="20"/>
              </w:rPr>
              <w:t>PRODELINC PANAMA S.A.</w:t>
            </w:r>
          </w:p>
        </w:tc>
      </w:tr>
      <w:tr w:rsidR="00642FBB" w:rsidRPr="00611315" w14:paraId="3797CB1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22E06D0" w14:textId="77777777" w:rsidR="00642FBB" w:rsidRPr="00611315" w:rsidRDefault="00642FBB">
            <w:pPr>
              <w:jc w:val="center"/>
              <w:rPr>
                <w:rFonts w:ascii="Verdana" w:hAnsi="Verdana"/>
                <w:sz w:val="20"/>
                <w:szCs w:val="20"/>
              </w:rPr>
            </w:pPr>
            <w:r w:rsidRPr="00611315">
              <w:rPr>
                <w:rFonts w:ascii="Verdana" w:hAnsi="Verdana"/>
                <w:sz w:val="20"/>
                <w:szCs w:val="20"/>
              </w:rPr>
              <w:t>900372255</w:t>
            </w:r>
          </w:p>
        </w:tc>
        <w:tc>
          <w:tcPr>
            <w:tcW w:w="4961" w:type="dxa"/>
            <w:tcBorders>
              <w:top w:val="nil"/>
              <w:left w:val="nil"/>
              <w:bottom w:val="single" w:sz="4" w:space="0" w:color="auto"/>
              <w:right w:val="single" w:sz="4" w:space="0" w:color="auto"/>
            </w:tcBorders>
            <w:noWrap/>
            <w:vAlign w:val="center"/>
            <w:hideMark/>
          </w:tcPr>
          <w:p w14:paraId="0AC80C98" w14:textId="77777777" w:rsidR="00642FBB" w:rsidRPr="00611315" w:rsidRDefault="00642FBB" w:rsidP="00F47B13">
            <w:pPr>
              <w:jc w:val="center"/>
              <w:rPr>
                <w:rFonts w:ascii="Verdana" w:hAnsi="Verdana"/>
                <w:sz w:val="20"/>
                <w:szCs w:val="20"/>
              </w:rPr>
            </w:pPr>
            <w:r w:rsidRPr="00611315">
              <w:rPr>
                <w:rFonts w:ascii="Verdana" w:hAnsi="Verdana"/>
                <w:sz w:val="20"/>
                <w:szCs w:val="20"/>
              </w:rPr>
              <w:t>INDUSTRIAS VERA MURIEL SOCIEDAD POR ACCIONES SIMPLIFICADA</w:t>
            </w:r>
          </w:p>
        </w:tc>
      </w:tr>
      <w:tr w:rsidR="00642FBB" w:rsidRPr="00611315" w14:paraId="5960EDA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556B061" w14:textId="77777777" w:rsidR="00642FBB" w:rsidRPr="00611315" w:rsidRDefault="00642FBB">
            <w:pPr>
              <w:jc w:val="center"/>
              <w:rPr>
                <w:rFonts w:ascii="Verdana" w:hAnsi="Verdana"/>
                <w:sz w:val="20"/>
                <w:szCs w:val="20"/>
              </w:rPr>
            </w:pPr>
            <w:r w:rsidRPr="00611315">
              <w:rPr>
                <w:rFonts w:ascii="Verdana" w:hAnsi="Verdana"/>
                <w:sz w:val="20"/>
                <w:szCs w:val="20"/>
              </w:rPr>
              <w:t>813000052</w:t>
            </w:r>
          </w:p>
        </w:tc>
        <w:tc>
          <w:tcPr>
            <w:tcW w:w="4961" w:type="dxa"/>
            <w:tcBorders>
              <w:top w:val="nil"/>
              <w:left w:val="nil"/>
              <w:bottom w:val="single" w:sz="4" w:space="0" w:color="auto"/>
              <w:right w:val="single" w:sz="4" w:space="0" w:color="auto"/>
            </w:tcBorders>
            <w:noWrap/>
            <w:vAlign w:val="center"/>
            <w:hideMark/>
          </w:tcPr>
          <w:p w14:paraId="79B96B93" w14:textId="77777777" w:rsidR="00642FBB" w:rsidRPr="00611315" w:rsidRDefault="00642FBB" w:rsidP="00F47B13">
            <w:pPr>
              <w:jc w:val="center"/>
              <w:rPr>
                <w:rFonts w:ascii="Verdana" w:hAnsi="Verdana"/>
                <w:sz w:val="20"/>
                <w:szCs w:val="20"/>
              </w:rPr>
            </w:pPr>
            <w:r w:rsidRPr="00611315">
              <w:rPr>
                <w:rFonts w:ascii="Verdana" w:hAnsi="Verdana"/>
                <w:sz w:val="20"/>
                <w:szCs w:val="20"/>
              </w:rPr>
              <w:t>INVERSIONES PROIN S.A.S.</w:t>
            </w:r>
          </w:p>
        </w:tc>
      </w:tr>
      <w:tr w:rsidR="00642FBB" w:rsidRPr="00611315" w14:paraId="4347B19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689CDE5" w14:textId="77777777" w:rsidR="00642FBB" w:rsidRPr="00611315" w:rsidRDefault="00642FBB">
            <w:pPr>
              <w:jc w:val="center"/>
              <w:rPr>
                <w:rFonts w:ascii="Verdana" w:hAnsi="Verdana"/>
                <w:sz w:val="20"/>
                <w:szCs w:val="20"/>
              </w:rPr>
            </w:pPr>
            <w:r w:rsidRPr="00611315">
              <w:rPr>
                <w:rFonts w:ascii="Verdana" w:hAnsi="Verdana"/>
                <w:sz w:val="20"/>
                <w:szCs w:val="20"/>
              </w:rPr>
              <w:t>800121733</w:t>
            </w:r>
          </w:p>
        </w:tc>
        <w:tc>
          <w:tcPr>
            <w:tcW w:w="4961" w:type="dxa"/>
            <w:tcBorders>
              <w:top w:val="nil"/>
              <w:left w:val="nil"/>
              <w:bottom w:val="single" w:sz="4" w:space="0" w:color="auto"/>
              <w:right w:val="single" w:sz="4" w:space="0" w:color="auto"/>
            </w:tcBorders>
            <w:noWrap/>
            <w:vAlign w:val="center"/>
            <w:hideMark/>
          </w:tcPr>
          <w:p w14:paraId="1FACCD2B" w14:textId="77777777" w:rsidR="00642FBB" w:rsidRPr="00611315" w:rsidRDefault="00642FBB" w:rsidP="00F47B13">
            <w:pPr>
              <w:jc w:val="center"/>
              <w:rPr>
                <w:rFonts w:ascii="Verdana" w:hAnsi="Verdana"/>
                <w:sz w:val="20"/>
                <w:szCs w:val="20"/>
              </w:rPr>
            </w:pPr>
            <w:r w:rsidRPr="00611315">
              <w:rPr>
                <w:rFonts w:ascii="Verdana" w:hAnsi="Verdana"/>
                <w:sz w:val="20"/>
                <w:szCs w:val="20"/>
              </w:rPr>
              <w:t>C B C INGENIERIA CIVIL Y MANTENIMIENTO SAS</w:t>
            </w:r>
          </w:p>
        </w:tc>
      </w:tr>
      <w:tr w:rsidR="00642FBB" w:rsidRPr="00611315" w14:paraId="6E334EC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0745521" w14:textId="77777777" w:rsidR="00642FBB" w:rsidRPr="00611315" w:rsidRDefault="00642FBB">
            <w:pPr>
              <w:jc w:val="center"/>
              <w:rPr>
                <w:rFonts w:ascii="Verdana" w:hAnsi="Verdana"/>
                <w:sz w:val="20"/>
                <w:szCs w:val="20"/>
              </w:rPr>
            </w:pPr>
            <w:r w:rsidRPr="00611315">
              <w:rPr>
                <w:rFonts w:ascii="Verdana" w:hAnsi="Verdana"/>
                <w:sz w:val="20"/>
                <w:szCs w:val="20"/>
              </w:rPr>
              <w:t>901308362</w:t>
            </w:r>
          </w:p>
        </w:tc>
        <w:tc>
          <w:tcPr>
            <w:tcW w:w="4961" w:type="dxa"/>
            <w:tcBorders>
              <w:top w:val="nil"/>
              <w:left w:val="nil"/>
              <w:bottom w:val="single" w:sz="4" w:space="0" w:color="auto"/>
              <w:right w:val="single" w:sz="4" w:space="0" w:color="auto"/>
            </w:tcBorders>
            <w:noWrap/>
            <w:vAlign w:val="center"/>
            <w:hideMark/>
          </w:tcPr>
          <w:p w14:paraId="79F2AF12" w14:textId="77777777" w:rsidR="00642FBB" w:rsidRPr="00611315" w:rsidRDefault="00642FBB" w:rsidP="00F47B13">
            <w:pPr>
              <w:jc w:val="center"/>
              <w:rPr>
                <w:rFonts w:ascii="Verdana" w:hAnsi="Verdana"/>
                <w:sz w:val="20"/>
                <w:szCs w:val="20"/>
              </w:rPr>
            </w:pPr>
            <w:r w:rsidRPr="00611315">
              <w:rPr>
                <w:rFonts w:ascii="Verdana" w:hAnsi="Verdana"/>
                <w:sz w:val="20"/>
                <w:szCs w:val="20"/>
              </w:rPr>
              <w:t>PROVIALES VÍAS E INFRAESTRUCTURA S.A.S.</w:t>
            </w:r>
          </w:p>
        </w:tc>
      </w:tr>
      <w:tr w:rsidR="00642FBB" w:rsidRPr="00041ECD" w14:paraId="7E58D0B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1632C0C" w14:textId="77777777" w:rsidR="00642FBB" w:rsidRPr="00611315" w:rsidRDefault="00642FBB">
            <w:pPr>
              <w:jc w:val="center"/>
              <w:rPr>
                <w:rFonts w:ascii="Verdana" w:hAnsi="Verdana"/>
                <w:sz w:val="20"/>
                <w:szCs w:val="20"/>
              </w:rPr>
            </w:pPr>
            <w:r w:rsidRPr="00611315">
              <w:rPr>
                <w:rFonts w:ascii="Verdana" w:hAnsi="Verdana"/>
                <w:sz w:val="20"/>
                <w:szCs w:val="20"/>
              </w:rPr>
              <w:t>901059450</w:t>
            </w:r>
          </w:p>
        </w:tc>
        <w:tc>
          <w:tcPr>
            <w:tcW w:w="4961" w:type="dxa"/>
            <w:tcBorders>
              <w:top w:val="nil"/>
              <w:left w:val="nil"/>
              <w:bottom w:val="single" w:sz="4" w:space="0" w:color="auto"/>
              <w:right w:val="single" w:sz="4" w:space="0" w:color="auto"/>
            </w:tcBorders>
            <w:noWrap/>
            <w:vAlign w:val="center"/>
            <w:hideMark/>
          </w:tcPr>
          <w:p w14:paraId="149DA1E7" w14:textId="77777777" w:rsidR="00642FBB" w:rsidRPr="00611315" w:rsidRDefault="00642FBB" w:rsidP="00F47B13">
            <w:pPr>
              <w:jc w:val="center"/>
              <w:rPr>
                <w:rFonts w:ascii="Verdana" w:hAnsi="Verdana"/>
                <w:sz w:val="20"/>
                <w:szCs w:val="20"/>
                <w:lang w:val="en-US"/>
              </w:rPr>
            </w:pPr>
            <w:r w:rsidRPr="00611315">
              <w:rPr>
                <w:rFonts w:ascii="Verdana" w:hAnsi="Verdana"/>
                <w:sz w:val="20"/>
                <w:szCs w:val="20"/>
                <w:lang w:val="en-US"/>
              </w:rPr>
              <w:t>C H M INGENIERIA S A S</w:t>
            </w:r>
          </w:p>
        </w:tc>
      </w:tr>
      <w:tr w:rsidR="00642FBB" w:rsidRPr="00611315" w14:paraId="6EA7C1B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04BE65B" w14:textId="77777777" w:rsidR="00642FBB" w:rsidRPr="00611315" w:rsidRDefault="00642FBB">
            <w:pPr>
              <w:jc w:val="center"/>
              <w:rPr>
                <w:rFonts w:ascii="Verdana" w:hAnsi="Verdana"/>
                <w:sz w:val="20"/>
                <w:szCs w:val="20"/>
              </w:rPr>
            </w:pPr>
            <w:r w:rsidRPr="00611315">
              <w:rPr>
                <w:rFonts w:ascii="Verdana" w:hAnsi="Verdana"/>
                <w:sz w:val="20"/>
                <w:szCs w:val="20"/>
              </w:rPr>
              <w:t>900251672</w:t>
            </w:r>
          </w:p>
        </w:tc>
        <w:tc>
          <w:tcPr>
            <w:tcW w:w="4961" w:type="dxa"/>
            <w:tcBorders>
              <w:top w:val="nil"/>
              <w:left w:val="nil"/>
              <w:bottom w:val="single" w:sz="4" w:space="0" w:color="auto"/>
              <w:right w:val="single" w:sz="4" w:space="0" w:color="auto"/>
            </w:tcBorders>
            <w:noWrap/>
            <w:vAlign w:val="center"/>
            <w:hideMark/>
          </w:tcPr>
          <w:p w14:paraId="6AD0FDDC" w14:textId="77777777" w:rsidR="00642FBB" w:rsidRPr="00611315" w:rsidRDefault="00642FBB" w:rsidP="00F47B13">
            <w:pPr>
              <w:jc w:val="center"/>
              <w:rPr>
                <w:rFonts w:ascii="Verdana" w:hAnsi="Verdana"/>
                <w:sz w:val="20"/>
                <w:szCs w:val="20"/>
              </w:rPr>
            </w:pPr>
            <w:r w:rsidRPr="00611315">
              <w:rPr>
                <w:rFonts w:ascii="Verdana" w:hAnsi="Verdana"/>
                <w:sz w:val="20"/>
                <w:szCs w:val="20"/>
              </w:rPr>
              <w:t>CONTROL REGIONAL DE HIGIENE MANTENIMIENTO SAS</w:t>
            </w:r>
          </w:p>
        </w:tc>
      </w:tr>
      <w:tr w:rsidR="00642FBB" w:rsidRPr="00611315" w14:paraId="4ED13C2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4BFF07C" w14:textId="77777777" w:rsidR="00642FBB" w:rsidRPr="00611315" w:rsidRDefault="00642FBB">
            <w:pPr>
              <w:jc w:val="center"/>
              <w:rPr>
                <w:rFonts w:ascii="Verdana" w:hAnsi="Verdana"/>
                <w:sz w:val="20"/>
                <w:szCs w:val="20"/>
              </w:rPr>
            </w:pPr>
            <w:r w:rsidRPr="00611315">
              <w:rPr>
                <w:rFonts w:ascii="Verdana" w:hAnsi="Verdana"/>
                <w:sz w:val="20"/>
                <w:szCs w:val="20"/>
              </w:rPr>
              <w:t>901222449</w:t>
            </w:r>
          </w:p>
        </w:tc>
        <w:tc>
          <w:tcPr>
            <w:tcW w:w="4961" w:type="dxa"/>
            <w:tcBorders>
              <w:top w:val="nil"/>
              <w:left w:val="nil"/>
              <w:bottom w:val="single" w:sz="4" w:space="0" w:color="auto"/>
              <w:right w:val="single" w:sz="4" w:space="0" w:color="auto"/>
            </w:tcBorders>
            <w:noWrap/>
            <w:vAlign w:val="center"/>
            <w:hideMark/>
          </w:tcPr>
          <w:p w14:paraId="42799EE3" w14:textId="77777777" w:rsidR="00642FBB" w:rsidRPr="00611315" w:rsidRDefault="00642FBB" w:rsidP="00F47B13">
            <w:pPr>
              <w:jc w:val="center"/>
              <w:rPr>
                <w:rFonts w:ascii="Verdana" w:hAnsi="Verdana"/>
                <w:sz w:val="20"/>
                <w:szCs w:val="20"/>
              </w:rPr>
            </w:pPr>
            <w:r w:rsidRPr="00611315">
              <w:rPr>
                <w:rFonts w:ascii="Verdana" w:hAnsi="Verdana"/>
                <w:sz w:val="20"/>
                <w:szCs w:val="20"/>
              </w:rPr>
              <w:t>MACROVIL SAS</w:t>
            </w:r>
          </w:p>
        </w:tc>
      </w:tr>
      <w:tr w:rsidR="00642FBB" w:rsidRPr="00611315" w14:paraId="6A6C5B0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BFCE41B" w14:textId="77777777" w:rsidR="00642FBB" w:rsidRPr="00611315" w:rsidRDefault="00642FBB">
            <w:pPr>
              <w:jc w:val="center"/>
              <w:rPr>
                <w:rFonts w:ascii="Verdana" w:hAnsi="Verdana"/>
                <w:sz w:val="20"/>
                <w:szCs w:val="20"/>
              </w:rPr>
            </w:pPr>
            <w:r w:rsidRPr="00611315">
              <w:rPr>
                <w:rFonts w:ascii="Verdana" w:hAnsi="Verdana"/>
                <w:sz w:val="20"/>
                <w:szCs w:val="20"/>
              </w:rPr>
              <w:t>900735656</w:t>
            </w:r>
          </w:p>
        </w:tc>
        <w:tc>
          <w:tcPr>
            <w:tcW w:w="4961" w:type="dxa"/>
            <w:tcBorders>
              <w:top w:val="nil"/>
              <w:left w:val="nil"/>
              <w:bottom w:val="single" w:sz="4" w:space="0" w:color="auto"/>
              <w:right w:val="single" w:sz="4" w:space="0" w:color="auto"/>
            </w:tcBorders>
            <w:noWrap/>
            <w:vAlign w:val="center"/>
            <w:hideMark/>
          </w:tcPr>
          <w:p w14:paraId="3FC7AE09" w14:textId="77777777" w:rsidR="00642FBB" w:rsidRPr="00611315" w:rsidRDefault="00642FBB" w:rsidP="00F47B13">
            <w:pPr>
              <w:jc w:val="center"/>
              <w:rPr>
                <w:rFonts w:ascii="Verdana" w:hAnsi="Verdana"/>
                <w:sz w:val="20"/>
                <w:szCs w:val="20"/>
              </w:rPr>
            </w:pPr>
            <w:r w:rsidRPr="00611315">
              <w:rPr>
                <w:rFonts w:ascii="Verdana" w:hAnsi="Verdana"/>
                <w:sz w:val="20"/>
                <w:szCs w:val="20"/>
              </w:rPr>
              <w:t>EMPRESA DE PROYECTOS DE INGENIERIA CIVIL Y AMBIENTAL SAS</w:t>
            </w:r>
          </w:p>
        </w:tc>
      </w:tr>
      <w:tr w:rsidR="00642FBB" w:rsidRPr="00611315" w14:paraId="2272430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9ECC128" w14:textId="77777777" w:rsidR="00642FBB" w:rsidRPr="00611315" w:rsidRDefault="00642FBB">
            <w:pPr>
              <w:jc w:val="center"/>
              <w:rPr>
                <w:rFonts w:ascii="Verdana" w:hAnsi="Verdana"/>
                <w:sz w:val="20"/>
                <w:szCs w:val="20"/>
              </w:rPr>
            </w:pPr>
            <w:r w:rsidRPr="00611315">
              <w:rPr>
                <w:rFonts w:ascii="Verdana" w:hAnsi="Verdana"/>
                <w:sz w:val="20"/>
                <w:szCs w:val="20"/>
              </w:rPr>
              <w:t>900519162</w:t>
            </w:r>
          </w:p>
        </w:tc>
        <w:tc>
          <w:tcPr>
            <w:tcW w:w="4961" w:type="dxa"/>
            <w:tcBorders>
              <w:top w:val="nil"/>
              <w:left w:val="nil"/>
              <w:bottom w:val="single" w:sz="4" w:space="0" w:color="auto"/>
              <w:right w:val="single" w:sz="4" w:space="0" w:color="auto"/>
            </w:tcBorders>
            <w:noWrap/>
            <w:vAlign w:val="center"/>
            <w:hideMark/>
          </w:tcPr>
          <w:p w14:paraId="6ABAFC69"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GAF S.A.S</w:t>
            </w:r>
          </w:p>
        </w:tc>
      </w:tr>
      <w:tr w:rsidR="00642FBB" w:rsidRPr="00611315" w14:paraId="2E1EEEF2"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4823930" w14:textId="77777777" w:rsidR="00642FBB" w:rsidRPr="00611315" w:rsidRDefault="00642FBB">
            <w:pPr>
              <w:jc w:val="center"/>
              <w:rPr>
                <w:rFonts w:ascii="Verdana" w:hAnsi="Verdana"/>
                <w:sz w:val="20"/>
                <w:szCs w:val="20"/>
              </w:rPr>
            </w:pPr>
            <w:r w:rsidRPr="00611315">
              <w:rPr>
                <w:rFonts w:ascii="Verdana" w:hAnsi="Verdana"/>
                <w:sz w:val="20"/>
                <w:szCs w:val="20"/>
              </w:rPr>
              <w:t>900844354</w:t>
            </w:r>
          </w:p>
        </w:tc>
        <w:tc>
          <w:tcPr>
            <w:tcW w:w="4961" w:type="dxa"/>
            <w:tcBorders>
              <w:top w:val="nil"/>
              <w:left w:val="nil"/>
              <w:bottom w:val="single" w:sz="4" w:space="0" w:color="auto"/>
              <w:right w:val="single" w:sz="4" w:space="0" w:color="auto"/>
            </w:tcBorders>
            <w:noWrap/>
            <w:vAlign w:val="center"/>
            <w:hideMark/>
          </w:tcPr>
          <w:p w14:paraId="62D8B184" w14:textId="77777777" w:rsidR="00642FBB" w:rsidRPr="00611315" w:rsidRDefault="00642FBB" w:rsidP="00F47B13">
            <w:pPr>
              <w:jc w:val="center"/>
              <w:rPr>
                <w:rFonts w:ascii="Verdana" w:hAnsi="Verdana"/>
                <w:sz w:val="20"/>
                <w:szCs w:val="20"/>
              </w:rPr>
            </w:pPr>
            <w:r w:rsidRPr="00611315">
              <w:rPr>
                <w:rFonts w:ascii="Verdana" w:hAnsi="Verdana"/>
                <w:sz w:val="20"/>
                <w:szCs w:val="20"/>
              </w:rPr>
              <w:t>INGASYC SAS</w:t>
            </w:r>
          </w:p>
        </w:tc>
      </w:tr>
      <w:tr w:rsidR="00642FBB" w:rsidRPr="00611315" w14:paraId="43401E0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3C17328" w14:textId="77777777" w:rsidR="00642FBB" w:rsidRPr="00611315" w:rsidRDefault="00642FBB">
            <w:pPr>
              <w:jc w:val="center"/>
              <w:rPr>
                <w:rFonts w:ascii="Verdana" w:hAnsi="Verdana"/>
                <w:sz w:val="20"/>
                <w:szCs w:val="20"/>
              </w:rPr>
            </w:pPr>
            <w:r w:rsidRPr="00611315">
              <w:rPr>
                <w:rFonts w:ascii="Verdana" w:hAnsi="Verdana"/>
                <w:sz w:val="20"/>
                <w:szCs w:val="20"/>
              </w:rPr>
              <w:t>900105134</w:t>
            </w:r>
          </w:p>
        </w:tc>
        <w:tc>
          <w:tcPr>
            <w:tcW w:w="4961" w:type="dxa"/>
            <w:tcBorders>
              <w:top w:val="nil"/>
              <w:left w:val="nil"/>
              <w:bottom w:val="single" w:sz="4" w:space="0" w:color="auto"/>
              <w:right w:val="single" w:sz="4" w:space="0" w:color="auto"/>
            </w:tcBorders>
            <w:noWrap/>
            <w:vAlign w:val="center"/>
            <w:hideMark/>
          </w:tcPr>
          <w:p w14:paraId="5F6BBD0A" w14:textId="77777777" w:rsidR="00642FBB" w:rsidRPr="00611315" w:rsidRDefault="00642FBB" w:rsidP="00F47B13">
            <w:pPr>
              <w:jc w:val="center"/>
              <w:rPr>
                <w:rFonts w:ascii="Verdana" w:hAnsi="Verdana"/>
                <w:sz w:val="20"/>
                <w:szCs w:val="20"/>
              </w:rPr>
            </w:pPr>
            <w:r w:rsidRPr="00611315">
              <w:rPr>
                <w:rFonts w:ascii="Verdana" w:hAnsi="Verdana"/>
                <w:sz w:val="20"/>
                <w:szCs w:val="20"/>
              </w:rPr>
              <w:t>ESTUDIOS PROFESIONALES INTERVENTORIAS Y CONSTRUCCIONES INGENIERIA S.A.S.</w:t>
            </w:r>
          </w:p>
        </w:tc>
      </w:tr>
      <w:tr w:rsidR="00642FBB" w:rsidRPr="00611315" w14:paraId="1BCA1A9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DCD7E0A" w14:textId="77777777" w:rsidR="00642FBB" w:rsidRPr="00611315" w:rsidRDefault="00642FBB">
            <w:pPr>
              <w:jc w:val="center"/>
              <w:rPr>
                <w:rFonts w:ascii="Verdana" w:hAnsi="Verdana"/>
                <w:sz w:val="20"/>
                <w:szCs w:val="20"/>
              </w:rPr>
            </w:pPr>
            <w:r w:rsidRPr="00611315">
              <w:rPr>
                <w:rFonts w:ascii="Verdana" w:hAnsi="Verdana"/>
                <w:sz w:val="20"/>
                <w:szCs w:val="20"/>
              </w:rPr>
              <w:t>901357668</w:t>
            </w:r>
          </w:p>
        </w:tc>
        <w:tc>
          <w:tcPr>
            <w:tcW w:w="4961" w:type="dxa"/>
            <w:tcBorders>
              <w:top w:val="nil"/>
              <w:left w:val="nil"/>
              <w:bottom w:val="single" w:sz="4" w:space="0" w:color="auto"/>
              <w:right w:val="single" w:sz="4" w:space="0" w:color="auto"/>
            </w:tcBorders>
            <w:noWrap/>
            <w:vAlign w:val="center"/>
            <w:hideMark/>
          </w:tcPr>
          <w:p w14:paraId="1F690AA5"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&amp; FERRETERIA LA SABANA SAS</w:t>
            </w:r>
          </w:p>
        </w:tc>
      </w:tr>
      <w:tr w:rsidR="00642FBB" w:rsidRPr="00611315" w14:paraId="61C6CEE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36A9A46" w14:textId="77777777" w:rsidR="00642FBB" w:rsidRPr="00611315" w:rsidRDefault="00642FBB">
            <w:pPr>
              <w:jc w:val="center"/>
              <w:rPr>
                <w:rFonts w:ascii="Verdana" w:hAnsi="Verdana"/>
                <w:sz w:val="20"/>
                <w:szCs w:val="20"/>
              </w:rPr>
            </w:pPr>
            <w:r w:rsidRPr="00611315">
              <w:rPr>
                <w:rFonts w:ascii="Verdana" w:hAnsi="Verdana"/>
                <w:sz w:val="20"/>
                <w:szCs w:val="20"/>
              </w:rPr>
              <w:t>901167911</w:t>
            </w:r>
          </w:p>
        </w:tc>
        <w:tc>
          <w:tcPr>
            <w:tcW w:w="4961" w:type="dxa"/>
            <w:tcBorders>
              <w:top w:val="nil"/>
              <w:left w:val="nil"/>
              <w:bottom w:val="single" w:sz="4" w:space="0" w:color="auto"/>
              <w:right w:val="single" w:sz="4" w:space="0" w:color="auto"/>
            </w:tcBorders>
            <w:noWrap/>
            <w:vAlign w:val="center"/>
            <w:hideMark/>
          </w:tcPr>
          <w:p w14:paraId="1BAD4899" w14:textId="77777777" w:rsidR="00642FBB" w:rsidRPr="00611315" w:rsidRDefault="00642FBB" w:rsidP="00F47B13">
            <w:pPr>
              <w:jc w:val="center"/>
              <w:rPr>
                <w:rFonts w:ascii="Verdana" w:hAnsi="Verdana"/>
                <w:sz w:val="20"/>
                <w:szCs w:val="20"/>
              </w:rPr>
            </w:pPr>
            <w:r w:rsidRPr="00611315">
              <w:rPr>
                <w:rFonts w:ascii="Verdana" w:hAnsi="Verdana"/>
                <w:sz w:val="20"/>
                <w:szCs w:val="20"/>
              </w:rPr>
              <w:t>BROKA CONSTRUCCIONES E INTERVENTORIAS S.A.S</w:t>
            </w:r>
          </w:p>
        </w:tc>
      </w:tr>
      <w:tr w:rsidR="00642FBB" w:rsidRPr="00611315" w14:paraId="78C050B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2FC4C09" w14:textId="77777777" w:rsidR="00642FBB" w:rsidRPr="00611315" w:rsidRDefault="00642FBB">
            <w:pPr>
              <w:jc w:val="center"/>
              <w:rPr>
                <w:rFonts w:ascii="Verdana" w:hAnsi="Verdana"/>
                <w:sz w:val="20"/>
                <w:szCs w:val="20"/>
              </w:rPr>
            </w:pPr>
            <w:r w:rsidRPr="00611315">
              <w:rPr>
                <w:rFonts w:ascii="Verdana" w:hAnsi="Verdana"/>
                <w:sz w:val="20"/>
                <w:szCs w:val="20"/>
              </w:rPr>
              <w:t>900394848</w:t>
            </w:r>
          </w:p>
        </w:tc>
        <w:tc>
          <w:tcPr>
            <w:tcW w:w="4961" w:type="dxa"/>
            <w:tcBorders>
              <w:top w:val="nil"/>
              <w:left w:val="nil"/>
              <w:bottom w:val="single" w:sz="4" w:space="0" w:color="auto"/>
              <w:right w:val="single" w:sz="4" w:space="0" w:color="auto"/>
            </w:tcBorders>
            <w:noWrap/>
            <w:vAlign w:val="center"/>
            <w:hideMark/>
          </w:tcPr>
          <w:p w14:paraId="43FDC01F" w14:textId="77777777" w:rsidR="00642FBB" w:rsidRPr="00611315" w:rsidRDefault="00642FBB" w:rsidP="00F47B13">
            <w:pPr>
              <w:jc w:val="center"/>
              <w:rPr>
                <w:rFonts w:ascii="Verdana" w:hAnsi="Verdana"/>
                <w:sz w:val="20"/>
                <w:szCs w:val="20"/>
              </w:rPr>
            </w:pPr>
            <w:r w:rsidRPr="00611315">
              <w:rPr>
                <w:rFonts w:ascii="Verdana" w:hAnsi="Verdana"/>
                <w:sz w:val="20"/>
                <w:szCs w:val="20"/>
              </w:rPr>
              <w:t>OBRACOL SAS CONSTRUCTORA</w:t>
            </w:r>
          </w:p>
        </w:tc>
      </w:tr>
      <w:tr w:rsidR="00642FBB" w:rsidRPr="00611315" w14:paraId="24B946A1"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4E51BBB" w14:textId="77777777" w:rsidR="00642FBB" w:rsidRPr="00611315" w:rsidRDefault="00642FBB">
            <w:pPr>
              <w:jc w:val="center"/>
              <w:rPr>
                <w:rFonts w:ascii="Verdana" w:hAnsi="Verdana"/>
                <w:sz w:val="20"/>
                <w:szCs w:val="20"/>
              </w:rPr>
            </w:pPr>
            <w:r w:rsidRPr="00611315">
              <w:rPr>
                <w:rFonts w:ascii="Verdana" w:hAnsi="Verdana"/>
                <w:sz w:val="20"/>
                <w:szCs w:val="20"/>
              </w:rPr>
              <w:t>900782536</w:t>
            </w:r>
          </w:p>
        </w:tc>
        <w:tc>
          <w:tcPr>
            <w:tcW w:w="4961" w:type="dxa"/>
            <w:tcBorders>
              <w:top w:val="nil"/>
              <w:left w:val="nil"/>
              <w:bottom w:val="single" w:sz="4" w:space="0" w:color="auto"/>
              <w:right w:val="single" w:sz="4" w:space="0" w:color="auto"/>
            </w:tcBorders>
            <w:noWrap/>
            <w:vAlign w:val="center"/>
            <w:hideMark/>
          </w:tcPr>
          <w:p w14:paraId="64657EAB" w14:textId="77777777" w:rsidR="00642FBB" w:rsidRPr="00611315" w:rsidRDefault="00642FBB" w:rsidP="00F47B13">
            <w:pPr>
              <w:jc w:val="center"/>
              <w:rPr>
                <w:rFonts w:ascii="Verdana" w:hAnsi="Verdana"/>
                <w:sz w:val="20"/>
                <w:szCs w:val="20"/>
              </w:rPr>
            </w:pPr>
            <w:r w:rsidRPr="00611315">
              <w:rPr>
                <w:rFonts w:ascii="Verdana" w:hAnsi="Verdana"/>
                <w:sz w:val="20"/>
                <w:szCs w:val="20"/>
              </w:rPr>
              <w:t>COLOMBIANA DE SERVICIOS COMEDORES &amp; SUMINISTROS S.A.S</w:t>
            </w:r>
          </w:p>
        </w:tc>
      </w:tr>
      <w:tr w:rsidR="00642FBB" w:rsidRPr="00611315" w14:paraId="2D0D8D9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2D76687" w14:textId="77777777" w:rsidR="00642FBB" w:rsidRPr="00611315" w:rsidRDefault="00642FBB">
            <w:pPr>
              <w:jc w:val="center"/>
              <w:rPr>
                <w:rFonts w:ascii="Verdana" w:hAnsi="Verdana"/>
                <w:sz w:val="20"/>
                <w:szCs w:val="20"/>
              </w:rPr>
            </w:pPr>
            <w:r w:rsidRPr="00611315">
              <w:rPr>
                <w:rFonts w:ascii="Verdana" w:hAnsi="Verdana"/>
                <w:sz w:val="20"/>
                <w:szCs w:val="20"/>
              </w:rPr>
              <w:t>901100579</w:t>
            </w:r>
          </w:p>
        </w:tc>
        <w:tc>
          <w:tcPr>
            <w:tcW w:w="4961" w:type="dxa"/>
            <w:tcBorders>
              <w:top w:val="nil"/>
              <w:left w:val="nil"/>
              <w:bottom w:val="single" w:sz="4" w:space="0" w:color="auto"/>
              <w:right w:val="single" w:sz="4" w:space="0" w:color="auto"/>
            </w:tcBorders>
            <w:noWrap/>
            <w:vAlign w:val="center"/>
            <w:hideMark/>
          </w:tcPr>
          <w:p w14:paraId="4C85334A" w14:textId="77777777" w:rsidR="00642FBB" w:rsidRPr="00611315" w:rsidRDefault="00642FBB" w:rsidP="00F47B13">
            <w:pPr>
              <w:jc w:val="center"/>
              <w:rPr>
                <w:rFonts w:ascii="Verdana" w:hAnsi="Verdana"/>
                <w:sz w:val="20"/>
                <w:szCs w:val="20"/>
              </w:rPr>
            </w:pPr>
            <w:r w:rsidRPr="00611315">
              <w:rPr>
                <w:rFonts w:ascii="Verdana" w:hAnsi="Verdana"/>
                <w:sz w:val="20"/>
                <w:szCs w:val="20"/>
              </w:rPr>
              <w:t>HD INGENIERIA Y CONSULTORIA S.A.S.</w:t>
            </w:r>
          </w:p>
        </w:tc>
      </w:tr>
      <w:tr w:rsidR="00642FBB" w:rsidRPr="00611315" w14:paraId="597F95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BFE201D" w14:textId="77777777" w:rsidR="00642FBB" w:rsidRPr="00611315" w:rsidRDefault="00642FBB">
            <w:pPr>
              <w:jc w:val="center"/>
              <w:rPr>
                <w:rFonts w:ascii="Verdana" w:hAnsi="Verdana"/>
                <w:sz w:val="20"/>
                <w:szCs w:val="20"/>
              </w:rPr>
            </w:pPr>
            <w:r w:rsidRPr="00611315">
              <w:rPr>
                <w:rFonts w:ascii="Verdana" w:hAnsi="Verdana"/>
                <w:sz w:val="20"/>
                <w:szCs w:val="20"/>
              </w:rPr>
              <w:lastRenderedPageBreak/>
              <w:t>825001618</w:t>
            </w:r>
          </w:p>
        </w:tc>
        <w:tc>
          <w:tcPr>
            <w:tcW w:w="4961" w:type="dxa"/>
            <w:tcBorders>
              <w:top w:val="nil"/>
              <w:left w:val="nil"/>
              <w:bottom w:val="single" w:sz="4" w:space="0" w:color="auto"/>
              <w:right w:val="single" w:sz="4" w:space="0" w:color="auto"/>
            </w:tcBorders>
            <w:noWrap/>
            <w:vAlign w:val="center"/>
            <w:hideMark/>
          </w:tcPr>
          <w:p w14:paraId="5F22EA33" w14:textId="77777777" w:rsidR="00642FBB" w:rsidRPr="00611315" w:rsidRDefault="00642FBB" w:rsidP="00F47B13">
            <w:pPr>
              <w:jc w:val="center"/>
              <w:rPr>
                <w:rFonts w:ascii="Verdana" w:hAnsi="Verdana"/>
                <w:sz w:val="20"/>
                <w:szCs w:val="20"/>
              </w:rPr>
            </w:pPr>
            <w:r w:rsidRPr="00611315">
              <w:rPr>
                <w:rFonts w:ascii="Verdana" w:hAnsi="Verdana"/>
                <w:sz w:val="20"/>
                <w:szCs w:val="20"/>
              </w:rPr>
              <w:t>J.R. FONSECA INGENIERIA S.A.S.</w:t>
            </w:r>
          </w:p>
        </w:tc>
      </w:tr>
      <w:tr w:rsidR="00642FBB" w:rsidRPr="00611315" w14:paraId="097E869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E97035B" w14:textId="77777777" w:rsidR="00642FBB" w:rsidRPr="00611315" w:rsidRDefault="00642FBB">
            <w:pPr>
              <w:jc w:val="center"/>
              <w:rPr>
                <w:rFonts w:ascii="Verdana" w:hAnsi="Verdana"/>
                <w:sz w:val="20"/>
                <w:szCs w:val="20"/>
              </w:rPr>
            </w:pPr>
            <w:r w:rsidRPr="00611315">
              <w:rPr>
                <w:rFonts w:ascii="Verdana" w:hAnsi="Verdana"/>
                <w:sz w:val="20"/>
                <w:szCs w:val="20"/>
              </w:rPr>
              <w:t>901494523</w:t>
            </w:r>
          </w:p>
        </w:tc>
        <w:tc>
          <w:tcPr>
            <w:tcW w:w="4961" w:type="dxa"/>
            <w:tcBorders>
              <w:top w:val="nil"/>
              <w:left w:val="nil"/>
              <w:bottom w:val="single" w:sz="4" w:space="0" w:color="auto"/>
              <w:right w:val="single" w:sz="4" w:space="0" w:color="auto"/>
            </w:tcBorders>
            <w:noWrap/>
            <w:vAlign w:val="center"/>
            <w:hideMark/>
          </w:tcPr>
          <w:p w14:paraId="526861D8"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INTEGRAL DE CORDOBA S.A.S</w:t>
            </w:r>
          </w:p>
        </w:tc>
      </w:tr>
      <w:tr w:rsidR="00642FBB" w:rsidRPr="00611315" w14:paraId="2F449CF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5FF2B7F" w14:textId="77777777" w:rsidR="00642FBB" w:rsidRPr="00611315" w:rsidRDefault="00642FBB">
            <w:pPr>
              <w:jc w:val="center"/>
              <w:rPr>
                <w:rFonts w:ascii="Verdana" w:hAnsi="Verdana"/>
                <w:sz w:val="20"/>
                <w:szCs w:val="20"/>
              </w:rPr>
            </w:pPr>
            <w:r w:rsidRPr="00611315">
              <w:rPr>
                <w:rFonts w:ascii="Verdana" w:hAnsi="Verdana"/>
                <w:sz w:val="20"/>
                <w:szCs w:val="20"/>
              </w:rPr>
              <w:t>830128894</w:t>
            </w:r>
          </w:p>
        </w:tc>
        <w:tc>
          <w:tcPr>
            <w:tcW w:w="4961" w:type="dxa"/>
            <w:tcBorders>
              <w:top w:val="nil"/>
              <w:left w:val="nil"/>
              <w:bottom w:val="single" w:sz="4" w:space="0" w:color="auto"/>
              <w:right w:val="single" w:sz="4" w:space="0" w:color="auto"/>
            </w:tcBorders>
            <w:noWrap/>
            <w:vAlign w:val="center"/>
            <w:hideMark/>
          </w:tcPr>
          <w:p w14:paraId="393487A5" w14:textId="77777777" w:rsidR="00642FBB" w:rsidRPr="00611315" w:rsidRDefault="00642FBB" w:rsidP="00F47B13">
            <w:pPr>
              <w:jc w:val="center"/>
              <w:rPr>
                <w:rFonts w:ascii="Verdana" w:hAnsi="Verdana"/>
                <w:sz w:val="20"/>
                <w:szCs w:val="20"/>
              </w:rPr>
            </w:pPr>
            <w:r w:rsidRPr="00611315">
              <w:rPr>
                <w:rFonts w:ascii="Verdana" w:hAnsi="Verdana"/>
                <w:sz w:val="20"/>
                <w:szCs w:val="20"/>
              </w:rPr>
              <w:t>GESTION RURAL Y URBANA S.A.S.</w:t>
            </w:r>
          </w:p>
        </w:tc>
      </w:tr>
      <w:tr w:rsidR="00642FBB" w:rsidRPr="00611315" w14:paraId="4E4110B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647336E" w14:textId="77777777" w:rsidR="00642FBB" w:rsidRPr="00611315" w:rsidRDefault="00642FBB">
            <w:pPr>
              <w:jc w:val="center"/>
              <w:rPr>
                <w:rFonts w:ascii="Verdana" w:hAnsi="Verdana"/>
                <w:sz w:val="20"/>
                <w:szCs w:val="20"/>
              </w:rPr>
            </w:pPr>
            <w:r w:rsidRPr="00611315">
              <w:rPr>
                <w:rFonts w:ascii="Verdana" w:hAnsi="Verdana"/>
                <w:sz w:val="20"/>
                <w:szCs w:val="20"/>
              </w:rPr>
              <w:t>900128820</w:t>
            </w:r>
          </w:p>
        </w:tc>
        <w:tc>
          <w:tcPr>
            <w:tcW w:w="4961" w:type="dxa"/>
            <w:tcBorders>
              <w:top w:val="nil"/>
              <w:left w:val="nil"/>
              <w:bottom w:val="single" w:sz="4" w:space="0" w:color="auto"/>
              <w:right w:val="single" w:sz="4" w:space="0" w:color="auto"/>
            </w:tcBorders>
            <w:noWrap/>
            <w:vAlign w:val="center"/>
            <w:hideMark/>
          </w:tcPr>
          <w:p w14:paraId="248CF288" w14:textId="77777777" w:rsidR="00642FBB" w:rsidRPr="00611315" w:rsidRDefault="00642FBB" w:rsidP="00F47B13">
            <w:pPr>
              <w:jc w:val="center"/>
              <w:rPr>
                <w:rFonts w:ascii="Verdana" w:hAnsi="Verdana"/>
                <w:sz w:val="20"/>
                <w:szCs w:val="20"/>
              </w:rPr>
            </w:pPr>
            <w:r w:rsidRPr="00611315">
              <w:rPr>
                <w:rFonts w:ascii="Verdana" w:hAnsi="Verdana"/>
                <w:sz w:val="20"/>
                <w:szCs w:val="20"/>
              </w:rPr>
              <w:t>CIVILMAQ S.A.S.</w:t>
            </w:r>
          </w:p>
        </w:tc>
      </w:tr>
      <w:tr w:rsidR="00642FBB" w:rsidRPr="00611315" w14:paraId="61CB564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12B16FF" w14:textId="77777777" w:rsidR="00642FBB" w:rsidRPr="00611315" w:rsidRDefault="00642FBB">
            <w:pPr>
              <w:jc w:val="center"/>
              <w:rPr>
                <w:rFonts w:ascii="Verdana" w:hAnsi="Verdana"/>
                <w:sz w:val="20"/>
                <w:szCs w:val="20"/>
              </w:rPr>
            </w:pPr>
            <w:r w:rsidRPr="00611315">
              <w:rPr>
                <w:rFonts w:ascii="Verdana" w:hAnsi="Verdana"/>
                <w:sz w:val="20"/>
                <w:szCs w:val="20"/>
              </w:rPr>
              <w:t>900346779</w:t>
            </w:r>
          </w:p>
        </w:tc>
        <w:tc>
          <w:tcPr>
            <w:tcW w:w="4961" w:type="dxa"/>
            <w:tcBorders>
              <w:top w:val="nil"/>
              <w:left w:val="nil"/>
              <w:bottom w:val="single" w:sz="4" w:space="0" w:color="auto"/>
              <w:right w:val="single" w:sz="4" w:space="0" w:color="auto"/>
            </w:tcBorders>
            <w:noWrap/>
            <w:vAlign w:val="center"/>
            <w:hideMark/>
          </w:tcPr>
          <w:p w14:paraId="5D1DF84C" w14:textId="77777777" w:rsidR="00642FBB" w:rsidRPr="00611315" w:rsidRDefault="00642FBB" w:rsidP="00F47B13">
            <w:pPr>
              <w:jc w:val="center"/>
              <w:rPr>
                <w:rFonts w:ascii="Verdana" w:hAnsi="Verdana"/>
                <w:sz w:val="20"/>
                <w:szCs w:val="20"/>
              </w:rPr>
            </w:pPr>
            <w:r w:rsidRPr="00611315">
              <w:rPr>
                <w:rFonts w:ascii="Verdana" w:hAnsi="Verdana"/>
                <w:sz w:val="20"/>
                <w:szCs w:val="20"/>
              </w:rPr>
              <w:t>A&amp;A CONSULTORIA E INGENIERIA S A S</w:t>
            </w:r>
          </w:p>
        </w:tc>
      </w:tr>
      <w:tr w:rsidR="00642FBB" w:rsidRPr="00611315" w14:paraId="0FF8311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0B98D07" w14:textId="77777777" w:rsidR="00642FBB" w:rsidRPr="00611315" w:rsidRDefault="00642FBB">
            <w:pPr>
              <w:jc w:val="center"/>
              <w:rPr>
                <w:rFonts w:ascii="Verdana" w:hAnsi="Verdana"/>
                <w:sz w:val="20"/>
                <w:szCs w:val="20"/>
              </w:rPr>
            </w:pPr>
            <w:r w:rsidRPr="00611315">
              <w:rPr>
                <w:rFonts w:ascii="Verdana" w:hAnsi="Verdana"/>
                <w:sz w:val="20"/>
                <w:szCs w:val="20"/>
              </w:rPr>
              <w:t>901520943</w:t>
            </w:r>
          </w:p>
        </w:tc>
        <w:tc>
          <w:tcPr>
            <w:tcW w:w="4961" w:type="dxa"/>
            <w:tcBorders>
              <w:top w:val="nil"/>
              <w:left w:val="nil"/>
              <w:bottom w:val="single" w:sz="4" w:space="0" w:color="auto"/>
              <w:right w:val="single" w:sz="4" w:space="0" w:color="auto"/>
            </w:tcBorders>
            <w:noWrap/>
            <w:vAlign w:val="center"/>
            <w:hideMark/>
          </w:tcPr>
          <w:p w14:paraId="796417F6" w14:textId="77777777" w:rsidR="00642FBB" w:rsidRPr="00611315" w:rsidRDefault="00642FBB" w:rsidP="00F47B13">
            <w:pPr>
              <w:jc w:val="center"/>
              <w:rPr>
                <w:rFonts w:ascii="Verdana" w:hAnsi="Verdana"/>
                <w:sz w:val="20"/>
                <w:szCs w:val="20"/>
              </w:rPr>
            </w:pPr>
            <w:r w:rsidRPr="00611315">
              <w:rPr>
                <w:rFonts w:ascii="Verdana" w:hAnsi="Verdana"/>
                <w:sz w:val="20"/>
                <w:szCs w:val="20"/>
              </w:rPr>
              <w:t>VINCI PROJECTS SAS</w:t>
            </w:r>
          </w:p>
        </w:tc>
      </w:tr>
      <w:tr w:rsidR="00642FBB" w:rsidRPr="00611315" w14:paraId="2F057C11"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F7F97B8" w14:textId="77777777" w:rsidR="00642FBB" w:rsidRPr="00611315" w:rsidRDefault="00642FBB">
            <w:pPr>
              <w:jc w:val="center"/>
              <w:rPr>
                <w:rFonts w:ascii="Verdana" w:hAnsi="Verdana"/>
                <w:sz w:val="20"/>
                <w:szCs w:val="20"/>
              </w:rPr>
            </w:pPr>
            <w:r w:rsidRPr="00611315">
              <w:rPr>
                <w:rFonts w:ascii="Verdana" w:hAnsi="Verdana"/>
                <w:sz w:val="20"/>
                <w:szCs w:val="20"/>
              </w:rPr>
              <w:t>900298623</w:t>
            </w:r>
          </w:p>
        </w:tc>
        <w:tc>
          <w:tcPr>
            <w:tcW w:w="4961" w:type="dxa"/>
            <w:tcBorders>
              <w:top w:val="nil"/>
              <w:left w:val="nil"/>
              <w:bottom w:val="single" w:sz="4" w:space="0" w:color="auto"/>
              <w:right w:val="single" w:sz="4" w:space="0" w:color="auto"/>
            </w:tcBorders>
            <w:noWrap/>
            <w:vAlign w:val="center"/>
            <w:hideMark/>
          </w:tcPr>
          <w:p w14:paraId="1CEC4450" w14:textId="77777777" w:rsidR="00642FBB" w:rsidRPr="00611315" w:rsidRDefault="00642FBB" w:rsidP="00F47B13">
            <w:pPr>
              <w:jc w:val="center"/>
              <w:rPr>
                <w:rFonts w:ascii="Verdana" w:hAnsi="Verdana"/>
                <w:sz w:val="20"/>
                <w:szCs w:val="20"/>
              </w:rPr>
            </w:pPr>
            <w:r w:rsidRPr="00611315">
              <w:rPr>
                <w:rFonts w:ascii="Verdana" w:hAnsi="Verdana"/>
                <w:sz w:val="20"/>
                <w:szCs w:val="20"/>
              </w:rPr>
              <w:t>CEDRO ANDINO SOCIEDAD POR ACCIONES SIMPLIFICADA</w:t>
            </w:r>
          </w:p>
        </w:tc>
      </w:tr>
      <w:tr w:rsidR="00642FBB" w:rsidRPr="00611315" w14:paraId="592C61F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0756B33" w14:textId="77777777" w:rsidR="00642FBB" w:rsidRPr="00611315" w:rsidRDefault="00642FBB">
            <w:pPr>
              <w:jc w:val="center"/>
              <w:rPr>
                <w:rFonts w:ascii="Verdana" w:hAnsi="Verdana"/>
                <w:sz w:val="20"/>
                <w:szCs w:val="20"/>
              </w:rPr>
            </w:pPr>
            <w:r w:rsidRPr="00611315">
              <w:rPr>
                <w:rFonts w:ascii="Verdana" w:hAnsi="Verdana"/>
                <w:sz w:val="20"/>
                <w:szCs w:val="20"/>
              </w:rPr>
              <w:t>830083543</w:t>
            </w:r>
          </w:p>
        </w:tc>
        <w:tc>
          <w:tcPr>
            <w:tcW w:w="4961" w:type="dxa"/>
            <w:tcBorders>
              <w:top w:val="nil"/>
              <w:left w:val="nil"/>
              <w:bottom w:val="single" w:sz="4" w:space="0" w:color="auto"/>
              <w:right w:val="single" w:sz="4" w:space="0" w:color="auto"/>
            </w:tcBorders>
            <w:noWrap/>
            <w:vAlign w:val="center"/>
            <w:hideMark/>
          </w:tcPr>
          <w:p w14:paraId="339E40E5" w14:textId="77777777" w:rsidR="00642FBB" w:rsidRPr="00611315" w:rsidRDefault="00642FBB" w:rsidP="00F47B13">
            <w:pPr>
              <w:jc w:val="center"/>
              <w:rPr>
                <w:rFonts w:ascii="Verdana" w:hAnsi="Verdana"/>
                <w:sz w:val="20"/>
                <w:szCs w:val="20"/>
              </w:rPr>
            </w:pPr>
            <w:r w:rsidRPr="00611315">
              <w:rPr>
                <w:rFonts w:ascii="Verdana" w:hAnsi="Verdana"/>
                <w:sz w:val="20"/>
                <w:szCs w:val="20"/>
              </w:rPr>
              <w:t>HIDRODUCTOS S.A.S</w:t>
            </w:r>
          </w:p>
        </w:tc>
      </w:tr>
      <w:tr w:rsidR="00642FBB" w:rsidRPr="00611315" w14:paraId="6F69985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6B71EBB" w14:textId="77777777" w:rsidR="00642FBB" w:rsidRPr="00611315" w:rsidRDefault="00642FBB">
            <w:pPr>
              <w:jc w:val="center"/>
              <w:rPr>
                <w:rFonts w:ascii="Verdana" w:hAnsi="Verdana"/>
                <w:sz w:val="20"/>
                <w:szCs w:val="20"/>
              </w:rPr>
            </w:pPr>
            <w:r w:rsidRPr="00611315">
              <w:rPr>
                <w:rFonts w:ascii="Verdana" w:hAnsi="Verdana"/>
                <w:sz w:val="20"/>
                <w:szCs w:val="20"/>
              </w:rPr>
              <w:t>830112154</w:t>
            </w:r>
          </w:p>
        </w:tc>
        <w:tc>
          <w:tcPr>
            <w:tcW w:w="4961" w:type="dxa"/>
            <w:tcBorders>
              <w:top w:val="nil"/>
              <w:left w:val="nil"/>
              <w:bottom w:val="single" w:sz="4" w:space="0" w:color="auto"/>
              <w:right w:val="single" w:sz="4" w:space="0" w:color="auto"/>
            </w:tcBorders>
            <w:noWrap/>
            <w:vAlign w:val="center"/>
            <w:hideMark/>
          </w:tcPr>
          <w:p w14:paraId="0A22AD93" w14:textId="77777777" w:rsidR="00642FBB" w:rsidRPr="00611315" w:rsidRDefault="00642FBB" w:rsidP="00F47B13">
            <w:pPr>
              <w:jc w:val="center"/>
              <w:rPr>
                <w:rFonts w:ascii="Verdana" w:hAnsi="Verdana"/>
                <w:sz w:val="20"/>
                <w:szCs w:val="20"/>
              </w:rPr>
            </w:pPr>
            <w:r w:rsidRPr="00611315">
              <w:rPr>
                <w:rFonts w:ascii="Verdana" w:hAnsi="Verdana"/>
                <w:sz w:val="20"/>
                <w:szCs w:val="20"/>
              </w:rPr>
              <w:t>CONTROLES Y AUTOMATIZACION S A S</w:t>
            </w:r>
          </w:p>
        </w:tc>
      </w:tr>
      <w:tr w:rsidR="00642FBB" w:rsidRPr="00611315" w14:paraId="332072E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10768A7" w14:textId="77777777" w:rsidR="00642FBB" w:rsidRPr="00611315" w:rsidRDefault="00642FBB">
            <w:pPr>
              <w:jc w:val="center"/>
              <w:rPr>
                <w:rFonts w:ascii="Verdana" w:hAnsi="Verdana"/>
                <w:sz w:val="20"/>
                <w:szCs w:val="20"/>
              </w:rPr>
            </w:pPr>
            <w:r w:rsidRPr="00611315">
              <w:rPr>
                <w:rFonts w:ascii="Verdana" w:hAnsi="Verdana"/>
                <w:sz w:val="20"/>
                <w:szCs w:val="20"/>
              </w:rPr>
              <w:t>900361140</w:t>
            </w:r>
          </w:p>
        </w:tc>
        <w:tc>
          <w:tcPr>
            <w:tcW w:w="4961" w:type="dxa"/>
            <w:tcBorders>
              <w:top w:val="nil"/>
              <w:left w:val="nil"/>
              <w:bottom w:val="single" w:sz="4" w:space="0" w:color="auto"/>
              <w:right w:val="single" w:sz="4" w:space="0" w:color="auto"/>
            </w:tcBorders>
            <w:noWrap/>
            <w:vAlign w:val="center"/>
            <w:hideMark/>
          </w:tcPr>
          <w:p w14:paraId="5446971F" w14:textId="77777777" w:rsidR="00642FBB" w:rsidRPr="00611315" w:rsidRDefault="00642FBB" w:rsidP="00F47B13">
            <w:pPr>
              <w:jc w:val="center"/>
              <w:rPr>
                <w:rFonts w:ascii="Verdana" w:hAnsi="Verdana"/>
                <w:sz w:val="20"/>
                <w:szCs w:val="20"/>
              </w:rPr>
            </w:pPr>
            <w:r w:rsidRPr="00611315">
              <w:rPr>
                <w:rFonts w:ascii="Verdana" w:hAnsi="Verdana"/>
                <w:sz w:val="20"/>
                <w:szCs w:val="20"/>
              </w:rPr>
              <w:t>ARQUITECTURA MAS VERDE S.A.S</w:t>
            </w:r>
          </w:p>
        </w:tc>
      </w:tr>
      <w:tr w:rsidR="00642FBB" w:rsidRPr="00611315" w14:paraId="5B4D013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EE4DE4F" w14:textId="77777777" w:rsidR="00642FBB" w:rsidRPr="00611315" w:rsidRDefault="00642FBB">
            <w:pPr>
              <w:jc w:val="center"/>
              <w:rPr>
                <w:rFonts w:ascii="Verdana" w:hAnsi="Verdana"/>
                <w:sz w:val="20"/>
                <w:szCs w:val="20"/>
              </w:rPr>
            </w:pPr>
            <w:r w:rsidRPr="00611315">
              <w:rPr>
                <w:rFonts w:ascii="Verdana" w:hAnsi="Verdana"/>
                <w:sz w:val="20"/>
                <w:szCs w:val="20"/>
              </w:rPr>
              <w:t>900960149</w:t>
            </w:r>
          </w:p>
        </w:tc>
        <w:tc>
          <w:tcPr>
            <w:tcW w:w="4961" w:type="dxa"/>
            <w:tcBorders>
              <w:top w:val="nil"/>
              <w:left w:val="nil"/>
              <w:bottom w:val="single" w:sz="4" w:space="0" w:color="auto"/>
              <w:right w:val="single" w:sz="4" w:space="0" w:color="auto"/>
            </w:tcBorders>
            <w:noWrap/>
            <w:vAlign w:val="center"/>
            <w:hideMark/>
          </w:tcPr>
          <w:p w14:paraId="2D316719" w14:textId="77777777" w:rsidR="00642FBB" w:rsidRPr="00611315" w:rsidRDefault="00642FBB" w:rsidP="00F47B13">
            <w:pPr>
              <w:jc w:val="center"/>
              <w:rPr>
                <w:rFonts w:ascii="Verdana" w:hAnsi="Verdana"/>
                <w:sz w:val="20"/>
                <w:szCs w:val="20"/>
              </w:rPr>
            </w:pPr>
            <w:r w:rsidRPr="00611315">
              <w:rPr>
                <w:rFonts w:ascii="Verdana" w:hAnsi="Verdana"/>
                <w:sz w:val="20"/>
                <w:szCs w:val="20"/>
              </w:rPr>
              <w:t>INTEC PROYECTOS Y SERVICIOS S A S</w:t>
            </w:r>
          </w:p>
        </w:tc>
      </w:tr>
      <w:tr w:rsidR="00642FBB" w:rsidRPr="00611315" w14:paraId="1E8767E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434CB10" w14:textId="77777777" w:rsidR="00642FBB" w:rsidRPr="00611315" w:rsidRDefault="00642FBB">
            <w:pPr>
              <w:jc w:val="center"/>
              <w:rPr>
                <w:rFonts w:ascii="Verdana" w:hAnsi="Verdana"/>
                <w:sz w:val="20"/>
                <w:szCs w:val="20"/>
              </w:rPr>
            </w:pPr>
            <w:r w:rsidRPr="00611315">
              <w:rPr>
                <w:rFonts w:ascii="Verdana" w:hAnsi="Verdana"/>
                <w:sz w:val="20"/>
                <w:szCs w:val="20"/>
              </w:rPr>
              <w:t>900220563</w:t>
            </w:r>
          </w:p>
        </w:tc>
        <w:tc>
          <w:tcPr>
            <w:tcW w:w="4961" w:type="dxa"/>
            <w:tcBorders>
              <w:top w:val="nil"/>
              <w:left w:val="nil"/>
              <w:bottom w:val="single" w:sz="4" w:space="0" w:color="auto"/>
              <w:right w:val="single" w:sz="4" w:space="0" w:color="auto"/>
            </w:tcBorders>
            <w:noWrap/>
            <w:vAlign w:val="center"/>
            <w:hideMark/>
          </w:tcPr>
          <w:p w14:paraId="685EF91B" w14:textId="77777777" w:rsidR="00642FBB" w:rsidRPr="00611315" w:rsidRDefault="00642FBB" w:rsidP="00F47B13">
            <w:pPr>
              <w:jc w:val="center"/>
              <w:rPr>
                <w:rFonts w:ascii="Verdana" w:hAnsi="Verdana"/>
                <w:sz w:val="20"/>
                <w:szCs w:val="20"/>
              </w:rPr>
            </w:pPr>
            <w:r w:rsidRPr="00611315">
              <w:rPr>
                <w:rFonts w:ascii="Verdana" w:hAnsi="Verdana"/>
                <w:sz w:val="20"/>
                <w:szCs w:val="20"/>
              </w:rPr>
              <w:t>S&amp;S INGENIERIA CIVIL SAS</w:t>
            </w:r>
          </w:p>
        </w:tc>
      </w:tr>
      <w:tr w:rsidR="00642FBB" w:rsidRPr="00611315" w14:paraId="743924B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BAA2D16" w14:textId="77777777" w:rsidR="00642FBB" w:rsidRPr="00611315" w:rsidRDefault="00642FBB">
            <w:pPr>
              <w:jc w:val="center"/>
              <w:rPr>
                <w:rFonts w:ascii="Verdana" w:hAnsi="Verdana"/>
                <w:sz w:val="20"/>
                <w:szCs w:val="20"/>
              </w:rPr>
            </w:pPr>
            <w:r w:rsidRPr="00611315">
              <w:rPr>
                <w:rFonts w:ascii="Verdana" w:hAnsi="Verdana"/>
                <w:sz w:val="20"/>
                <w:szCs w:val="20"/>
              </w:rPr>
              <w:t>900220405</w:t>
            </w:r>
          </w:p>
        </w:tc>
        <w:tc>
          <w:tcPr>
            <w:tcW w:w="4961" w:type="dxa"/>
            <w:tcBorders>
              <w:top w:val="nil"/>
              <w:left w:val="nil"/>
              <w:bottom w:val="single" w:sz="4" w:space="0" w:color="auto"/>
              <w:right w:val="single" w:sz="4" w:space="0" w:color="auto"/>
            </w:tcBorders>
            <w:noWrap/>
            <w:vAlign w:val="center"/>
            <w:hideMark/>
          </w:tcPr>
          <w:p w14:paraId="5A907DDB" w14:textId="77777777" w:rsidR="00642FBB" w:rsidRPr="00611315" w:rsidRDefault="00642FBB" w:rsidP="00F47B13">
            <w:pPr>
              <w:jc w:val="center"/>
              <w:rPr>
                <w:rFonts w:ascii="Verdana" w:hAnsi="Verdana"/>
                <w:sz w:val="20"/>
                <w:szCs w:val="20"/>
              </w:rPr>
            </w:pPr>
            <w:r w:rsidRPr="00611315">
              <w:rPr>
                <w:rFonts w:ascii="Verdana" w:hAnsi="Verdana"/>
                <w:sz w:val="20"/>
                <w:szCs w:val="20"/>
              </w:rPr>
              <w:t>CONSULTORIA Y CONSTRUCCION DE OCCIDENTE SAS</w:t>
            </w:r>
          </w:p>
        </w:tc>
      </w:tr>
      <w:tr w:rsidR="00642FBB" w:rsidRPr="00611315" w14:paraId="1A489DC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F430288" w14:textId="77777777" w:rsidR="00642FBB" w:rsidRPr="00611315" w:rsidRDefault="00642FBB">
            <w:pPr>
              <w:jc w:val="center"/>
              <w:rPr>
                <w:rFonts w:ascii="Verdana" w:hAnsi="Verdana"/>
                <w:sz w:val="20"/>
                <w:szCs w:val="20"/>
              </w:rPr>
            </w:pPr>
            <w:r w:rsidRPr="00611315">
              <w:rPr>
                <w:rFonts w:ascii="Verdana" w:hAnsi="Verdana"/>
                <w:sz w:val="20"/>
                <w:szCs w:val="20"/>
              </w:rPr>
              <w:t>901061932</w:t>
            </w:r>
          </w:p>
        </w:tc>
        <w:tc>
          <w:tcPr>
            <w:tcW w:w="4961" w:type="dxa"/>
            <w:tcBorders>
              <w:top w:val="nil"/>
              <w:left w:val="nil"/>
              <w:bottom w:val="single" w:sz="4" w:space="0" w:color="auto"/>
              <w:right w:val="single" w:sz="4" w:space="0" w:color="auto"/>
            </w:tcBorders>
            <w:noWrap/>
            <w:vAlign w:val="center"/>
            <w:hideMark/>
          </w:tcPr>
          <w:p w14:paraId="58C50B20" w14:textId="77777777" w:rsidR="00642FBB" w:rsidRPr="00611315" w:rsidRDefault="00642FBB" w:rsidP="00F47B13">
            <w:pPr>
              <w:jc w:val="center"/>
              <w:rPr>
                <w:rFonts w:ascii="Verdana" w:hAnsi="Verdana"/>
                <w:sz w:val="20"/>
                <w:szCs w:val="20"/>
              </w:rPr>
            </w:pPr>
            <w:r w:rsidRPr="00611315">
              <w:rPr>
                <w:rFonts w:ascii="Verdana" w:hAnsi="Verdana"/>
                <w:sz w:val="20"/>
                <w:szCs w:val="20"/>
              </w:rPr>
              <w:t>LG INGENIERIA Y CONSTRUCCIONES S.A.S</w:t>
            </w:r>
          </w:p>
        </w:tc>
      </w:tr>
      <w:tr w:rsidR="00642FBB" w:rsidRPr="00611315" w14:paraId="16A287E2"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EDA6669" w14:textId="77777777" w:rsidR="00642FBB" w:rsidRPr="00611315" w:rsidRDefault="00642FBB">
            <w:pPr>
              <w:jc w:val="center"/>
              <w:rPr>
                <w:rFonts w:ascii="Verdana" w:hAnsi="Verdana"/>
                <w:sz w:val="20"/>
                <w:szCs w:val="20"/>
              </w:rPr>
            </w:pPr>
            <w:r w:rsidRPr="00611315">
              <w:rPr>
                <w:rFonts w:ascii="Verdana" w:hAnsi="Verdana"/>
                <w:sz w:val="20"/>
                <w:szCs w:val="20"/>
              </w:rPr>
              <w:t>805004708</w:t>
            </w:r>
          </w:p>
        </w:tc>
        <w:tc>
          <w:tcPr>
            <w:tcW w:w="4961" w:type="dxa"/>
            <w:tcBorders>
              <w:top w:val="nil"/>
              <w:left w:val="nil"/>
              <w:bottom w:val="single" w:sz="4" w:space="0" w:color="auto"/>
              <w:right w:val="single" w:sz="4" w:space="0" w:color="auto"/>
            </w:tcBorders>
            <w:noWrap/>
            <w:vAlign w:val="center"/>
            <w:hideMark/>
          </w:tcPr>
          <w:p w14:paraId="4B97B90A" w14:textId="77777777" w:rsidR="00642FBB" w:rsidRPr="00611315" w:rsidRDefault="00642FBB" w:rsidP="00F47B13">
            <w:pPr>
              <w:jc w:val="center"/>
              <w:rPr>
                <w:rFonts w:ascii="Verdana" w:hAnsi="Verdana"/>
                <w:sz w:val="20"/>
                <w:szCs w:val="20"/>
              </w:rPr>
            </w:pPr>
            <w:r w:rsidRPr="00611315">
              <w:rPr>
                <w:rFonts w:ascii="Verdana" w:hAnsi="Verdana"/>
                <w:sz w:val="20"/>
                <w:szCs w:val="20"/>
              </w:rPr>
              <w:t>INGEOBRAS SAS</w:t>
            </w:r>
          </w:p>
        </w:tc>
      </w:tr>
      <w:tr w:rsidR="00642FBB" w:rsidRPr="00611315" w14:paraId="3E27FA32"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4439502" w14:textId="77777777" w:rsidR="00642FBB" w:rsidRPr="00611315" w:rsidRDefault="00642FBB">
            <w:pPr>
              <w:jc w:val="center"/>
              <w:rPr>
                <w:rFonts w:ascii="Verdana" w:hAnsi="Verdana"/>
                <w:sz w:val="20"/>
                <w:szCs w:val="20"/>
              </w:rPr>
            </w:pPr>
            <w:r w:rsidRPr="00611315">
              <w:rPr>
                <w:rFonts w:ascii="Verdana" w:hAnsi="Verdana"/>
                <w:sz w:val="20"/>
                <w:szCs w:val="20"/>
              </w:rPr>
              <w:t>900934461</w:t>
            </w:r>
          </w:p>
        </w:tc>
        <w:tc>
          <w:tcPr>
            <w:tcW w:w="4961" w:type="dxa"/>
            <w:tcBorders>
              <w:top w:val="nil"/>
              <w:left w:val="nil"/>
              <w:bottom w:val="single" w:sz="4" w:space="0" w:color="auto"/>
              <w:right w:val="single" w:sz="4" w:space="0" w:color="auto"/>
            </w:tcBorders>
            <w:noWrap/>
            <w:vAlign w:val="center"/>
            <w:hideMark/>
          </w:tcPr>
          <w:p w14:paraId="5FB8587F" w14:textId="77777777" w:rsidR="00642FBB" w:rsidRPr="00611315" w:rsidRDefault="00642FBB" w:rsidP="00F47B13">
            <w:pPr>
              <w:jc w:val="center"/>
              <w:rPr>
                <w:rFonts w:ascii="Verdana" w:hAnsi="Verdana"/>
                <w:sz w:val="20"/>
                <w:szCs w:val="20"/>
              </w:rPr>
            </w:pPr>
            <w:r w:rsidRPr="00611315">
              <w:rPr>
                <w:rFonts w:ascii="Verdana" w:hAnsi="Verdana"/>
                <w:sz w:val="20"/>
                <w:szCs w:val="20"/>
              </w:rPr>
              <w:t>CONINCAG SAS</w:t>
            </w:r>
          </w:p>
        </w:tc>
      </w:tr>
      <w:tr w:rsidR="00642FBB" w:rsidRPr="00041ECD" w14:paraId="1A7C84AD"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EB625E2" w14:textId="77777777" w:rsidR="00642FBB" w:rsidRPr="00611315" w:rsidRDefault="00642FBB">
            <w:pPr>
              <w:jc w:val="center"/>
              <w:rPr>
                <w:rFonts w:ascii="Verdana" w:hAnsi="Verdana"/>
                <w:sz w:val="20"/>
                <w:szCs w:val="20"/>
              </w:rPr>
            </w:pPr>
            <w:r w:rsidRPr="00611315">
              <w:rPr>
                <w:rFonts w:ascii="Verdana" w:hAnsi="Verdana"/>
                <w:sz w:val="20"/>
                <w:szCs w:val="20"/>
              </w:rPr>
              <w:t>900816809</w:t>
            </w:r>
          </w:p>
        </w:tc>
        <w:tc>
          <w:tcPr>
            <w:tcW w:w="4961" w:type="dxa"/>
            <w:tcBorders>
              <w:top w:val="nil"/>
              <w:left w:val="nil"/>
              <w:bottom w:val="single" w:sz="4" w:space="0" w:color="auto"/>
              <w:right w:val="single" w:sz="4" w:space="0" w:color="auto"/>
            </w:tcBorders>
            <w:noWrap/>
            <w:vAlign w:val="center"/>
            <w:hideMark/>
          </w:tcPr>
          <w:p w14:paraId="4CD82126" w14:textId="77777777" w:rsidR="00642FBB" w:rsidRPr="00611315" w:rsidRDefault="00642FBB" w:rsidP="00F47B13">
            <w:pPr>
              <w:jc w:val="center"/>
              <w:rPr>
                <w:rFonts w:ascii="Verdana" w:hAnsi="Verdana"/>
                <w:sz w:val="20"/>
                <w:szCs w:val="20"/>
                <w:lang w:val="en-US"/>
              </w:rPr>
            </w:pPr>
            <w:r w:rsidRPr="00611315">
              <w:rPr>
                <w:rFonts w:ascii="Verdana" w:hAnsi="Verdana"/>
                <w:sz w:val="20"/>
                <w:szCs w:val="20"/>
                <w:lang w:val="en-US"/>
              </w:rPr>
              <w:t>BUSINESS CENTER WAL S.A.S.</w:t>
            </w:r>
          </w:p>
        </w:tc>
      </w:tr>
      <w:tr w:rsidR="00642FBB" w:rsidRPr="00611315" w14:paraId="528F341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5FA9A78" w14:textId="77777777" w:rsidR="00642FBB" w:rsidRPr="00611315" w:rsidRDefault="00642FBB">
            <w:pPr>
              <w:jc w:val="center"/>
              <w:rPr>
                <w:rFonts w:ascii="Verdana" w:hAnsi="Verdana"/>
                <w:sz w:val="20"/>
                <w:szCs w:val="20"/>
              </w:rPr>
            </w:pPr>
            <w:r w:rsidRPr="00611315">
              <w:rPr>
                <w:rFonts w:ascii="Verdana" w:hAnsi="Verdana"/>
                <w:sz w:val="20"/>
                <w:szCs w:val="20"/>
              </w:rPr>
              <w:t>810003925</w:t>
            </w:r>
          </w:p>
        </w:tc>
        <w:tc>
          <w:tcPr>
            <w:tcW w:w="4961" w:type="dxa"/>
            <w:tcBorders>
              <w:top w:val="nil"/>
              <w:left w:val="nil"/>
              <w:bottom w:val="single" w:sz="4" w:space="0" w:color="auto"/>
              <w:right w:val="single" w:sz="4" w:space="0" w:color="auto"/>
            </w:tcBorders>
            <w:noWrap/>
            <w:vAlign w:val="center"/>
            <w:hideMark/>
          </w:tcPr>
          <w:p w14:paraId="6A04BB38" w14:textId="77777777" w:rsidR="00642FBB" w:rsidRPr="00611315" w:rsidRDefault="00642FBB" w:rsidP="00F47B13">
            <w:pPr>
              <w:jc w:val="center"/>
              <w:rPr>
                <w:rFonts w:ascii="Verdana" w:hAnsi="Verdana"/>
                <w:sz w:val="20"/>
                <w:szCs w:val="20"/>
              </w:rPr>
            </w:pPr>
            <w:r w:rsidRPr="00611315">
              <w:rPr>
                <w:rFonts w:ascii="Verdana" w:hAnsi="Verdana"/>
                <w:sz w:val="20"/>
                <w:szCs w:val="20"/>
              </w:rPr>
              <w:t>ACER LIMITADA</w:t>
            </w:r>
          </w:p>
        </w:tc>
      </w:tr>
      <w:tr w:rsidR="00642FBB" w:rsidRPr="00611315" w14:paraId="6F6FA82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ACDA9D9" w14:textId="77777777" w:rsidR="00642FBB" w:rsidRPr="00611315" w:rsidRDefault="00642FBB">
            <w:pPr>
              <w:jc w:val="center"/>
              <w:rPr>
                <w:rFonts w:ascii="Verdana" w:hAnsi="Verdana"/>
                <w:sz w:val="20"/>
                <w:szCs w:val="20"/>
              </w:rPr>
            </w:pPr>
            <w:r w:rsidRPr="00611315">
              <w:rPr>
                <w:rFonts w:ascii="Verdana" w:hAnsi="Verdana"/>
                <w:sz w:val="20"/>
                <w:szCs w:val="20"/>
              </w:rPr>
              <w:t>900599474</w:t>
            </w:r>
          </w:p>
        </w:tc>
        <w:tc>
          <w:tcPr>
            <w:tcW w:w="4961" w:type="dxa"/>
            <w:tcBorders>
              <w:top w:val="nil"/>
              <w:left w:val="nil"/>
              <w:bottom w:val="single" w:sz="4" w:space="0" w:color="auto"/>
              <w:right w:val="single" w:sz="4" w:space="0" w:color="auto"/>
            </w:tcBorders>
            <w:noWrap/>
            <w:vAlign w:val="center"/>
            <w:hideMark/>
          </w:tcPr>
          <w:p w14:paraId="1EF9C7B8" w14:textId="77777777" w:rsidR="00642FBB" w:rsidRPr="00611315" w:rsidRDefault="00642FBB" w:rsidP="00F47B13">
            <w:pPr>
              <w:jc w:val="center"/>
              <w:rPr>
                <w:rFonts w:ascii="Verdana" w:hAnsi="Verdana"/>
                <w:sz w:val="20"/>
                <w:szCs w:val="20"/>
              </w:rPr>
            </w:pPr>
            <w:r w:rsidRPr="00611315">
              <w:rPr>
                <w:rFonts w:ascii="Verdana" w:hAnsi="Verdana"/>
                <w:sz w:val="20"/>
                <w:szCs w:val="20"/>
              </w:rPr>
              <w:t>SERVICIOS BIOMEDICOS DE NARIÑO S.A.S BIC</w:t>
            </w:r>
          </w:p>
        </w:tc>
      </w:tr>
      <w:tr w:rsidR="00642FBB" w:rsidRPr="00611315" w14:paraId="39678FEB"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9938105" w14:textId="77777777" w:rsidR="00642FBB" w:rsidRPr="00611315" w:rsidRDefault="00642FBB">
            <w:pPr>
              <w:jc w:val="center"/>
              <w:rPr>
                <w:rFonts w:ascii="Verdana" w:hAnsi="Verdana"/>
                <w:sz w:val="20"/>
                <w:szCs w:val="20"/>
              </w:rPr>
            </w:pPr>
            <w:r w:rsidRPr="00611315">
              <w:rPr>
                <w:rFonts w:ascii="Verdana" w:hAnsi="Verdana"/>
                <w:sz w:val="20"/>
                <w:szCs w:val="20"/>
              </w:rPr>
              <w:t>806000473</w:t>
            </w:r>
          </w:p>
        </w:tc>
        <w:tc>
          <w:tcPr>
            <w:tcW w:w="4961" w:type="dxa"/>
            <w:tcBorders>
              <w:top w:val="nil"/>
              <w:left w:val="nil"/>
              <w:bottom w:val="single" w:sz="4" w:space="0" w:color="auto"/>
              <w:right w:val="single" w:sz="4" w:space="0" w:color="auto"/>
            </w:tcBorders>
            <w:noWrap/>
            <w:vAlign w:val="center"/>
            <w:hideMark/>
          </w:tcPr>
          <w:p w14:paraId="1AC958FD" w14:textId="77777777" w:rsidR="00642FBB" w:rsidRPr="00611315" w:rsidRDefault="00642FBB" w:rsidP="00F47B13">
            <w:pPr>
              <w:jc w:val="center"/>
              <w:rPr>
                <w:rFonts w:ascii="Verdana" w:hAnsi="Verdana"/>
                <w:sz w:val="20"/>
                <w:szCs w:val="20"/>
              </w:rPr>
            </w:pPr>
            <w:r w:rsidRPr="00611315">
              <w:rPr>
                <w:rFonts w:ascii="Verdana" w:hAnsi="Verdana"/>
                <w:sz w:val="20"/>
                <w:szCs w:val="20"/>
              </w:rPr>
              <w:t>MORELSA CONSTRUCTORES LTDA</w:t>
            </w:r>
          </w:p>
        </w:tc>
      </w:tr>
      <w:tr w:rsidR="00642FBB" w:rsidRPr="00611315" w14:paraId="35BE9FB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508F214" w14:textId="77777777" w:rsidR="00642FBB" w:rsidRPr="00611315" w:rsidRDefault="00642FBB">
            <w:pPr>
              <w:jc w:val="center"/>
              <w:rPr>
                <w:rFonts w:ascii="Verdana" w:hAnsi="Verdana"/>
                <w:sz w:val="20"/>
                <w:szCs w:val="20"/>
              </w:rPr>
            </w:pPr>
            <w:r w:rsidRPr="00611315">
              <w:rPr>
                <w:rFonts w:ascii="Verdana" w:hAnsi="Verdana"/>
                <w:sz w:val="20"/>
                <w:szCs w:val="20"/>
              </w:rPr>
              <w:t>900092491</w:t>
            </w:r>
          </w:p>
        </w:tc>
        <w:tc>
          <w:tcPr>
            <w:tcW w:w="4961" w:type="dxa"/>
            <w:tcBorders>
              <w:top w:val="nil"/>
              <w:left w:val="nil"/>
              <w:bottom w:val="single" w:sz="4" w:space="0" w:color="auto"/>
              <w:right w:val="single" w:sz="4" w:space="0" w:color="auto"/>
            </w:tcBorders>
            <w:noWrap/>
            <w:vAlign w:val="center"/>
            <w:hideMark/>
          </w:tcPr>
          <w:p w14:paraId="533BBC96" w14:textId="77777777" w:rsidR="00642FBB" w:rsidRPr="00611315" w:rsidRDefault="00642FBB" w:rsidP="00F47B13">
            <w:pPr>
              <w:jc w:val="center"/>
              <w:rPr>
                <w:rFonts w:ascii="Verdana" w:hAnsi="Verdana"/>
                <w:sz w:val="20"/>
                <w:szCs w:val="20"/>
              </w:rPr>
            </w:pPr>
            <w:r w:rsidRPr="00611315">
              <w:rPr>
                <w:rFonts w:ascii="Verdana" w:hAnsi="Verdana"/>
                <w:sz w:val="20"/>
                <w:szCs w:val="20"/>
              </w:rPr>
              <w:t>GPS ELECTRONICS LTDA</w:t>
            </w:r>
          </w:p>
        </w:tc>
      </w:tr>
      <w:tr w:rsidR="00642FBB" w:rsidRPr="00611315" w14:paraId="57D543B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D02AF95" w14:textId="77777777" w:rsidR="00642FBB" w:rsidRPr="00611315" w:rsidRDefault="00642FBB">
            <w:pPr>
              <w:jc w:val="center"/>
              <w:rPr>
                <w:rFonts w:ascii="Verdana" w:hAnsi="Verdana"/>
                <w:sz w:val="20"/>
                <w:szCs w:val="20"/>
              </w:rPr>
            </w:pPr>
            <w:r w:rsidRPr="00611315">
              <w:rPr>
                <w:rFonts w:ascii="Verdana" w:hAnsi="Verdana"/>
                <w:sz w:val="20"/>
                <w:szCs w:val="20"/>
              </w:rPr>
              <w:t>900444953</w:t>
            </w:r>
          </w:p>
        </w:tc>
        <w:tc>
          <w:tcPr>
            <w:tcW w:w="4961" w:type="dxa"/>
            <w:tcBorders>
              <w:top w:val="nil"/>
              <w:left w:val="nil"/>
              <w:bottom w:val="single" w:sz="4" w:space="0" w:color="auto"/>
              <w:right w:val="single" w:sz="4" w:space="0" w:color="auto"/>
            </w:tcBorders>
            <w:noWrap/>
            <w:vAlign w:val="center"/>
            <w:hideMark/>
          </w:tcPr>
          <w:p w14:paraId="1B16E17D" w14:textId="77777777" w:rsidR="00642FBB" w:rsidRPr="00611315" w:rsidRDefault="00642FBB" w:rsidP="00F47B13">
            <w:pPr>
              <w:jc w:val="center"/>
              <w:rPr>
                <w:rFonts w:ascii="Verdana" w:hAnsi="Verdana"/>
                <w:sz w:val="20"/>
                <w:szCs w:val="20"/>
              </w:rPr>
            </w:pPr>
            <w:r w:rsidRPr="00611315">
              <w:rPr>
                <w:rFonts w:ascii="Verdana" w:hAnsi="Verdana"/>
                <w:sz w:val="20"/>
                <w:szCs w:val="20"/>
              </w:rPr>
              <w:t>INGENIERIA Y GESTION DE LA CALIDAD Y EL MEDIO AMBIENTE S.A.S.</w:t>
            </w:r>
          </w:p>
        </w:tc>
      </w:tr>
      <w:tr w:rsidR="00642FBB" w:rsidRPr="00611315" w14:paraId="00850F8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B938C03" w14:textId="77777777" w:rsidR="00642FBB" w:rsidRPr="00611315" w:rsidRDefault="00642FBB">
            <w:pPr>
              <w:jc w:val="center"/>
              <w:rPr>
                <w:rFonts w:ascii="Verdana" w:hAnsi="Verdana"/>
                <w:sz w:val="20"/>
                <w:szCs w:val="20"/>
              </w:rPr>
            </w:pPr>
            <w:r w:rsidRPr="00611315">
              <w:rPr>
                <w:rFonts w:ascii="Verdana" w:hAnsi="Verdana"/>
                <w:sz w:val="20"/>
                <w:szCs w:val="20"/>
              </w:rPr>
              <w:t>830000327</w:t>
            </w:r>
          </w:p>
        </w:tc>
        <w:tc>
          <w:tcPr>
            <w:tcW w:w="4961" w:type="dxa"/>
            <w:tcBorders>
              <w:top w:val="nil"/>
              <w:left w:val="nil"/>
              <w:bottom w:val="single" w:sz="4" w:space="0" w:color="auto"/>
              <w:right w:val="single" w:sz="4" w:space="0" w:color="auto"/>
            </w:tcBorders>
            <w:noWrap/>
            <w:vAlign w:val="center"/>
            <w:hideMark/>
          </w:tcPr>
          <w:p w14:paraId="566F2256" w14:textId="77777777" w:rsidR="00642FBB" w:rsidRPr="00611315" w:rsidRDefault="00642FBB" w:rsidP="00F47B13">
            <w:pPr>
              <w:jc w:val="center"/>
              <w:rPr>
                <w:rFonts w:ascii="Verdana" w:hAnsi="Verdana"/>
                <w:sz w:val="20"/>
                <w:szCs w:val="20"/>
              </w:rPr>
            </w:pPr>
            <w:r w:rsidRPr="00611315">
              <w:rPr>
                <w:rFonts w:ascii="Verdana" w:hAnsi="Verdana"/>
                <w:sz w:val="20"/>
                <w:szCs w:val="20"/>
              </w:rPr>
              <w:t>HIDRALOBRAS S.A.S</w:t>
            </w:r>
          </w:p>
        </w:tc>
      </w:tr>
      <w:tr w:rsidR="00642FBB" w:rsidRPr="00611315" w14:paraId="08027E0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0BB0FF5E" w14:textId="77777777" w:rsidR="00642FBB" w:rsidRPr="00611315" w:rsidRDefault="00642FBB">
            <w:pPr>
              <w:jc w:val="center"/>
              <w:rPr>
                <w:rFonts w:ascii="Verdana" w:hAnsi="Verdana"/>
                <w:sz w:val="20"/>
                <w:szCs w:val="20"/>
              </w:rPr>
            </w:pPr>
            <w:r w:rsidRPr="00611315">
              <w:rPr>
                <w:rFonts w:ascii="Verdana" w:hAnsi="Verdana"/>
                <w:sz w:val="20"/>
                <w:szCs w:val="20"/>
              </w:rPr>
              <w:t>800154507</w:t>
            </w:r>
          </w:p>
        </w:tc>
        <w:tc>
          <w:tcPr>
            <w:tcW w:w="4961" w:type="dxa"/>
            <w:tcBorders>
              <w:top w:val="nil"/>
              <w:left w:val="nil"/>
              <w:bottom w:val="single" w:sz="4" w:space="0" w:color="auto"/>
              <w:right w:val="single" w:sz="4" w:space="0" w:color="auto"/>
            </w:tcBorders>
            <w:noWrap/>
            <w:vAlign w:val="center"/>
            <w:hideMark/>
          </w:tcPr>
          <w:p w14:paraId="20416669" w14:textId="77777777" w:rsidR="00642FBB" w:rsidRPr="00611315" w:rsidRDefault="00642FBB" w:rsidP="00F47B13">
            <w:pPr>
              <w:jc w:val="center"/>
              <w:rPr>
                <w:rFonts w:ascii="Verdana" w:hAnsi="Verdana"/>
                <w:sz w:val="20"/>
                <w:szCs w:val="20"/>
              </w:rPr>
            </w:pPr>
            <w:r w:rsidRPr="00611315">
              <w:rPr>
                <w:rFonts w:ascii="Verdana" w:hAnsi="Verdana"/>
                <w:sz w:val="20"/>
                <w:szCs w:val="20"/>
              </w:rPr>
              <w:t>COMERCIALIZADORA CONSTRUCCION INGENIERIA Y ARQUITECTURA GALERIAS LTDA</w:t>
            </w:r>
          </w:p>
        </w:tc>
      </w:tr>
      <w:tr w:rsidR="00642FBB" w:rsidRPr="00611315" w14:paraId="408EA0D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2A9DDB8" w14:textId="77777777" w:rsidR="00642FBB" w:rsidRPr="00611315" w:rsidRDefault="00642FBB">
            <w:pPr>
              <w:jc w:val="center"/>
              <w:rPr>
                <w:rFonts w:ascii="Verdana" w:hAnsi="Verdana"/>
                <w:sz w:val="20"/>
                <w:szCs w:val="20"/>
              </w:rPr>
            </w:pPr>
            <w:r w:rsidRPr="00611315">
              <w:rPr>
                <w:rFonts w:ascii="Verdana" w:hAnsi="Verdana"/>
                <w:sz w:val="20"/>
                <w:szCs w:val="20"/>
              </w:rPr>
              <w:t>830135106</w:t>
            </w:r>
          </w:p>
        </w:tc>
        <w:tc>
          <w:tcPr>
            <w:tcW w:w="4961" w:type="dxa"/>
            <w:tcBorders>
              <w:top w:val="nil"/>
              <w:left w:val="nil"/>
              <w:bottom w:val="single" w:sz="4" w:space="0" w:color="auto"/>
              <w:right w:val="single" w:sz="4" w:space="0" w:color="auto"/>
            </w:tcBorders>
            <w:noWrap/>
            <w:vAlign w:val="center"/>
            <w:hideMark/>
          </w:tcPr>
          <w:p w14:paraId="29ABD81D" w14:textId="77777777" w:rsidR="00642FBB" w:rsidRPr="00611315" w:rsidRDefault="00642FBB" w:rsidP="00F47B13">
            <w:pPr>
              <w:jc w:val="center"/>
              <w:rPr>
                <w:rFonts w:ascii="Verdana" w:hAnsi="Verdana"/>
                <w:sz w:val="20"/>
                <w:szCs w:val="20"/>
              </w:rPr>
            </w:pPr>
            <w:r w:rsidRPr="00611315">
              <w:rPr>
                <w:rFonts w:ascii="Verdana" w:hAnsi="Verdana"/>
                <w:sz w:val="20"/>
                <w:szCs w:val="20"/>
              </w:rPr>
              <w:t>INGENIEROS RECUPERADORES AMBIENTALES DE COLOMBIA SAS</w:t>
            </w:r>
          </w:p>
        </w:tc>
      </w:tr>
      <w:tr w:rsidR="00642FBB" w:rsidRPr="00611315" w14:paraId="5855C5B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ABDE6F9" w14:textId="77777777" w:rsidR="00642FBB" w:rsidRPr="00611315" w:rsidRDefault="00642FBB">
            <w:pPr>
              <w:jc w:val="center"/>
              <w:rPr>
                <w:rFonts w:ascii="Verdana" w:hAnsi="Verdana"/>
                <w:sz w:val="20"/>
                <w:szCs w:val="20"/>
              </w:rPr>
            </w:pPr>
            <w:r w:rsidRPr="00611315">
              <w:rPr>
                <w:rFonts w:ascii="Verdana" w:hAnsi="Verdana"/>
                <w:sz w:val="20"/>
                <w:szCs w:val="20"/>
              </w:rPr>
              <w:t>822006886</w:t>
            </w:r>
          </w:p>
        </w:tc>
        <w:tc>
          <w:tcPr>
            <w:tcW w:w="4961" w:type="dxa"/>
            <w:tcBorders>
              <w:top w:val="nil"/>
              <w:left w:val="nil"/>
              <w:bottom w:val="single" w:sz="4" w:space="0" w:color="auto"/>
              <w:right w:val="single" w:sz="4" w:space="0" w:color="auto"/>
            </w:tcBorders>
            <w:noWrap/>
            <w:vAlign w:val="center"/>
            <w:hideMark/>
          </w:tcPr>
          <w:p w14:paraId="2252AA23" w14:textId="77777777" w:rsidR="00642FBB" w:rsidRPr="00611315" w:rsidRDefault="00642FBB" w:rsidP="00F47B13">
            <w:pPr>
              <w:jc w:val="center"/>
              <w:rPr>
                <w:rFonts w:ascii="Verdana" w:hAnsi="Verdana"/>
                <w:sz w:val="20"/>
                <w:szCs w:val="20"/>
              </w:rPr>
            </w:pPr>
            <w:r w:rsidRPr="00611315">
              <w:rPr>
                <w:rFonts w:ascii="Verdana" w:hAnsi="Verdana"/>
                <w:sz w:val="20"/>
                <w:szCs w:val="20"/>
              </w:rPr>
              <w:t xml:space="preserve">SOLUCIONES INTEGRALES EN INGENIERIA CIVIL Y AMBIENTAL </w:t>
            </w:r>
            <w:proofErr w:type="gramStart"/>
            <w:r w:rsidRPr="00611315">
              <w:rPr>
                <w:rFonts w:ascii="Verdana" w:hAnsi="Verdana"/>
                <w:sz w:val="20"/>
                <w:szCs w:val="20"/>
              </w:rPr>
              <w:t>E.U</w:t>
            </w:r>
            <w:proofErr w:type="gramEnd"/>
          </w:p>
        </w:tc>
      </w:tr>
      <w:tr w:rsidR="00642FBB" w:rsidRPr="00611315" w14:paraId="58C4581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D8F2F35" w14:textId="77777777" w:rsidR="00642FBB" w:rsidRPr="00611315" w:rsidRDefault="00642FBB">
            <w:pPr>
              <w:jc w:val="center"/>
              <w:rPr>
                <w:rFonts w:ascii="Verdana" w:hAnsi="Verdana"/>
                <w:sz w:val="20"/>
                <w:szCs w:val="20"/>
              </w:rPr>
            </w:pPr>
            <w:r w:rsidRPr="00611315">
              <w:rPr>
                <w:rFonts w:ascii="Verdana" w:hAnsi="Verdana"/>
                <w:sz w:val="20"/>
                <w:szCs w:val="20"/>
              </w:rPr>
              <w:t>809006054</w:t>
            </w:r>
          </w:p>
        </w:tc>
        <w:tc>
          <w:tcPr>
            <w:tcW w:w="4961" w:type="dxa"/>
            <w:tcBorders>
              <w:top w:val="nil"/>
              <w:left w:val="nil"/>
              <w:bottom w:val="single" w:sz="4" w:space="0" w:color="auto"/>
              <w:right w:val="single" w:sz="4" w:space="0" w:color="auto"/>
            </w:tcBorders>
            <w:noWrap/>
            <w:vAlign w:val="center"/>
            <w:hideMark/>
          </w:tcPr>
          <w:p w14:paraId="2912FEC3" w14:textId="77777777" w:rsidR="00642FBB" w:rsidRPr="00611315" w:rsidRDefault="00642FBB" w:rsidP="00F47B13">
            <w:pPr>
              <w:jc w:val="center"/>
              <w:rPr>
                <w:rFonts w:ascii="Verdana" w:hAnsi="Verdana"/>
                <w:sz w:val="20"/>
                <w:szCs w:val="20"/>
              </w:rPr>
            </w:pPr>
            <w:r w:rsidRPr="00611315">
              <w:rPr>
                <w:rFonts w:ascii="Verdana" w:hAnsi="Verdana"/>
                <w:sz w:val="20"/>
                <w:szCs w:val="20"/>
              </w:rPr>
              <w:t>BIOCIVIL ING SAS</w:t>
            </w:r>
          </w:p>
        </w:tc>
      </w:tr>
      <w:tr w:rsidR="00642FBB" w:rsidRPr="00611315" w14:paraId="1C52657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F73DDEA" w14:textId="77777777" w:rsidR="00642FBB" w:rsidRPr="00611315" w:rsidRDefault="00642FBB">
            <w:pPr>
              <w:jc w:val="center"/>
              <w:rPr>
                <w:rFonts w:ascii="Verdana" w:hAnsi="Verdana"/>
                <w:sz w:val="20"/>
                <w:szCs w:val="20"/>
              </w:rPr>
            </w:pPr>
            <w:r w:rsidRPr="00611315">
              <w:rPr>
                <w:rFonts w:ascii="Verdana" w:hAnsi="Verdana"/>
                <w:sz w:val="20"/>
                <w:szCs w:val="20"/>
              </w:rPr>
              <w:t>900062688</w:t>
            </w:r>
          </w:p>
        </w:tc>
        <w:tc>
          <w:tcPr>
            <w:tcW w:w="4961" w:type="dxa"/>
            <w:tcBorders>
              <w:top w:val="nil"/>
              <w:left w:val="nil"/>
              <w:bottom w:val="single" w:sz="4" w:space="0" w:color="auto"/>
              <w:right w:val="single" w:sz="4" w:space="0" w:color="auto"/>
            </w:tcBorders>
            <w:noWrap/>
            <w:vAlign w:val="center"/>
            <w:hideMark/>
          </w:tcPr>
          <w:p w14:paraId="1B15545E" w14:textId="77777777" w:rsidR="00642FBB" w:rsidRPr="00611315" w:rsidRDefault="00642FBB" w:rsidP="00F47B13">
            <w:pPr>
              <w:jc w:val="center"/>
              <w:rPr>
                <w:rFonts w:ascii="Verdana" w:hAnsi="Verdana"/>
                <w:sz w:val="20"/>
                <w:szCs w:val="20"/>
              </w:rPr>
            </w:pPr>
            <w:r w:rsidRPr="00611315">
              <w:rPr>
                <w:rFonts w:ascii="Verdana" w:hAnsi="Verdana"/>
                <w:sz w:val="20"/>
                <w:szCs w:val="20"/>
              </w:rPr>
              <w:t>V &amp; M INGENIERIA S.A.S</w:t>
            </w:r>
          </w:p>
        </w:tc>
      </w:tr>
      <w:tr w:rsidR="00642FBB" w:rsidRPr="00611315" w14:paraId="4419603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00ADBAC" w14:textId="77777777" w:rsidR="00642FBB" w:rsidRPr="00611315" w:rsidRDefault="00642FBB">
            <w:pPr>
              <w:jc w:val="center"/>
              <w:rPr>
                <w:rFonts w:ascii="Verdana" w:hAnsi="Verdana"/>
                <w:sz w:val="20"/>
                <w:szCs w:val="20"/>
              </w:rPr>
            </w:pPr>
            <w:r w:rsidRPr="00611315">
              <w:rPr>
                <w:rFonts w:ascii="Verdana" w:hAnsi="Verdana"/>
                <w:sz w:val="20"/>
                <w:szCs w:val="20"/>
              </w:rPr>
              <w:t>900018666</w:t>
            </w:r>
          </w:p>
        </w:tc>
        <w:tc>
          <w:tcPr>
            <w:tcW w:w="4961" w:type="dxa"/>
            <w:tcBorders>
              <w:top w:val="nil"/>
              <w:left w:val="nil"/>
              <w:bottom w:val="single" w:sz="4" w:space="0" w:color="auto"/>
              <w:right w:val="single" w:sz="4" w:space="0" w:color="auto"/>
            </w:tcBorders>
            <w:noWrap/>
            <w:vAlign w:val="center"/>
            <w:hideMark/>
          </w:tcPr>
          <w:p w14:paraId="5B9A28BA" w14:textId="77777777" w:rsidR="00642FBB" w:rsidRPr="00611315" w:rsidRDefault="00642FBB" w:rsidP="00F47B13">
            <w:pPr>
              <w:jc w:val="center"/>
              <w:rPr>
                <w:rFonts w:ascii="Verdana" w:hAnsi="Verdana"/>
                <w:sz w:val="20"/>
                <w:szCs w:val="20"/>
              </w:rPr>
            </w:pPr>
            <w:r w:rsidRPr="00611315">
              <w:rPr>
                <w:rFonts w:ascii="Verdana" w:hAnsi="Verdana"/>
                <w:sz w:val="20"/>
                <w:szCs w:val="20"/>
              </w:rPr>
              <w:t>KRESKY S.A.S</w:t>
            </w:r>
          </w:p>
        </w:tc>
      </w:tr>
      <w:tr w:rsidR="00642FBB" w:rsidRPr="00611315" w14:paraId="06D54DFE"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C8C95AA" w14:textId="77777777" w:rsidR="00642FBB" w:rsidRPr="00611315" w:rsidRDefault="00642FBB">
            <w:pPr>
              <w:jc w:val="center"/>
              <w:rPr>
                <w:rFonts w:ascii="Verdana" w:hAnsi="Verdana"/>
                <w:sz w:val="20"/>
                <w:szCs w:val="20"/>
              </w:rPr>
            </w:pPr>
            <w:r w:rsidRPr="00611315">
              <w:rPr>
                <w:rFonts w:ascii="Verdana" w:hAnsi="Verdana"/>
                <w:sz w:val="20"/>
                <w:szCs w:val="20"/>
              </w:rPr>
              <w:t>802005147</w:t>
            </w:r>
          </w:p>
        </w:tc>
        <w:tc>
          <w:tcPr>
            <w:tcW w:w="4961" w:type="dxa"/>
            <w:tcBorders>
              <w:top w:val="nil"/>
              <w:left w:val="nil"/>
              <w:bottom w:val="single" w:sz="4" w:space="0" w:color="auto"/>
              <w:right w:val="single" w:sz="4" w:space="0" w:color="auto"/>
            </w:tcBorders>
            <w:noWrap/>
            <w:vAlign w:val="center"/>
            <w:hideMark/>
          </w:tcPr>
          <w:p w14:paraId="58566E60"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YACAMAN VIVERO S.A.S.</w:t>
            </w:r>
          </w:p>
        </w:tc>
      </w:tr>
      <w:tr w:rsidR="00642FBB" w:rsidRPr="00611315" w14:paraId="194D3AF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01DB914" w14:textId="77777777" w:rsidR="00642FBB" w:rsidRPr="00611315" w:rsidRDefault="00642FBB">
            <w:pPr>
              <w:jc w:val="center"/>
              <w:rPr>
                <w:rFonts w:ascii="Verdana" w:hAnsi="Verdana"/>
                <w:sz w:val="20"/>
                <w:szCs w:val="20"/>
              </w:rPr>
            </w:pPr>
            <w:r w:rsidRPr="00611315">
              <w:rPr>
                <w:rFonts w:ascii="Verdana" w:hAnsi="Verdana"/>
                <w:sz w:val="20"/>
                <w:szCs w:val="20"/>
              </w:rPr>
              <w:t>900234231</w:t>
            </w:r>
          </w:p>
        </w:tc>
        <w:tc>
          <w:tcPr>
            <w:tcW w:w="4961" w:type="dxa"/>
            <w:tcBorders>
              <w:top w:val="nil"/>
              <w:left w:val="nil"/>
              <w:bottom w:val="single" w:sz="4" w:space="0" w:color="auto"/>
              <w:right w:val="single" w:sz="4" w:space="0" w:color="auto"/>
            </w:tcBorders>
            <w:noWrap/>
            <w:vAlign w:val="center"/>
            <w:hideMark/>
          </w:tcPr>
          <w:p w14:paraId="4F5209C2" w14:textId="77777777" w:rsidR="00642FBB" w:rsidRPr="00611315" w:rsidRDefault="00642FBB" w:rsidP="00F47B13">
            <w:pPr>
              <w:jc w:val="center"/>
              <w:rPr>
                <w:rFonts w:ascii="Verdana" w:hAnsi="Verdana"/>
                <w:sz w:val="20"/>
                <w:szCs w:val="20"/>
              </w:rPr>
            </w:pPr>
            <w:r w:rsidRPr="00611315">
              <w:rPr>
                <w:rFonts w:ascii="Verdana" w:hAnsi="Verdana"/>
                <w:sz w:val="20"/>
                <w:szCs w:val="20"/>
              </w:rPr>
              <w:t>AE INGENIEROS CIVILES S.A.S.</w:t>
            </w:r>
          </w:p>
        </w:tc>
      </w:tr>
      <w:tr w:rsidR="00642FBB" w:rsidRPr="00611315" w14:paraId="3E6DE457"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2DC916A" w14:textId="77777777" w:rsidR="00642FBB" w:rsidRPr="00611315" w:rsidRDefault="00642FBB">
            <w:pPr>
              <w:jc w:val="center"/>
              <w:rPr>
                <w:rFonts w:ascii="Verdana" w:hAnsi="Verdana"/>
                <w:sz w:val="20"/>
                <w:szCs w:val="20"/>
              </w:rPr>
            </w:pPr>
            <w:r w:rsidRPr="00611315">
              <w:rPr>
                <w:rFonts w:ascii="Verdana" w:hAnsi="Verdana"/>
                <w:sz w:val="20"/>
                <w:szCs w:val="20"/>
              </w:rPr>
              <w:lastRenderedPageBreak/>
              <w:t>800242139</w:t>
            </w:r>
          </w:p>
        </w:tc>
        <w:tc>
          <w:tcPr>
            <w:tcW w:w="4961" w:type="dxa"/>
            <w:tcBorders>
              <w:top w:val="nil"/>
              <w:left w:val="nil"/>
              <w:bottom w:val="single" w:sz="4" w:space="0" w:color="auto"/>
              <w:right w:val="single" w:sz="4" w:space="0" w:color="auto"/>
            </w:tcBorders>
            <w:noWrap/>
            <w:vAlign w:val="center"/>
            <w:hideMark/>
          </w:tcPr>
          <w:p w14:paraId="22C36E5E" w14:textId="77777777" w:rsidR="00642FBB" w:rsidRPr="00611315" w:rsidRDefault="00642FBB" w:rsidP="00F47B13">
            <w:pPr>
              <w:jc w:val="center"/>
              <w:rPr>
                <w:rFonts w:ascii="Verdana" w:hAnsi="Verdana"/>
                <w:sz w:val="20"/>
                <w:szCs w:val="20"/>
              </w:rPr>
            </w:pPr>
            <w:r w:rsidRPr="00611315">
              <w:rPr>
                <w:rFonts w:ascii="Verdana" w:hAnsi="Verdana"/>
                <w:sz w:val="20"/>
                <w:szCs w:val="20"/>
              </w:rPr>
              <w:t>COMPAÑIA INTEGRAL DE PROYECTOS Y ESTUDIOS AMBIENTALES LTDA.</w:t>
            </w:r>
          </w:p>
        </w:tc>
      </w:tr>
      <w:tr w:rsidR="00642FBB" w:rsidRPr="00611315" w14:paraId="0CF87D16"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18DDAF6E" w14:textId="77777777" w:rsidR="00642FBB" w:rsidRPr="00611315" w:rsidRDefault="00642FBB">
            <w:pPr>
              <w:jc w:val="center"/>
              <w:rPr>
                <w:rFonts w:ascii="Verdana" w:hAnsi="Verdana"/>
                <w:sz w:val="20"/>
                <w:szCs w:val="20"/>
              </w:rPr>
            </w:pPr>
            <w:r w:rsidRPr="00611315">
              <w:rPr>
                <w:rFonts w:ascii="Verdana" w:hAnsi="Verdana"/>
                <w:sz w:val="20"/>
                <w:szCs w:val="20"/>
              </w:rPr>
              <w:t>901221811</w:t>
            </w:r>
          </w:p>
        </w:tc>
        <w:tc>
          <w:tcPr>
            <w:tcW w:w="4961" w:type="dxa"/>
            <w:tcBorders>
              <w:top w:val="nil"/>
              <w:left w:val="nil"/>
              <w:bottom w:val="single" w:sz="4" w:space="0" w:color="auto"/>
              <w:right w:val="single" w:sz="4" w:space="0" w:color="auto"/>
            </w:tcBorders>
            <w:noWrap/>
            <w:vAlign w:val="center"/>
            <w:hideMark/>
          </w:tcPr>
          <w:p w14:paraId="0B9FCFED" w14:textId="77777777" w:rsidR="00642FBB" w:rsidRPr="00611315" w:rsidRDefault="00642FBB" w:rsidP="00F47B13">
            <w:pPr>
              <w:jc w:val="center"/>
              <w:rPr>
                <w:rFonts w:ascii="Verdana" w:hAnsi="Verdana"/>
                <w:sz w:val="20"/>
                <w:szCs w:val="20"/>
              </w:rPr>
            </w:pPr>
            <w:r w:rsidRPr="00611315">
              <w:rPr>
                <w:rFonts w:ascii="Verdana" w:hAnsi="Verdana"/>
                <w:sz w:val="20"/>
                <w:szCs w:val="20"/>
              </w:rPr>
              <w:t>COBERTURA GLOBAL S.A.S</w:t>
            </w:r>
          </w:p>
        </w:tc>
      </w:tr>
      <w:tr w:rsidR="00642FBB" w:rsidRPr="00611315" w14:paraId="14148A8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3E35B22" w14:textId="77777777" w:rsidR="00642FBB" w:rsidRPr="00611315" w:rsidRDefault="00642FBB">
            <w:pPr>
              <w:jc w:val="center"/>
              <w:rPr>
                <w:rFonts w:ascii="Verdana" w:hAnsi="Verdana"/>
                <w:sz w:val="20"/>
                <w:szCs w:val="20"/>
              </w:rPr>
            </w:pPr>
            <w:r w:rsidRPr="00611315">
              <w:rPr>
                <w:rFonts w:ascii="Verdana" w:hAnsi="Verdana"/>
                <w:sz w:val="20"/>
                <w:szCs w:val="20"/>
              </w:rPr>
              <w:t>7710012</w:t>
            </w:r>
          </w:p>
        </w:tc>
        <w:tc>
          <w:tcPr>
            <w:tcW w:w="4961" w:type="dxa"/>
            <w:tcBorders>
              <w:top w:val="nil"/>
              <w:left w:val="nil"/>
              <w:bottom w:val="single" w:sz="4" w:space="0" w:color="auto"/>
              <w:right w:val="single" w:sz="4" w:space="0" w:color="auto"/>
            </w:tcBorders>
            <w:noWrap/>
            <w:vAlign w:val="center"/>
            <w:hideMark/>
          </w:tcPr>
          <w:p w14:paraId="342BEC49" w14:textId="77777777" w:rsidR="00642FBB" w:rsidRPr="00611315" w:rsidRDefault="00642FBB" w:rsidP="00F47B13">
            <w:pPr>
              <w:jc w:val="center"/>
              <w:rPr>
                <w:rFonts w:ascii="Verdana" w:hAnsi="Verdana"/>
                <w:sz w:val="20"/>
                <w:szCs w:val="20"/>
              </w:rPr>
            </w:pPr>
            <w:r w:rsidRPr="00611315">
              <w:rPr>
                <w:rFonts w:ascii="Verdana" w:hAnsi="Verdana"/>
                <w:sz w:val="20"/>
                <w:szCs w:val="20"/>
              </w:rPr>
              <w:t>ISAIAS VARGAS GONZALEZ</w:t>
            </w:r>
          </w:p>
        </w:tc>
      </w:tr>
      <w:tr w:rsidR="00642FBB" w:rsidRPr="00611315" w14:paraId="0A1146D5"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31441D9" w14:textId="77777777" w:rsidR="00642FBB" w:rsidRPr="00611315" w:rsidRDefault="00642FBB">
            <w:pPr>
              <w:jc w:val="center"/>
              <w:rPr>
                <w:rFonts w:ascii="Verdana" w:hAnsi="Verdana"/>
                <w:sz w:val="20"/>
                <w:szCs w:val="20"/>
              </w:rPr>
            </w:pPr>
            <w:r w:rsidRPr="00611315">
              <w:rPr>
                <w:rFonts w:ascii="Verdana" w:hAnsi="Verdana"/>
                <w:sz w:val="20"/>
                <w:szCs w:val="20"/>
              </w:rPr>
              <w:t>900219251</w:t>
            </w:r>
          </w:p>
        </w:tc>
        <w:tc>
          <w:tcPr>
            <w:tcW w:w="4961" w:type="dxa"/>
            <w:tcBorders>
              <w:top w:val="nil"/>
              <w:left w:val="nil"/>
              <w:bottom w:val="single" w:sz="4" w:space="0" w:color="auto"/>
              <w:right w:val="single" w:sz="4" w:space="0" w:color="auto"/>
            </w:tcBorders>
            <w:noWrap/>
            <w:vAlign w:val="center"/>
            <w:hideMark/>
          </w:tcPr>
          <w:p w14:paraId="6B2F20FC" w14:textId="77777777" w:rsidR="00642FBB" w:rsidRPr="00611315" w:rsidRDefault="00642FBB" w:rsidP="00F47B13">
            <w:pPr>
              <w:jc w:val="center"/>
              <w:rPr>
                <w:rFonts w:ascii="Verdana" w:hAnsi="Verdana"/>
                <w:sz w:val="20"/>
                <w:szCs w:val="20"/>
              </w:rPr>
            </w:pPr>
            <w:r w:rsidRPr="00611315">
              <w:rPr>
                <w:rFonts w:ascii="Verdana" w:hAnsi="Verdana"/>
                <w:sz w:val="20"/>
                <w:szCs w:val="20"/>
              </w:rPr>
              <w:t>PROYECTOS CIVILES E HIDRAULICOS S A S</w:t>
            </w:r>
          </w:p>
        </w:tc>
      </w:tr>
      <w:tr w:rsidR="00642FBB" w:rsidRPr="00611315" w14:paraId="4AE7A9F9"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53D7006A" w14:textId="77777777" w:rsidR="00642FBB" w:rsidRPr="00611315" w:rsidRDefault="00642FBB">
            <w:pPr>
              <w:jc w:val="center"/>
              <w:rPr>
                <w:rFonts w:ascii="Verdana" w:hAnsi="Verdana"/>
                <w:sz w:val="20"/>
                <w:szCs w:val="20"/>
              </w:rPr>
            </w:pPr>
            <w:r w:rsidRPr="00611315">
              <w:rPr>
                <w:rFonts w:ascii="Verdana" w:hAnsi="Verdana"/>
                <w:sz w:val="20"/>
                <w:szCs w:val="20"/>
              </w:rPr>
              <w:t>900247545</w:t>
            </w:r>
          </w:p>
        </w:tc>
        <w:tc>
          <w:tcPr>
            <w:tcW w:w="4961" w:type="dxa"/>
            <w:tcBorders>
              <w:top w:val="nil"/>
              <w:left w:val="nil"/>
              <w:bottom w:val="single" w:sz="4" w:space="0" w:color="auto"/>
              <w:right w:val="single" w:sz="4" w:space="0" w:color="auto"/>
            </w:tcBorders>
            <w:noWrap/>
            <w:vAlign w:val="center"/>
            <w:hideMark/>
          </w:tcPr>
          <w:p w14:paraId="7A37D4B2" w14:textId="77777777" w:rsidR="00642FBB" w:rsidRPr="00611315" w:rsidRDefault="00642FBB" w:rsidP="00F47B13">
            <w:pPr>
              <w:jc w:val="center"/>
              <w:rPr>
                <w:rFonts w:ascii="Verdana" w:hAnsi="Verdana"/>
                <w:sz w:val="20"/>
                <w:szCs w:val="20"/>
              </w:rPr>
            </w:pPr>
            <w:r w:rsidRPr="00611315">
              <w:rPr>
                <w:rFonts w:ascii="Verdana" w:hAnsi="Verdana"/>
                <w:sz w:val="20"/>
                <w:szCs w:val="20"/>
              </w:rPr>
              <w:t>ING CIVILES ASOCIADOS CONSTRUCCIONES S.A.S.</w:t>
            </w:r>
          </w:p>
        </w:tc>
      </w:tr>
      <w:tr w:rsidR="00642FBB" w:rsidRPr="00611315" w14:paraId="3CB4B72C"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3470924B" w14:textId="77777777" w:rsidR="00642FBB" w:rsidRPr="00611315" w:rsidRDefault="00642FBB">
            <w:pPr>
              <w:jc w:val="center"/>
              <w:rPr>
                <w:rFonts w:ascii="Verdana" w:hAnsi="Verdana"/>
                <w:sz w:val="20"/>
                <w:szCs w:val="20"/>
              </w:rPr>
            </w:pPr>
            <w:r w:rsidRPr="00611315">
              <w:rPr>
                <w:rFonts w:ascii="Verdana" w:hAnsi="Verdana"/>
                <w:sz w:val="20"/>
                <w:szCs w:val="20"/>
              </w:rPr>
              <w:t>860055067</w:t>
            </w:r>
          </w:p>
        </w:tc>
        <w:tc>
          <w:tcPr>
            <w:tcW w:w="4961" w:type="dxa"/>
            <w:tcBorders>
              <w:top w:val="nil"/>
              <w:left w:val="nil"/>
              <w:bottom w:val="single" w:sz="4" w:space="0" w:color="auto"/>
              <w:right w:val="single" w:sz="4" w:space="0" w:color="auto"/>
            </w:tcBorders>
            <w:noWrap/>
            <w:vAlign w:val="center"/>
            <w:hideMark/>
          </w:tcPr>
          <w:p w14:paraId="5DA9231B" w14:textId="77777777" w:rsidR="00642FBB" w:rsidRPr="00611315" w:rsidRDefault="00642FBB" w:rsidP="00F47B13">
            <w:pPr>
              <w:jc w:val="center"/>
              <w:rPr>
                <w:rFonts w:ascii="Verdana" w:hAnsi="Verdana"/>
                <w:sz w:val="20"/>
                <w:szCs w:val="20"/>
              </w:rPr>
            </w:pPr>
            <w:r w:rsidRPr="00611315">
              <w:rPr>
                <w:rFonts w:ascii="Verdana" w:hAnsi="Verdana"/>
                <w:sz w:val="20"/>
                <w:szCs w:val="20"/>
              </w:rPr>
              <w:t>PROINARK PROYECTOS DE INGENIERIA S.A.S</w:t>
            </w:r>
          </w:p>
        </w:tc>
      </w:tr>
      <w:tr w:rsidR="00642FBB" w:rsidRPr="00611315" w14:paraId="146EE2B3"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BE3F031" w14:textId="77777777" w:rsidR="00642FBB" w:rsidRPr="00611315" w:rsidRDefault="00642FBB">
            <w:pPr>
              <w:jc w:val="center"/>
              <w:rPr>
                <w:rFonts w:ascii="Verdana" w:hAnsi="Verdana"/>
                <w:sz w:val="20"/>
                <w:szCs w:val="20"/>
              </w:rPr>
            </w:pPr>
            <w:r w:rsidRPr="00611315">
              <w:rPr>
                <w:rFonts w:ascii="Verdana" w:hAnsi="Verdana"/>
                <w:sz w:val="20"/>
                <w:szCs w:val="20"/>
              </w:rPr>
              <w:t>901193456</w:t>
            </w:r>
          </w:p>
        </w:tc>
        <w:tc>
          <w:tcPr>
            <w:tcW w:w="4961" w:type="dxa"/>
            <w:tcBorders>
              <w:top w:val="nil"/>
              <w:left w:val="nil"/>
              <w:bottom w:val="single" w:sz="4" w:space="0" w:color="auto"/>
              <w:right w:val="single" w:sz="4" w:space="0" w:color="auto"/>
            </w:tcBorders>
            <w:noWrap/>
            <w:vAlign w:val="center"/>
            <w:hideMark/>
          </w:tcPr>
          <w:p w14:paraId="72828680" w14:textId="77777777" w:rsidR="00642FBB" w:rsidRPr="00611315" w:rsidRDefault="00642FBB" w:rsidP="00F47B13">
            <w:pPr>
              <w:jc w:val="center"/>
              <w:rPr>
                <w:rFonts w:ascii="Verdana" w:hAnsi="Verdana"/>
                <w:sz w:val="20"/>
                <w:szCs w:val="20"/>
              </w:rPr>
            </w:pPr>
            <w:r w:rsidRPr="00611315">
              <w:rPr>
                <w:rFonts w:ascii="Verdana" w:hAnsi="Verdana"/>
                <w:sz w:val="20"/>
                <w:szCs w:val="20"/>
              </w:rPr>
              <w:t>YT CONSTRUCCIONES CIVILES S A S</w:t>
            </w:r>
          </w:p>
        </w:tc>
      </w:tr>
      <w:tr w:rsidR="00642FBB" w:rsidRPr="00611315" w14:paraId="273FA561"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7CFBACCA" w14:textId="77777777" w:rsidR="00642FBB" w:rsidRPr="00611315" w:rsidRDefault="00642FBB">
            <w:pPr>
              <w:jc w:val="center"/>
              <w:rPr>
                <w:rFonts w:ascii="Verdana" w:hAnsi="Verdana"/>
                <w:sz w:val="20"/>
                <w:szCs w:val="20"/>
              </w:rPr>
            </w:pPr>
            <w:r w:rsidRPr="00611315">
              <w:rPr>
                <w:rFonts w:ascii="Verdana" w:hAnsi="Verdana"/>
                <w:sz w:val="20"/>
                <w:szCs w:val="20"/>
              </w:rPr>
              <w:t>901361031</w:t>
            </w:r>
          </w:p>
        </w:tc>
        <w:tc>
          <w:tcPr>
            <w:tcW w:w="4961" w:type="dxa"/>
            <w:tcBorders>
              <w:top w:val="nil"/>
              <w:left w:val="nil"/>
              <w:bottom w:val="single" w:sz="4" w:space="0" w:color="auto"/>
              <w:right w:val="single" w:sz="4" w:space="0" w:color="auto"/>
            </w:tcBorders>
            <w:noWrap/>
            <w:vAlign w:val="center"/>
            <w:hideMark/>
          </w:tcPr>
          <w:p w14:paraId="5E20B153" w14:textId="77777777" w:rsidR="00642FBB" w:rsidRPr="00611315" w:rsidRDefault="00642FBB" w:rsidP="00F47B13">
            <w:pPr>
              <w:jc w:val="center"/>
              <w:rPr>
                <w:rFonts w:ascii="Verdana" w:hAnsi="Verdana"/>
                <w:sz w:val="20"/>
                <w:szCs w:val="20"/>
              </w:rPr>
            </w:pPr>
            <w:r w:rsidRPr="00611315">
              <w:rPr>
                <w:rFonts w:ascii="Verdana" w:hAnsi="Verdana"/>
                <w:sz w:val="20"/>
                <w:szCs w:val="20"/>
              </w:rPr>
              <w:t>CONSTRUCTORA OD S.A.S.</w:t>
            </w:r>
          </w:p>
        </w:tc>
      </w:tr>
      <w:tr w:rsidR="00642FBB" w:rsidRPr="00611315" w14:paraId="1CF7C57F"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4FB8471D" w14:textId="77777777" w:rsidR="00642FBB" w:rsidRPr="00611315" w:rsidRDefault="00642FBB">
            <w:pPr>
              <w:jc w:val="center"/>
              <w:rPr>
                <w:rFonts w:ascii="Verdana" w:hAnsi="Verdana"/>
                <w:sz w:val="20"/>
                <w:szCs w:val="20"/>
              </w:rPr>
            </w:pPr>
            <w:r w:rsidRPr="00611315">
              <w:rPr>
                <w:rFonts w:ascii="Verdana" w:hAnsi="Verdana"/>
                <w:sz w:val="20"/>
                <w:szCs w:val="20"/>
              </w:rPr>
              <w:t>900968612</w:t>
            </w:r>
          </w:p>
        </w:tc>
        <w:tc>
          <w:tcPr>
            <w:tcW w:w="4961" w:type="dxa"/>
            <w:tcBorders>
              <w:top w:val="nil"/>
              <w:left w:val="nil"/>
              <w:bottom w:val="single" w:sz="4" w:space="0" w:color="auto"/>
              <w:right w:val="single" w:sz="4" w:space="0" w:color="auto"/>
            </w:tcBorders>
            <w:noWrap/>
            <w:vAlign w:val="center"/>
            <w:hideMark/>
          </w:tcPr>
          <w:p w14:paraId="6B8D0B4F" w14:textId="77777777" w:rsidR="00642FBB" w:rsidRPr="00611315" w:rsidRDefault="00642FBB" w:rsidP="00F47B13">
            <w:pPr>
              <w:jc w:val="center"/>
              <w:rPr>
                <w:rFonts w:ascii="Verdana" w:hAnsi="Verdana"/>
                <w:sz w:val="20"/>
                <w:szCs w:val="20"/>
              </w:rPr>
            </w:pPr>
            <w:r w:rsidRPr="00611315">
              <w:rPr>
                <w:rFonts w:ascii="Verdana" w:hAnsi="Verdana"/>
                <w:sz w:val="20"/>
                <w:szCs w:val="20"/>
              </w:rPr>
              <w:t>SISTEMAS DE PROTECCION Y ACABADOS S.A.S.</w:t>
            </w:r>
          </w:p>
        </w:tc>
      </w:tr>
      <w:tr w:rsidR="00642FBB" w:rsidRPr="00611315" w14:paraId="553D44B4"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68604CE9" w14:textId="77777777" w:rsidR="00642FBB" w:rsidRPr="00611315" w:rsidRDefault="00642FBB">
            <w:pPr>
              <w:jc w:val="center"/>
              <w:rPr>
                <w:rFonts w:ascii="Verdana" w:hAnsi="Verdana"/>
                <w:sz w:val="20"/>
                <w:szCs w:val="20"/>
              </w:rPr>
            </w:pPr>
            <w:r w:rsidRPr="00611315">
              <w:rPr>
                <w:rFonts w:ascii="Verdana" w:hAnsi="Verdana"/>
                <w:sz w:val="20"/>
                <w:szCs w:val="20"/>
              </w:rPr>
              <w:t>901481717</w:t>
            </w:r>
          </w:p>
        </w:tc>
        <w:tc>
          <w:tcPr>
            <w:tcW w:w="4961" w:type="dxa"/>
            <w:tcBorders>
              <w:top w:val="nil"/>
              <w:left w:val="nil"/>
              <w:bottom w:val="single" w:sz="4" w:space="0" w:color="auto"/>
              <w:right w:val="single" w:sz="4" w:space="0" w:color="auto"/>
            </w:tcBorders>
            <w:noWrap/>
            <w:vAlign w:val="center"/>
            <w:hideMark/>
          </w:tcPr>
          <w:p w14:paraId="51737430" w14:textId="77777777" w:rsidR="00642FBB" w:rsidRPr="00611315" w:rsidRDefault="00642FBB" w:rsidP="00F47B13">
            <w:pPr>
              <w:jc w:val="center"/>
              <w:rPr>
                <w:rFonts w:ascii="Verdana" w:hAnsi="Verdana"/>
                <w:sz w:val="20"/>
                <w:szCs w:val="20"/>
              </w:rPr>
            </w:pPr>
            <w:r w:rsidRPr="00611315">
              <w:rPr>
                <w:rFonts w:ascii="Verdana" w:hAnsi="Verdana"/>
                <w:sz w:val="20"/>
                <w:szCs w:val="20"/>
              </w:rPr>
              <w:t>BC BELTRAN CEDIEL S.A.S</w:t>
            </w:r>
          </w:p>
        </w:tc>
      </w:tr>
      <w:tr w:rsidR="00642FBB" w:rsidRPr="00611315" w14:paraId="481539FA" w14:textId="77777777" w:rsidTr="00F47B13">
        <w:trPr>
          <w:trHeight w:val="255"/>
          <w:jc w:val="center"/>
        </w:trPr>
        <w:tc>
          <w:tcPr>
            <w:tcW w:w="1980" w:type="dxa"/>
            <w:tcBorders>
              <w:top w:val="nil"/>
              <w:left w:val="single" w:sz="4" w:space="0" w:color="auto"/>
              <w:bottom w:val="single" w:sz="4" w:space="0" w:color="auto"/>
              <w:right w:val="single" w:sz="4" w:space="0" w:color="auto"/>
            </w:tcBorders>
            <w:noWrap/>
            <w:vAlign w:val="center"/>
            <w:hideMark/>
          </w:tcPr>
          <w:p w14:paraId="2A81A37B" w14:textId="77777777" w:rsidR="00642FBB" w:rsidRPr="00611315" w:rsidRDefault="00642FBB">
            <w:pPr>
              <w:jc w:val="center"/>
              <w:rPr>
                <w:rFonts w:ascii="Verdana" w:hAnsi="Verdana"/>
                <w:sz w:val="20"/>
                <w:szCs w:val="20"/>
              </w:rPr>
            </w:pPr>
            <w:r w:rsidRPr="00611315">
              <w:rPr>
                <w:rFonts w:ascii="Verdana" w:hAnsi="Verdana"/>
                <w:sz w:val="20"/>
                <w:szCs w:val="20"/>
              </w:rPr>
              <w:t>900496836</w:t>
            </w:r>
          </w:p>
        </w:tc>
        <w:tc>
          <w:tcPr>
            <w:tcW w:w="4961" w:type="dxa"/>
            <w:tcBorders>
              <w:top w:val="nil"/>
              <w:left w:val="nil"/>
              <w:bottom w:val="single" w:sz="4" w:space="0" w:color="auto"/>
              <w:right w:val="single" w:sz="4" w:space="0" w:color="auto"/>
            </w:tcBorders>
            <w:noWrap/>
            <w:vAlign w:val="center"/>
            <w:hideMark/>
          </w:tcPr>
          <w:p w14:paraId="4A696359" w14:textId="77777777" w:rsidR="00642FBB" w:rsidRPr="00611315" w:rsidRDefault="00642FBB" w:rsidP="00F47B13">
            <w:pPr>
              <w:jc w:val="center"/>
              <w:rPr>
                <w:rFonts w:ascii="Verdana" w:hAnsi="Verdana"/>
                <w:sz w:val="20"/>
                <w:szCs w:val="20"/>
              </w:rPr>
            </w:pPr>
            <w:r w:rsidRPr="00611315">
              <w:rPr>
                <w:rFonts w:ascii="Verdana" w:hAnsi="Verdana"/>
                <w:sz w:val="20"/>
                <w:szCs w:val="20"/>
              </w:rPr>
              <w:t>INGENIERÍA ESPECIALIZADA - GESTIÓN AMBIENTAL - SEGURIDAD INDUSTRIAL S.A.S</w:t>
            </w:r>
          </w:p>
        </w:tc>
      </w:tr>
    </w:tbl>
    <w:p w14:paraId="62A8484E" w14:textId="62895CE8" w:rsidR="0071235F" w:rsidRPr="00650B13" w:rsidRDefault="00EF1941" w:rsidP="00EF1941">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elaboración propia</w:t>
      </w:r>
    </w:p>
    <w:p w14:paraId="3C93D0A1" w14:textId="2901187F" w:rsidR="004E6AA4" w:rsidRPr="00611315" w:rsidRDefault="004E6AA4" w:rsidP="004E6AA4">
      <w:pPr>
        <w:jc w:val="both"/>
        <w:rPr>
          <w:rFonts w:ascii="Verdana" w:eastAsia="Verdana Pro" w:hAnsi="Verdana" w:cs="Verdana Pro"/>
          <w:sz w:val="22"/>
          <w:szCs w:val="22"/>
        </w:rPr>
      </w:pPr>
    </w:p>
    <w:p w14:paraId="21DE4F48" w14:textId="43ABDE05" w:rsidR="00A27848" w:rsidRPr="00611315" w:rsidRDefault="00B36117" w:rsidP="004E6AA4">
      <w:pPr>
        <w:jc w:val="both"/>
        <w:rPr>
          <w:rFonts w:ascii="Verdana" w:eastAsia="Verdana Pro" w:hAnsi="Verdana" w:cs="Verdana Pro"/>
          <w:sz w:val="22"/>
          <w:szCs w:val="22"/>
        </w:rPr>
      </w:pPr>
      <w:r w:rsidRPr="00611315">
        <w:rPr>
          <w:rFonts w:ascii="Verdana" w:eastAsia="Verdana Pro" w:hAnsi="Verdana" w:cs="Verdana Pro"/>
          <w:sz w:val="22"/>
          <w:szCs w:val="22"/>
        </w:rPr>
        <w:t>Finalmente, es importante resaltar que adicional a los proveedores previamente relacionados, fue posible identificar a proveedores adicionales a través de búsquedas de internet; resultado de dicho ejercicio, se lograron identificar a los siguientes proveedores:</w:t>
      </w:r>
    </w:p>
    <w:p w14:paraId="6B3DC8F4" w14:textId="77777777" w:rsidR="00B36117" w:rsidRPr="00611315" w:rsidRDefault="00B36117" w:rsidP="004E6AA4">
      <w:pPr>
        <w:jc w:val="both"/>
        <w:rPr>
          <w:rFonts w:ascii="Verdana" w:eastAsia="Verdana Pro" w:hAnsi="Verdana" w:cs="Verdana Pro"/>
          <w:sz w:val="22"/>
          <w:szCs w:val="22"/>
        </w:rPr>
      </w:pPr>
    </w:p>
    <w:p w14:paraId="1392F296" w14:textId="32A676EE" w:rsidR="00382A2E" w:rsidRPr="00611315" w:rsidRDefault="00382A2E" w:rsidP="00382A2E">
      <w:pPr>
        <w:pStyle w:val="Descripcin"/>
        <w:jc w:val="center"/>
        <w:rPr>
          <w:rFonts w:ascii="Verdana" w:eastAsia="Verdana Pro" w:hAnsi="Verdana" w:cs="Verdana Pro"/>
          <w:sz w:val="24"/>
          <w:szCs w:val="24"/>
        </w:rPr>
      </w:pPr>
      <w:bookmarkStart w:id="34" w:name="_Toc231368671"/>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Pr="00611315">
        <w:rPr>
          <w:rFonts w:ascii="Verdana" w:hAnsi="Verdana"/>
          <w:noProof/>
          <w:sz w:val="22"/>
          <w:szCs w:val="22"/>
        </w:rPr>
        <w:t>4</w:t>
      </w:r>
      <w:r w:rsidRPr="00611315">
        <w:rPr>
          <w:rFonts w:ascii="Verdana" w:hAnsi="Verdana"/>
          <w:sz w:val="22"/>
          <w:szCs w:val="22"/>
        </w:rPr>
        <w:fldChar w:fldCharType="end"/>
      </w:r>
      <w:r w:rsidRPr="00611315">
        <w:rPr>
          <w:rFonts w:ascii="Verdana" w:hAnsi="Verdana"/>
          <w:sz w:val="22"/>
          <w:szCs w:val="22"/>
        </w:rPr>
        <w:t>. Proveedores identificados en Internet</w:t>
      </w:r>
      <w:bookmarkEnd w:id="34"/>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4961"/>
      </w:tblGrid>
      <w:tr w:rsidR="00471E7E" w:rsidRPr="00611315" w14:paraId="500841AD" w14:textId="77777777" w:rsidTr="00B7647C">
        <w:trPr>
          <w:trHeight w:val="495"/>
          <w:tblHeader/>
          <w:jc w:val="center"/>
        </w:trPr>
        <w:tc>
          <w:tcPr>
            <w:tcW w:w="1985" w:type="dxa"/>
            <w:shd w:val="clear" w:color="auto" w:fill="D9D9D9" w:themeFill="background1" w:themeFillShade="D9"/>
            <w:vAlign w:val="center"/>
            <w:hideMark/>
          </w:tcPr>
          <w:p w14:paraId="113D0CC5" w14:textId="5E3620DA" w:rsidR="00471E7E" w:rsidRPr="00611315" w:rsidRDefault="00471E7E" w:rsidP="00471E7E">
            <w:pPr>
              <w:jc w:val="center"/>
              <w:rPr>
                <w:rFonts w:ascii="Verdana" w:hAnsi="Verdana"/>
                <w:b/>
                <w:bCs/>
                <w:sz w:val="20"/>
                <w:szCs w:val="20"/>
                <w:lang w:eastAsia="es-CO"/>
              </w:rPr>
            </w:pPr>
            <w:r w:rsidRPr="00611315">
              <w:rPr>
                <w:rFonts w:ascii="Verdana" w:hAnsi="Verdana"/>
                <w:b/>
                <w:bCs/>
                <w:sz w:val="20"/>
                <w:szCs w:val="20"/>
              </w:rPr>
              <w:t>NIT</w:t>
            </w:r>
          </w:p>
        </w:tc>
        <w:tc>
          <w:tcPr>
            <w:tcW w:w="4961" w:type="dxa"/>
            <w:shd w:val="clear" w:color="auto" w:fill="D9D9D9" w:themeFill="background1" w:themeFillShade="D9"/>
            <w:vAlign w:val="center"/>
            <w:hideMark/>
          </w:tcPr>
          <w:p w14:paraId="6E1FABA1" w14:textId="0CEA1F9F" w:rsidR="00471E7E" w:rsidRPr="00611315" w:rsidRDefault="00471E7E" w:rsidP="00B7647C">
            <w:pPr>
              <w:jc w:val="center"/>
              <w:rPr>
                <w:rFonts w:ascii="Verdana" w:hAnsi="Verdana"/>
                <w:b/>
                <w:bCs/>
                <w:sz w:val="20"/>
                <w:szCs w:val="20"/>
              </w:rPr>
            </w:pPr>
            <w:r w:rsidRPr="00611315">
              <w:rPr>
                <w:rFonts w:ascii="Verdana" w:hAnsi="Verdana"/>
                <w:b/>
                <w:bCs/>
                <w:sz w:val="20"/>
                <w:szCs w:val="20"/>
              </w:rPr>
              <w:t>EMPRESA</w:t>
            </w:r>
          </w:p>
        </w:tc>
      </w:tr>
      <w:tr w:rsidR="00471E7E" w:rsidRPr="00611315" w14:paraId="71854460" w14:textId="77777777" w:rsidTr="00B7647C">
        <w:trPr>
          <w:trHeight w:val="255"/>
          <w:jc w:val="center"/>
        </w:trPr>
        <w:tc>
          <w:tcPr>
            <w:tcW w:w="1985" w:type="dxa"/>
            <w:noWrap/>
            <w:vAlign w:val="center"/>
            <w:hideMark/>
          </w:tcPr>
          <w:p w14:paraId="67CC6795" w14:textId="77777777" w:rsidR="00471E7E" w:rsidRPr="00611315" w:rsidRDefault="00471E7E">
            <w:pPr>
              <w:jc w:val="center"/>
              <w:rPr>
                <w:rFonts w:ascii="Verdana" w:hAnsi="Verdana"/>
                <w:sz w:val="20"/>
                <w:szCs w:val="20"/>
              </w:rPr>
            </w:pPr>
            <w:r w:rsidRPr="00611315">
              <w:rPr>
                <w:rFonts w:ascii="Verdana" w:hAnsi="Verdana"/>
                <w:sz w:val="20"/>
                <w:szCs w:val="20"/>
              </w:rPr>
              <w:t>860040871</w:t>
            </w:r>
          </w:p>
        </w:tc>
        <w:tc>
          <w:tcPr>
            <w:tcW w:w="4961" w:type="dxa"/>
            <w:noWrap/>
            <w:vAlign w:val="center"/>
            <w:hideMark/>
          </w:tcPr>
          <w:p w14:paraId="27AEA1E3" w14:textId="77777777" w:rsidR="00471E7E" w:rsidRPr="00611315" w:rsidRDefault="00471E7E" w:rsidP="00B7647C">
            <w:pPr>
              <w:jc w:val="center"/>
              <w:rPr>
                <w:rFonts w:ascii="Verdana" w:hAnsi="Verdana"/>
                <w:sz w:val="20"/>
                <w:szCs w:val="20"/>
              </w:rPr>
            </w:pPr>
            <w:r w:rsidRPr="00611315">
              <w:rPr>
                <w:rFonts w:ascii="Verdana" w:hAnsi="Verdana"/>
                <w:sz w:val="20"/>
                <w:szCs w:val="20"/>
              </w:rPr>
              <w:t>PLINCO S.A.S.</w:t>
            </w:r>
          </w:p>
        </w:tc>
      </w:tr>
      <w:tr w:rsidR="00471E7E" w:rsidRPr="00611315" w14:paraId="352F1614" w14:textId="77777777" w:rsidTr="00B7647C">
        <w:trPr>
          <w:trHeight w:val="255"/>
          <w:jc w:val="center"/>
        </w:trPr>
        <w:tc>
          <w:tcPr>
            <w:tcW w:w="1985" w:type="dxa"/>
            <w:noWrap/>
            <w:vAlign w:val="center"/>
            <w:hideMark/>
          </w:tcPr>
          <w:p w14:paraId="209CF895" w14:textId="77777777" w:rsidR="00471E7E" w:rsidRPr="00611315" w:rsidRDefault="00471E7E">
            <w:pPr>
              <w:jc w:val="center"/>
              <w:rPr>
                <w:rFonts w:ascii="Verdana" w:hAnsi="Verdana"/>
                <w:sz w:val="20"/>
                <w:szCs w:val="20"/>
              </w:rPr>
            </w:pPr>
            <w:r w:rsidRPr="00611315">
              <w:rPr>
                <w:rFonts w:ascii="Verdana" w:hAnsi="Verdana"/>
                <w:sz w:val="20"/>
                <w:szCs w:val="20"/>
              </w:rPr>
              <w:t>800143586</w:t>
            </w:r>
          </w:p>
        </w:tc>
        <w:tc>
          <w:tcPr>
            <w:tcW w:w="4961" w:type="dxa"/>
            <w:noWrap/>
            <w:vAlign w:val="center"/>
            <w:hideMark/>
          </w:tcPr>
          <w:p w14:paraId="40F94093" w14:textId="77777777" w:rsidR="00471E7E" w:rsidRPr="00611315" w:rsidRDefault="00471E7E" w:rsidP="00B7647C">
            <w:pPr>
              <w:jc w:val="center"/>
              <w:rPr>
                <w:rFonts w:ascii="Verdana" w:hAnsi="Verdana"/>
                <w:sz w:val="20"/>
                <w:szCs w:val="20"/>
              </w:rPr>
            </w:pPr>
            <w:r w:rsidRPr="00611315">
              <w:rPr>
                <w:rFonts w:ascii="Verdana" w:hAnsi="Verdana"/>
                <w:sz w:val="20"/>
                <w:szCs w:val="20"/>
              </w:rPr>
              <w:t>MEYAN S A</w:t>
            </w:r>
          </w:p>
        </w:tc>
      </w:tr>
      <w:tr w:rsidR="00471E7E" w:rsidRPr="00611315" w14:paraId="14C0A39A" w14:textId="77777777" w:rsidTr="00B7647C">
        <w:trPr>
          <w:trHeight w:val="255"/>
          <w:jc w:val="center"/>
        </w:trPr>
        <w:tc>
          <w:tcPr>
            <w:tcW w:w="1985" w:type="dxa"/>
            <w:noWrap/>
            <w:vAlign w:val="center"/>
            <w:hideMark/>
          </w:tcPr>
          <w:p w14:paraId="6A6ECC76" w14:textId="77777777" w:rsidR="00471E7E" w:rsidRPr="00611315" w:rsidRDefault="00471E7E">
            <w:pPr>
              <w:jc w:val="center"/>
              <w:rPr>
                <w:rFonts w:ascii="Verdana" w:hAnsi="Verdana"/>
                <w:sz w:val="20"/>
                <w:szCs w:val="20"/>
              </w:rPr>
            </w:pPr>
            <w:r w:rsidRPr="00611315">
              <w:rPr>
                <w:rFonts w:ascii="Verdana" w:hAnsi="Verdana"/>
                <w:sz w:val="20"/>
                <w:szCs w:val="20"/>
              </w:rPr>
              <w:t>900280445</w:t>
            </w:r>
          </w:p>
        </w:tc>
        <w:tc>
          <w:tcPr>
            <w:tcW w:w="4961" w:type="dxa"/>
            <w:noWrap/>
            <w:vAlign w:val="center"/>
            <w:hideMark/>
          </w:tcPr>
          <w:p w14:paraId="37A6CAD8" w14:textId="77777777" w:rsidR="00471E7E" w:rsidRPr="00611315" w:rsidRDefault="00471E7E" w:rsidP="00B7647C">
            <w:pPr>
              <w:jc w:val="center"/>
              <w:rPr>
                <w:rFonts w:ascii="Verdana" w:hAnsi="Verdana"/>
                <w:sz w:val="20"/>
                <w:szCs w:val="20"/>
              </w:rPr>
            </w:pPr>
            <w:r w:rsidRPr="00611315">
              <w:rPr>
                <w:rFonts w:ascii="Verdana" w:hAnsi="Verdana"/>
                <w:sz w:val="20"/>
                <w:szCs w:val="20"/>
              </w:rPr>
              <w:t>INALCON S.A.S.</w:t>
            </w:r>
          </w:p>
        </w:tc>
      </w:tr>
      <w:tr w:rsidR="00471E7E" w:rsidRPr="00611315" w14:paraId="3291D04A" w14:textId="77777777" w:rsidTr="00B7647C">
        <w:trPr>
          <w:trHeight w:val="255"/>
          <w:jc w:val="center"/>
        </w:trPr>
        <w:tc>
          <w:tcPr>
            <w:tcW w:w="1985" w:type="dxa"/>
            <w:noWrap/>
            <w:vAlign w:val="center"/>
            <w:hideMark/>
          </w:tcPr>
          <w:p w14:paraId="3D510A56" w14:textId="77777777" w:rsidR="00471E7E" w:rsidRPr="00611315" w:rsidRDefault="00471E7E">
            <w:pPr>
              <w:jc w:val="center"/>
              <w:rPr>
                <w:rFonts w:ascii="Verdana" w:hAnsi="Verdana"/>
                <w:sz w:val="20"/>
                <w:szCs w:val="20"/>
              </w:rPr>
            </w:pPr>
            <w:r w:rsidRPr="00611315">
              <w:rPr>
                <w:rFonts w:ascii="Verdana" w:hAnsi="Verdana"/>
                <w:sz w:val="20"/>
                <w:szCs w:val="20"/>
              </w:rPr>
              <w:t>890928186</w:t>
            </w:r>
          </w:p>
        </w:tc>
        <w:tc>
          <w:tcPr>
            <w:tcW w:w="4961" w:type="dxa"/>
            <w:noWrap/>
            <w:vAlign w:val="center"/>
            <w:hideMark/>
          </w:tcPr>
          <w:p w14:paraId="69065257" w14:textId="77777777" w:rsidR="00471E7E" w:rsidRPr="00611315" w:rsidRDefault="00471E7E" w:rsidP="00B7647C">
            <w:pPr>
              <w:jc w:val="center"/>
              <w:rPr>
                <w:rFonts w:ascii="Verdana" w:hAnsi="Verdana"/>
                <w:sz w:val="20"/>
                <w:szCs w:val="20"/>
              </w:rPr>
            </w:pPr>
            <w:r w:rsidRPr="00611315">
              <w:rPr>
                <w:rFonts w:ascii="Verdana" w:hAnsi="Verdana"/>
                <w:sz w:val="20"/>
                <w:szCs w:val="20"/>
              </w:rPr>
              <w:t>SANEAR S.A.S</w:t>
            </w:r>
          </w:p>
        </w:tc>
      </w:tr>
      <w:tr w:rsidR="00471E7E" w:rsidRPr="00611315" w14:paraId="6D1A5D1C" w14:textId="77777777" w:rsidTr="00B7647C">
        <w:trPr>
          <w:trHeight w:val="255"/>
          <w:jc w:val="center"/>
        </w:trPr>
        <w:tc>
          <w:tcPr>
            <w:tcW w:w="1985" w:type="dxa"/>
            <w:noWrap/>
            <w:vAlign w:val="center"/>
            <w:hideMark/>
          </w:tcPr>
          <w:p w14:paraId="1EF063F4" w14:textId="77777777" w:rsidR="00471E7E" w:rsidRPr="00611315" w:rsidRDefault="00471E7E">
            <w:pPr>
              <w:jc w:val="center"/>
              <w:rPr>
                <w:rFonts w:ascii="Verdana" w:hAnsi="Verdana"/>
                <w:sz w:val="20"/>
                <w:szCs w:val="20"/>
              </w:rPr>
            </w:pPr>
            <w:r w:rsidRPr="00611315">
              <w:rPr>
                <w:rFonts w:ascii="Verdana" w:hAnsi="Verdana"/>
                <w:sz w:val="20"/>
                <w:szCs w:val="20"/>
              </w:rPr>
              <w:t>900090840</w:t>
            </w:r>
          </w:p>
        </w:tc>
        <w:tc>
          <w:tcPr>
            <w:tcW w:w="4961" w:type="dxa"/>
            <w:noWrap/>
            <w:vAlign w:val="center"/>
            <w:hideMark/>
          </w:tcPr>
          <w:p w14:paraId="07373C8B" w14:textId="77777777" w:rsidR="00471E7E" w:rsidRPr="00611315" w:rsidRDefault="00471E7E" w:rsidP="00B7647C">
            <w:pPr>
              <w:jc w:val="center"/>
              <w:rPr>
                <w:rFonts w:ascii="Verdana" w:hAnsi="Verdana"/>
                <w:sz w:val="20"/>
                <w:szCs w:val="20"/>
              </w:rPr>
            </w:pPr>
            <w:r w:rsidRPr="00611315">
              <w:rPr>
                <w:rFonts w:ascii="Verdana" w:hAnsi="Verdana"/>
                <w:sz w:val="20"/>
                <w:szCs w:val="20"/>
              </w:rPr>
              <w:t>INGEADE S.A.S.</w:t>
            </w:r>
          </w:p>
        </w:tc>
      </w:tr>
      <w:tr w:rsidR="00471E7E" w:rsidRPr="00611315" w14:paraId="7DE4A033" w14:textId="77777777" w:rsidTr="00B7647C">
        <w:trPr>
          <w:trHeight w:val="255"/>
          <w:jc w:val="center"/>
        </w:trPr>
        <w:tc>
          <w:tcPr>
            <w:tcW w:w="1985" w:type="dxa"/>
            <w:noWrap/>
            <w:vAlign w:val="center"/>
            <w:hideMark/>
          </w:tcPr>
          <w:p w14:paraId="2772F95A" w14:textId="77777777" w:rsidR="00471E7E" w:rsidRPr="00611315" w:rsidRDefault="00471E7E">
            <w:pPr>
              <w:jc w:val="center"/>
              <w:rPr>
                <w:rFonts w:ascii="Verdana" w:hAnsi="Verdana"/>
                <w:sz w:val="20"/>
                <w:szCs w:val="20"/>
              </w:rPr>
            </w:pPr>
            <w:r w:rsidRPr="00611315">
              <w:rPr>
                <w:rFonts w:ascii="Verdana" w:hAnsi="Verdana"/>
                <w:sz w:val="20"/>
                <w:szCs w:val="20"/>
              </w:rPr>
              <w:t>830502037</w:t>
            </w:r>
          </w:p>
        </w:tc>
        <w:tc>
          <w:tcPr>
            <w:tcW w:w="4961" w:type="dxa"/>
            <w:noWrap/>
            <w:vAlign w:val="center"/>
            <w:hideMark/>
          </w:tcPr>
          <w:p w14:paraId="00D4C70B" w14:textId="77777777" w:rsidR="00471E7E" w:rsidRPr="00611315" w:rsidRDefault="00471E7E" w:rsidP="00B7647C">
            <w:pPr>
              <w:jc w:val="center"/>
              <w:rPr>
                <w:rFonts w:ascii="Verdana" w:hAnsi="Verdana"/>
                <w:sz w:val="20"/>
                <w:szCs w:val="20"/>
              </w:rPr>
            </w:pPr>
            <w:r w:rsidRPr="00611315">
              <w:rPr>
                <w:rFonts w:ascii="Verdana" w:hAnsi="Verdana"/>
                <w:sz w:val="20"/>
                <w:szCs w:val="20"/>
              </w:rPr>
              <w:t>SEPROMED S.A.S.</w:t>
            </w:r>
          </w:p>
        </w:tc>
      </w:tr>
      <w:tr w:rsidR="00471E7E" w:rsidRPr="00611315" w14:paraId="6D9DAA5C" w14:textId="77777777" w:rsidTr="00B7647C">
        <w:trPr>
          <w:trHeight w:val="255"/>
          <w:jc w:val="center"/>
        </w:trPr>
        <w:tc>
          <w:tcPr>
            <w:tcW w:w="1985" w:type="dxa"/>
            <w:noWrap/>
            <w:vAlign w:val="center"/>
            <w:hideMark/>
          </w:tcPr>
          <w:p w14:paraId="46E2AF00" w14:textId="77777777" w:rsidR="00471E7E" w:rsidRPr="00611315" w:rsidRDefault="00471E7E">
            <w:pPr>
              <w:jc w:val="center"/>
              <w:rPr>
                <w:rFonts w:ascii="Verdana" w:hAnsi="Verdana"/>
                <w:sz w:val="20"/>
                <w:szCs w:val="20"/>
              </w:rPr>
            </w:pPr>
            <w:r w:rsidRPr="00611315">
              <w:rPr>
                <w:rFonts w:ascii="Verdana" w:hAnsi="Verdana"/>
                <w:sz w:val="20"/>
                <w:szCs w:val="20"/>
              </w:rPr>
              <w:t>830060732</w:t>
            </w:r>
          </w:p>
        </w:tc>
        <w:tc>
          <w:tcPr>
            <w:tcW w:w="4961" w:type="dxa"/>
            <w:noWrap/>
            <w:vAlign w:val="center"/>
            <w:hideMark/>
          </w:tcPr>
          <w:p w14:paraId="01607CBA" w14:textId="77777777" w:rsidR="00471E7E" w:rsidRPr="00611315" w:rsidRDefault="00471E7E" w:rsidP="00B7647C">
            <w:pPr>
              <w:jc w:val="center"/>
              <w:rPr>
                <w:rFonts w:ascii="Verdana" w:hAnsi="Verdana"/>
                <w:sz w:val="20"/>
                <w:szCs w:val="20"/>
              </w:rPr>
            </w:pPr>
            <w:r w:rsidRPr="00611315">
              <w:rPr>
                <w:rFonts w:ascii="Verdana" w:hAnsi="Verdana"/>
                <w:sz w:val="20"/>
                <w:szCs w:val="20"/>
              </w:rPr>
              <w:t>BAYING SAS</w:t>
            </w:r>
          </w:p>
        </w:tc>
      </w:tr>
      <w:tr w:rsidR="00471E7E" w:rsidRPr="00611315" w14:paraId="39279168" w14:textId="77777777" w:rsidTr="00B7647C">
        <w:trPr>
          <w:trHeight w:val="255"/>
          <w:jc w:val="center"/>
        </w:trPr>
        <w:tc>
          <w:tcPr>
            <w:tcW w:w="1985" w:type="dxa"/>
            <w:noWrap/>
            <w:vAlign w:val="center"/>
            <w:hideMark/>
          </w:tcPr>
          <w:p w14:paraId="549D6D81" w14:textId="77777777" w:rsidR="00471E7E" w:rsidRPr="00611315" w:rsidRDefault="00471E7E">
            <w:pPr>
              <w:jc w:val="center"/>
              <w:rPr>
                <w:rFonts w:ascii="Verdana" w:hAnsi="Verdana"/>
                <w:sz w:val="20"/>
                <w:szCs w:val="20"/>
              </w:rPr>
            </w:pPr>
            <w:r w:rsidRPr="00611315">
              <w:rPr>
                <w:rFonts w:ascii="Verdana" w:hAnsi="Verdana"/>
                <w:sz w:val="20"/>
                <w:szCs w:val="20"/>
              </w:rPr>
              <w:t>830094920</w:t>
            </w:r>
          </w:p>
        </w:tc>
        <w:tc>
          <w:tcPr>
            <w:tcW w:w="4961" w:type="dxa"/>
            <w:noWrap/>
            <w:vAlign w:val="center"/>
            <w:hideMark/>
          </w:tcPr>
          <w:p w14:paraId="367ECA67" w14:textId="77777777" w:rsidR="00471E7E" w:rsidRPr="00611315" w:rsidRDefault="00471E7E" w:rsidP="00B7647C">
            <w:pPr>
              <w:jc w:val="center"/>
              <w:rPr>
                <w:rFonts w:ascii="Verdana" w:hAnsi="Verdana"/>
                <w:sz w:val="20"/>
                <w:szCs w:val="20"/>
              </w:rPr>
            </w:pPr>
            <w:r w:rsidRPr="00611315">
              <w:rPr>
                <w:rFonts w:ascii="Verdana" w:hAnsi="Verdana"/>
                <w:sz w:val="20"/>
                <w:szCs w:val="20"/>
              </w:rPr>
              <w:t>KMA CONSTRUCCIONES S.A.S</w:t>
            </w:r>
          </w:p>
        </w:tc>
      </w:tr>
      <w:tr w:rsidR="00471E7E" w:rsidRPr="00611315" w14:paraId="3F4D0DEF" w14:textId="77777777" w:rsidTr="00B7647C">
        <w:trPr>
          <w:trHeight w:val="255"/>
          <w:jc w:val="center"/>
        </w:trPr>
        <w:tc>
          <w:tcPr>
            <w:tcW w:w="1985" w:type="dxa"/>
            <w:noWrap/>
            <w:vAlign w:val="center"/>
            <w:hideMark/>
          </w:tcPr>
          <w:p w14:paraId="3E022144" w14:textId="77777777" w:rsidR="00471E7E" w:rsidRPr="00611315" w:rsidRDefault="00471E7E">
            <w:pPr>
              <w:jc w:val="center"/>
              <w:rPr>
                <w:rFonts w:ascii="Verdana" w:hAnsi="Verdana"/>
                <w:sz w:val="20"/>
                <w:szCs w:val="20"/>
              </w:rPr>
            </w:pPr>
            <w:r w:rsidRPr="00611315">
              <w:rPr>
                <w:rFonts w:ascii="Verdana" w:hAnsi="Verdana"/>
                <w:sz w:val="20"/>
                <w:szCs w:val="20"/>
              </w:rPr>
              <w:t>900206480</w:t>
            </w:r>
          </w:p>
        </w:tc>
        <w:tc>
          <w:tcPr>
            <w:tcW w:w="4961" w:type="dxa"/>
            <w:noWrap/>
            <w:vAlign w:val="center"/>
            <w:hideMark/>
          </w:tcPr>
          <w:p w14:paraId="72C3096A" w14:textId="77777777" w:rsidR="00471E7E" w:rsidRPr="00611315" w:rsidRDefault="00471E7E" w:rsidP="00B7647C">
            <w:pPr>
              <w:jc w:val="center"/>
              <w:rPr>
                <w:rFonts w:ascii="Verdana" w:hAnsi="Verdana"/>
                <w:sz w:val="20"/>
                <w:szCs w:val="20"/>
              </w:rPr>
            </w:pPr>
            <w:r w:rsidRPr="00611315">
              <w:rPr>
                <w:rFonts w:ascii="Verdana" w:hAnsi="Verdana"/>
                <w:sz w:val="20"/>
                <w:szCs w:val="20"/>
              </w:rPr>
              <w:t>INGETEC INGENIERIA &amp; DISEÑO SAS</w:t>
            </w:r>
          </w:p>
        </w:tc>
      </w:tr>
      <w:tr w:rsidR="00471E7E" w:rsidRPr="00611315" w14:paraId="1C71D64C" w14:textId="77777777" w:rsidTr="00B7647C">
        <w:trPr>
          <w:trHeight w:val="255"/>
          <w:jc w:val="center"/>
        </w:trPr>
        <w:tc>
          <w:tcPr>
            <w:tcW w:w="1985" w:type="dxa"/>
            <w:noWrap/>
            <w:vAlign w:val="center"/>
            <w:hideMark/>
          </w:tcPr>
          <w:p w14:paraId="0A1C6F5B" w14:textId="77777777" w:rsidR="00471E7E" w:rsidRPr="00611315" w:rsidRDefault="00471E7E">
            <w:pPr>
              <w:jc w:val="center"/>
              <w:rPr>
                <w:rFonts w:ascii="Verdana" w:hAnsi="Verdana"/>
                <w:sz w:val="20"/>
                <w:szCs w:val="20"/>
              </w:rPr>
            </w:pPr>
            <w:r w:rsidRPr="00611315">
              <w:rPr>
                <w:rFonts w:ascii="Verdana" w:hAnsi="Verdana"/>
                <w:sz w:val="20"/>
                <w:szCs w:val="20"/>
              </w:rPr>
              <w:t>800090498</w:t>
            </w:r>
          </w:p>
        </w:tc>
        <w:tc>
          <w:tcPr>
            <w:tcW w:w="4961" w:type="dxa"/>
            <w:noWrap/>
            <w:vAlign w:val="center"/>
            <w:hideMark/>
          </w:tcPr>
          <w:p w14:paraId="7FE8AE40" w14:textId="77777777" w:rsidR="00471E7E" w:rsidRPr="00611315" w:rsidRDefault="00471E7E" w:rsidP="00B7647C">
            <w:pPr>
              <w:jc w:val="center"/>
              <w:rPr>
                <w:rFonts w:ascii="Verdana" w:hAnsi="Verdana"/>
                <w:sz w:val="20"/>
                <w:szCs w:val="20"/>
              </w:rPr>
            </w:pPr>
            <w:r w:rsidRPr="00611315">
              <w:rPr>
                <w:rFonts w:ascii="Verdana" w:hAnsi="Verdana"/>
                <w:sz w:val="20"/>
                <w:szCs w:val="20"/>
              </w:rPr>
              <w:t>INCCEI LTDA</w:t>
            </w:r>
          </w:p>
        </w:tc>
      </w:tr>
    </w:tbl>
    <w:p w14:paraId="0CCFD7D8" w14:textId="77777777" w:rsidR="00B7647C" w:rsidRPr="00650B13" w:rsidRDefault="00B7647C" w:rsidP="00B7647C">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elaboración propia</w:t>
      </w:r>
    </w:p>
    <w:p w14:paraId="4B21F83B" w14:textId="77777777" w:rsidR="00B36117" w:rsidRPr="00611315" w:rsidRDefault="00B36117" w:rsidP="004E6AA4">
      <w:pPr>
        <w:jc w:val="both"/>
        <w:rPr>
          <w:rFonts w:ascii="Verdana" w:eastAsia="Verdana Pro" w:hAnsi="Verdana" w:cs="Verdana Pro"/>
          <w:sz w:val="22"/>
          <w:szCs w:val="22"/>
        </w:rPr>
      </w:pPr>
    </w:p>
    <w:p w14:paraId="7D9B1E53" w14:textId="082AB213" w:rsidR="004E6AA4" w:rsidRPr="00611315" w:rsidRDefault="00650B13" w:rsidP="006D5CAF">
      <w:pPr>
        <w:pStyle w:val="Ttulo2"/>
        <w:numPr>
          <w:ilvl w:val="0"/>
          <w:numId w:val="46"/>
        </w:numPr>
        <w:rPr>
          <w:rFonts w:ascii="Verdana" w:hAnsi="Verdana" w:cs="Arial"/>
          <w:color w:val="000000" w:themeColor="text1"/>
          <w:szCs w:val="22"/>
        </w:rPr>
      </w:pPr>
      <w:bookmarkStart w:id="35" w:name="_Toc231368611"/>
      <w:r w:rsidRPr="00611315">
        <w:rPr>
          <w:rFonts w:ascii="Verdana" w:hAnsi="Verdana" w:cs="Arial"/>
          <w:color w:val="000000" w:themeColor="text1"/>
          <w:szCs w:val="22"/>
        </w:rPr>
        <w:t>ANÁLISIS DE LA DEMANDA</w:t>
      </w:r>
      <w:bookmarkEnd w:id="35"/>
    </w:p>
    <w:p w14:paraId="6C2C8679" w14:textId="77777777" w:rsidR="004E6AA4" w:rsidRPr="00611315" w:rsidRDefault="004E6AA4" w:rsidP="004E6AA4">
      <w:pPr>
        <w:jc w:val="both"/>
        <w:rPr>
          <w:rFonts w:ascii="Verdana" w:eastAsia="Verdana Pro" w:hAnsi="Verdana" w:cs="Verdana Pro"/>
          <w:sz w:val="22"/>
          <w:szCs w:val="22"/>
        </w:rPr>
      </w:pPr>
    </w:p>
    <w:p w14:paraId="40EFFBBC" w14:textId="43CE4E54" w:rsidR="001242B5" w:rsidRPr="00611315" w:rsidRDefault="004E6AA4" w:rsidP="004E6AA4">
      <w:pPr>
        <w:jc w:val="both"/>
        <w:rPr>
          <w:rFonts w:ascii="Verdana" w:eastAsia="Verdana Pro" w:hAnsi="Verdana" w:cs="Verdana Pro"/>
          <w:sz w:val="22"/>
          <w:szCs w:val="22"/>
        </w:rPr>
      </w:pPr>
      <w:r w:rsidRPr="00611315">
        <w:rPr>
          <w:rFonts w:ascii="Verdana" w:eastAsia="Verdana Pro" w:hAnsi="Verdana" w:cs="Verdana Pro"/>
          <w:sz w:val="22"/>
          <w:szCs w:val="22"/>
        </w:rPr>
        <w:t xml:space="preserve">De acuerdo con </w:t>
      </w:r>
      <w:r w:rsidR="006A746E" w:rsidRPr="00611315">
        <w:rPr>
          <w:rFonts w:ascii="Verdana" w:eastAsia="Verdana Pro" w:hAnsi="Verdana" w:cs="Verdana Pro"/>
          <w:sz w:val="22"/>
          <w:szCs w:val="22"/>
        </w:rPr>
        <w:t>el</w:t>
      </w:r>
      <w:r w:rsidRPr="00611315">
        <w:rPr>
          <w:rFonts w:ascii="Verdana" w:eastAsia="Verdana Pro" w:hAnsi="Verdana" w:cs="Verdana Pro"/>
          <w:sz w:val="22"/>
          <w:szCs w:val="22"/>
        </w:rPr>
        <w:t xml:space="preserve"> Informe de </w:t>
      </w:r>
      <w:r w:rsidR="00A82C74" w:rsidRPr="00611315">
        <w:rPr>
          <w:rFonts w:ascii="Verdana" w:eastAsia="Verdana Pro" w:hAnsi="Verdana" w:cs="Verdana Pro"/>
          <w:sz w:val="22"/>
          <w:szCs w:val="22"/>
        </w:rPr>
        <w:t xml:space="preserve">Aplicación de los documentos tipo en la contratación estatal: julio de 2024 a septiembre de 2025 </w:t>
      </w:r>
      <w:r w:rsidRPr="00611315">
        <w:rPr>
          <w:rFonts w:ascii="Verdana" w:eastAsia="Verdana Pro" w:hAnsi="Verdana" w:cs="Verdana Pro"/>
          <w:sz w:val="22"/>
          <w:szCs w:val="22"/>
        </w:rPr>
        <w:t xml:space="preserve">elaborado por la Subdirección de Estudios de Mercado y Abastecimiento Estratégico (EMAE) se pudo obtener información de la dinámica de compra </w:t>
      </w:r>
      <w:r w:rsidR="001242B5" w:rsidRPr="00611315">
        <w:rPr>
          <w:rFonts w:ascii="Verdana" w:eastAsia="Verdana Pro" w:hAnsi="Verdana" w:cs="Verdana Pro"/>
          <w:sz w:val="22"/>
          <w:szCs w:val="22"/>
        </w:rPr>
        <w:t xml:space="preserve">por parte de Entidades Públicas </w:t>
      </w:r>
      <w:r w:rsidR="0054747F" w:rsidRPr="00611315">
        <w:rPr>
          <w:rFonts w:ascii="Verdana" w:eastAsia="Verdana Pro" w:hAnsi="Verdana" w:cs="Verdana Pro"/>
          <w:sz w:val="22"/>
          <w:szCs w:val="22"/>
        </w:rPr>
        <w:t>durante el periodo referido.</w:t>
      </w:r>
    </w:p>
    <w:p w14:paraId="2E23AA13" w14:textId="77777777" w:rsidR="0054747F" w:rsidRPr="00611315" w:rsidRDefault="0054747F" w:rsidP="004E6AA4">
      <w:pPr>
        <w:jc w:val="both"/>
        <w:rPr>
          <w:rFonts w:ascii="Verdana" w:eastAsia="Verdana Pro" w:hAnsi="Verdana" w:cs="Verdana Pro"/>
          <w:sz w:val="22"/>
          <w:szCs w:val="22"/>
        </w:rPr>
      </w:pPr>
    </w:p>
    <w:p w14:paraId="3EE4D6BF" w14:textId="73378BA5" w:rsidR="0054747F" w:rsidRPr="00611315" w:rsidRDefault="0054747F" w:rsidP="00DB65F5">
      <w:pPr>
        <w:jc w:val="both"/>
        <w:rPr>
          <w:rFonts w:ascii="Verdana" w:eastAsia="Verdana Pro" w:hAnsi="Verdana" w:cs="Verdana Pro"/>
          <w:sz w:val="22"/>
          <w:szCs w:val="22"/>
        </w:rPr>
      </w:pPr>
      <w:r w:rsidRPr="00611315">
        <w:rPr>
          <w:rFonts w:ascii="Verdana" w:eastAsia="Verdana Pro" w:hAnsi="Verdana" w:cs="Verdana Pro"/>
          <w:sz w:val="22"/>
          <w:szCs w:val="22"/>
        </w:rPr>
        <w:t>De acuerdo con el informe, durante el período comprendido entre julio de 2024 y septiembre de 2025, el sector de Infraestructura de Agua Potable y Saneamiento Básico registró una participación destacable en la contratación pública nacional. En total, 555 entidades estatales adelantaron 1.684 procesos que se vieron reflejados</w:t>
      </w:r>
      <w:r w:rsidR="00DB65F5" w:rsidRPr="00611315">
        <w:rPr>
          <w:rFonts w:ascii="Verdana" w:eastAsia="Verdana Pro" w:hAnsi="Verdana" w:cs="Verdana Pro"/>
          <w:sz w:val="22"/>
          <w:szCs w:val="22"/>
        </w:rPr>
        <w:t xml:space="preserve"> en 1.689 contratos de obra, consultoría e interventoría, los cuales representaron un valor contratado agregado de $7.087 billones. De los 1.693 contratos celebrados en el sector de Infraestructura de Agua Potable y Saneamiento Básico, 1.188 fueron gestionados en SECOP I y 501 en SECOP II, tal y como se puede ver a continuación:</w:t>
      </w:r>
    </w:p>
    <w:p w14:paraId="3DB5D867" w14:textId="77777777" w:rsidR="001B6C9C" w:rsidRPr="00611315" w:rsidRDefault="001B6C9C" w:rsidP="009669BA">
      <w:pPr>
        <w:jc w:val="center"/>
        <w:rPr>
          <w:rFonts w:ascii="Verdana" w:eastAsia="Verdana Pro" w:hAnsi="Verdana" w:cs="Verdana Pro"/>
        </w:rPr>
      </w:pPr>
    </w:p>
    <w:p w14:paraId="31F8DEDC" w14:textId="69748963" w:rsidR="009669BA" w:rsidRPr="00611315" w:rsidRDefault="009669BA" w:rsidP="009669BA">
      <w:pPr>
        <w:pStyle w:val="Descripcin"/>
        <w:jc w:val="center"/>
        <w:rPr>
          <w:rFonts w:ascii="Verdana" w:eastAsia="Verdana Pro" w:hAnsi="Verdana" w:cs="Verdana Pro"/>
          <w:sz w:val="24"/>
          <w:szCs w:val="24"/>
        </w:rPr>
      </w:pPr>
      <w:bookmarkStart w:id="36" w:name="_Toc231368793"/>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18</w:t>
      </w:r>
      <w:r w:rsidRPr="00611315">
        <w:rPr>
          <w:rFonts w:ascii="Verdana" w:hAnsi="Verdana"/>
          <w:sz w:val="22"/>
          <w:szCs w:val="22"/>
        </w:rPr>
        <w:fldChar w:fldCharType="end"/>
      </w:r>
      <w:r w:rsidRPr="00611315">
        <w:rPr>
          <w:rFonts w:ascii="Verdana" w:hAnsi="Verdana"/>
          <w:sz w:val="22"/>
          <w:szCs w:val="22"/>
        </w:rPr>
        <w:t>. Uso de las plataformas en el sector de Agua Potable y Saneamiento Básico</w:t>
      </w:r>
      <w:bookmarkEnd w:id="36"/>
    </w:p>
    <w:p w14:paraId="6964D5DA" w14:textId="63B4D234" w:rsidR="00DB65F5" w:rsidRPr="00611315" w:rsidRDefault="001B6C9C" w:rsidP="001B6C9C">
      <w:pPr>
        <w:jc w:val="center"/>
        <w:rPr>
          <w:rFonts w:ascii="Verdana" w:eastAsia="Verdana Pro" w:hAnsi="Verdana" w:cs="Verdana Pro"/>
          <w:sz w:val="22"/>
          <w:szCs w:val="22"/>
        </w:rPr>
      </w:pPr>
      <w:r w:rsidRPr="00611315">
        <w:rPr>
          <w:rFonts w:ascii="Verdana" w:hAnsi="Verdana"/>
          <w:noProof/>
        </w:rPr>
        <w:drawing>
          <wp:inline distT="0" distB="0" distL="0" distR="0" wp14:anchorId="2AF0F6F9" wp14:editId="57CC0618">
            <wp:extent cx="4173121" cy="854578"/>
            <wp:effectExtent l="0" t="0" r="0" b="3175"/>
            <wp:docPr id="16430848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84838" name=""/>
                    <pic:cNvPicPr/>
                  </pic:nvPicPr>
                  <pic:blipFill rotWithShape="1">
                    <a:blip r:embed="rId32"/>
                    <a:srcRect l="28559" t="53887" r="30837" b="33085"/>
                    <a:stretch>
                      <a:fillRect/>
                    </a:stretch>
                  </pic:blipFill>
                  <pic:spPr bwMode="auto">
                    <a:xfrm>
                      <a:off x="0" y="0"/>
                      <a:ext cx="4189167" cy="857864"/>
                    </a:xfrm>
                    <a:prstGeom prst="rect">
                      <a:avLst/>
                    </a:prstGeom>
                    <a:ln>
                      <a:noFill/>
                    </a:ln>
                    <a:extLst>
                      <a:ext uri="{53640926-AAD7-44D8-BBD7-CCE9431645EC}">
                        <a14:shadowObscured xmlns:a14="http://schemas.microsoft.com/office/drawing/2010/main"/>
                      </a:ext>
                    </a:extLst>
                  </pic:spPr>
                </pic:pic>
              </a:graphicData>
            </a:graphic>
          </wp:inline>
        </w:drawing>
      </w:r>
    </w:p>
    <w:p w14:paraId="0DE5C31A" w14:textId="36A59269" w:rsidR="009669BA" w:rsidRPr="00650B13" w:rsidRDefault="009669BA" w:rsidP="009669BA">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xml:space="preserve">: </w:t>
      </w:r>
      <w:r w:rsidR="00044D8C" w:rsidRPr="00650B13">
        <w:rPr>
          <w:rFonts w:ascii="Verdana" w:eastAsia="Verdana Pro" w:hAnsi="Verdana" w:cs="Verdana Pro"/>
          <w:sz w:val="22"/>
          <w:szCs w:val="22"/>
        </w:rPr>
        <w:t>Informe de Aplicación de los documentos tipo en la contratación estatal: julio de 2024 a septiembre de 2025</w:t>
      </w:r>
    </w:p>
    <w:p w14:paraId="6871D1DC" w14:textId="77777777" w:rsidR="001242B5" w:rsidRPr="00611315" w:rsidRDefault="001242B5" w:rsidP="004E6AA4">
      <w:pPr>
        <w:jc w:val="both"/>
        <w:rPr>
          <w:rFonts w:ascii="Verdana" w:eastAsia="Verdana Pro" w:hAnsi="Verdana" w:cs="Verdana Pro"/>
          <w:sz w:val="22"/>
          <w:szCs w:val="22"/>
        </w:rPr>
      </w:pPr>
    </w:p>
    <w:p w14:paraId="76290FB8" w14:textId="77777777" w:rsidR="001242B5" w:rsidRPr="00611315" w:rsidRDefault="001242B5" w:rsidP="004E6AA4">
      <w:pPr>
        <w:jc w:val="both"/>
        <w:rPr>
          <w:rFonts w:ascii="Verdana" w:eastAsia="Verdana Pro" w:hAnsi="Verdana" w:cs="Verdana Pro"/>
          <w:sz w:val="22"/>
          <w:szCs w:val="22"/>
        </w:rPr>
      </w:pPr>
    </w:p>
    <w:p w14:paraId="53861C8B" w14:textId="77777777" w:rsidR="004E6AA4" w:rsidRPr="00611315" w:rsidRDefault="004E6AA4" w:rsidP="005F27F9">
      <w:pPr>
        <w:jc w:val="both"/>
        <w:rPr>
          <w:rFonts w:ascii="Verdana" w:eastAsia="Verdana Pro" w:hAnsi="Verdana" w:cs="Verdana Pro"/>
          <w:sz w:val="22"/>
          <w:szCs w:val="22"/>
        </w:rPr>
      </w:pPr>
      <w:r w:rsidRPr="00611315">
        <w:rPr>
          <w:rFonts w:ascii="Verdana" w:eastAsia="Verdana Pro" w:hAnsi="Verdana" w:cs="Verdana Pro"/>
          <w:sz w:val="22"/>
          <w:szCs w:val="22"/>
        </w:rPr>
        <w:t>Respecto a las modalidades de selección mediante las cuales se adelantaron los procesos de selección para suscribir los contratos anteriormente referenciados, se evidencia lo siguiente:</w:t>
      </w:r>
    </w:p>
    <w:p w14:paraId="5B01EF17" w14:textId="77777777" w:rsidR="004E6AA4" w:rsidRPr="00611315" w:rsidRDefault="004E6AA4" w:rsidP="004E6AA4">
      <w:pPr>
        <w:ind w:left="360"/>
        <w:jc w:val="both"/>
        <w:rPr>
          <w:rFonts w:ascii="Verdana" w:eastAsia="Verdana Pro" w:hAnsi="Verdana" w:cs="Verdana Pro"/>
          <w:sz w:val="22"/>
          <w:szCs w:val="22"/>
        </w:rPr>
      </w:pPr>
    </w:p>
    <w:p w14:paraId="743E2317" w14:textId="77777777" w:rsidR="004E6AA4" w:rsidRDefault="004E6AA4" w:rsidP="004E6AA4">
      <w:pPr>
        <w:pStyle w:val="Descripcin"/>
        <w:spacing w:after="0"/>
        <w:jc w:val="both"/>
        <w:rPr>
          <w:rFonts w:ascii="Verdana" w:eastAsia="Verdana Pro" w:hAnsi="Verdana" w:cs="Verdana Pro"/>
          <w:sz w:val="22"/>
          <w:szCs w:val="22"/>
        </w:rPr>
      </w:pPr>
    </w:p>
    <w:p w14:paraId="0D1112A1" w14:textId="77777777" w:rsidR="00650B13" w:rsidRDefault="00650B13" w:rsidP="00650B13">
      <w:pPr>
        <w:rPr>
          <w:lang w:val="es-ES" w:eastAsia="en-US"/>
        </w:rPr>
      </w:pPr>
    </w:p>
    <w:p w14:paraId="39A6DDA1" w14:textId="77777777" w:rsidR="00650B13" w:rsidRPr="00650B13" w:rsidRDefault="00650B13" w:rsidP="00650B13">
      <w:pPr>
        <w:rPr>
          <w:lang w:val="es-ES" w:eastAsia="en-US"/>
        </w:rPr>
      </w:pPr>
    </w:p>
    <w:p w14:paraId="0ED50C1D" w14:textId="05EB388D" w:rsidR="004E6AA4" w:rsidRPr="00611315" w:rsidRDefault="00416986" w:rsidP="00416986">
      <w:pPr>
        <w:pStyle w:val="Descripcin"/>
        <w:jc w:val="center"/>
        <w:rPr>
          <w:rFonts w:ascii="Verdana" w:hAnsi="Verdana"/>
          <w:sz w:val="24"/>
          <w:szCs w:val="24"/>
        </w:rPr>
      </w:pPr>
      <w:bookmarkStart w:id="37" w:name="_Toc231368794"/>
      <w:r w:rsidRPr="00611315">
        <w:rPr>
          <w:rFonts w:ascii="Verdana" w:hAnsi="Verdana"/>
          <w:sz w:val="22"/>
          <w:szCs w:val="22"/>
        </w:rPr>
        <w:lastRenderedPageBreak/>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19</w:t>
      </w:r>
      <w:r w:rsidRPr="00611315">
        <w:rPr>
          <w:rFonts w:ascii="Verdana" w:hAnsi="Verdana"/>
          <w:sz w:val="22"/>
          <w:szCs w:val="22"/>
        </w:rPr>
        <w:fldChar w:fldCharType="end"/>
      </w:r>
      <w:r w:rsidRPr="00611315">
        <w:rPr>
          <w:rFonts w:ascii="Verdana" w:hAnsi="Verdana"/>
          <w:sz w:val="22"/>
          <w:szCs w:val="22"/>
        </w:rPr>
        <w:t>. Modalidades de selección usadas en el sector de Infraestructura de Agua Potable y Saneamiento Básico</w:t>
      </w:r>
      <w:bookmarkEnd w:id="37"/>
    </w:p>
    <w:p w14:paraId="1C2DFFD1" w14:textId="610731EA" w:rsidR="00416986" w:rsidRPr="00611315" w:rsidRDefault="007C3F6B" w:rsidP="007C3F6B">
      <w:pPr>
        <w:jc w:val="center"/>
        <w:rPr>
          <w:rFonts w:ascii="Verdana" w:hAnsi="Verdana"/>
          <w:lang w:val="es-ES" w:eastAsia="en-US"/>
        </w:rPr>
      </w:pPr>
      <w:r w:rsidRPr="00611315">
        <w:rPr>
          <w:rFonts w:ascii="Verdana" w:hAnsi="Verdana"/>
          <w:noProof/>
        </w:rPr>
        <w:drawing>
          <wp:inline distT="0" distB="0" distL="0" distR="0" wp14:anchorId="6C12B586" wp14:editId="78D2A01B">
            <wp:extent cx="5779671" cy="2371060"/>
            <wp:effectExtent l="0" t="0" r="0" b="0"/>
            <wp:docPr id="17742843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284335" name=""/>
                    <pic:cNvPicPr/>
                  </pic:nvPicPr>
                  <pic:blipFill rotWithShape="1">
                    <a:blip r:embed="rId33"/>
                    <a:srcRect l="25448" t="35171" r="28049" b="19548"/>
                    <a:stretch>
                      <a:fillRect/>
                    </a:stretch>
                  </pic:blipFill>
                  <pic:spPr bwMode="auto">
                    <a:xfrm>
                      <a:off x="0" y="0"/>
                      <a:ext cx="5879533" cy="2412027"/>
                    </a:xfrm>
                    <a:prstGeom prst="rect">
                      <a:avLst/>
                    </a:prstGeom>
                    <a:ln>
                      <a:noFill/>
                    </a:ln>
                    <a:extLst>
                      <a:ext uri="{53640926-AAD7-44D8-BBD7-CCE9431645EC}">
                        <a14:shadowObscured xmlns:a14="http://schemas.microsoft.com/office/drawing/2010/main"/>
                      </a:ext>
                    </a:extLst>
                  </pic:spPr>
                </pic:pic>
              </a:graphicData>
            </a:graphic>
          </wp:inline>
        </w:drawing>
      </w:r>
    </w:p>
    <w:p w14:paraId="55AE512A" w14:textId="77777777" w:rsidR="00416986" w:rsidRPr="00650B13" w:rsidRDefault="00416986" w:rsidP="00416986">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Informe de Aplicación de los documentos tipo en la contratación estatal: julio de 2024 a septiembre de 2025</w:t>
      </w:r>
    </w:p>
    <w:p w14:paraId="220B5230" w14:textId="77777777" w:rsidR="004E6AA4" w:rsidRPr="00611315" w:rsidRDefault="004E6AA4" w:rsidP="004E6AA4">
      <w:pPr>
        <w:jc w:val="both"/>
        <w:rPr>
          <w:rFonts w:ascii="Verdana" w:eastAsia="Verdana Pro" w:hAnsi="Verdana" w:cs="Verdana Pro"/>
          <w:sz w:val="22"/>
          <w:szCs w:val="22"/>
        </w:rPr>
      </w:pPr>
    </w:p>
    <w:p w14:paraId="7BA483EC" w14:textId="706F2C2B" w:rsidR="004E6AA4" w:rsidRPr="00611315" w:rsidRDefault="004E6AA4" w:rsidP="007011B0">
      <w:pPr>
        <w:jc w:val="both"/>
        <w:rPr>
          <w:rFonts w:ascii="Verdana" w:eastAsia="Verdana Pro" w:hAnsi="Verdana" w:cs="Verdana Pro"/>
          <w:sz w:val="22"/>
          <w:szCs w:val="22"/>
        </w:rPr>
      </w:pPr>
      <w:r w:rsidRPr="00611315">
        <w:rPr>
          <w:rFonts w:ascii="Verdana" w:eastAsia="Verdana Pro" w:hAnsi="Verdana" w:cs="Verdana Pro"/>
          <w:sz w:val="22"/>
          <w:szCs w:val="22"/>
        </w:rPr>
        <w:t xml:space="preserve">Como se puede evidenciar, </w:t>
      </w:r>
      <w:r w:rsidR="007011B0" w:rsidRPr="00611315">
        <w:rPr>
          <w:rFonts w:ascii="Verdana" w:eastAsia="Verdana Pro" w:hAnsi="Verdana" w:cs="Verdana Pro"/>
          <w:sz w:val="22"/>
          <w:szCs w:val="22"/>
        </w:rPr>
        <w:t>la Licitación Pública fue la modalidad con mayor participación en el valor contratado, alcanzando $3,97 billones a pesar de representar solo 152 contratos de obra</w:t>
      </w:r>
      <w:r w:rsidR="006E2129" w:rsidRPr="00611315">
        <w:rPr>
          <w:rFonts w:ascii="Verdana" w:eastAsia="Verdana Pro" w:hAnsi="Verdana" w:cs="Verdana Pro"/>
          <w:sz w:val="22"/>
          <w:szCs w:val="22"/>
        </w:rPr>
        <w:t xml:space="preserve"> suscritos por 113 Entidades, tal y como se puede evidenciar a continuación:</w:t>
      </w:r>
    </w:p>
    <w:p w14:paraId="2D954369" w14:textId="77777777" w:rsidR="00A27602" w:rsidRPr="00611315" w:rsidRDefault="00A27602" w:rsidP="007011B0">
      <w:pPr>
        <w:jc w:val="both"/>
        <w:rPr>
          <w:rFonts w:ascii="Verdana" w:eastAsia="Verdana Pro" w:hAnsi="Verdana" w:cs="Verdana Pro"/>
          <w:sz w:val="22"/>
          <w:szCs w:val="22"/>
        </w:rPr>
      </w:pPr>
    </w:p>
    <w:p w14:paraId="0E44E0AF" w14:textId="5153A13C" w:rsidR="00A27602" w:rsidRPr="00611315" w:rsidRDefault="00A27602" w:rsidP="00A27602">
      <w:pPr>
        <w:pStyle w:val="Descripcin"/>
        <w:jc w:val="center"/>
        <w:rPr>
          <w:rFonts w:ascii="Verdana" w:eastAsia="Verdana Pro" w:hAnsi="Verdana" w:cs="Verdana Pro"/>
          <w:sz w:val="24"/>
          <w:szCs w:val="24"/>
        </w:rPr>
      </w:pPr>
      <w:bookmarkStart w:id="38" w:name="_Toc231368795"/>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20</w:t>
      </w:r>
      <w:r w:rsidRPr="00611315">
        <w:rPr>
          <w:rFonts w:ascii="Verdana" w:hAnsi="Verdana"/>
          <w:sz w:val="22"/>
          <w:szCs w:val="22"/>
        </w:rPr>
        <w:fldChar w:fldCharType="end"/>
      </w:r>
      <w:r w:rsidRPr="00611315">
        <w:rPr>
          <w:rFonts w:ascii="Verdana" w:hAnsi="Verdana"/>
          <w:sz w:val="22"/>
          <w:szCs w:val="22"/>
        </w:rPr>
        <w:t>. Modalidad Licitación Pública</w:t>
      </w:r>
      <w:bookmarkEnd w:id="38"/>
    </w:p>
    <w:p w14:paraId="52717568" w14:textId="0706CDBE" w:rsidR="006E2129" w:rsidRPr="00611315" w:rsidRDefault="00A821E2" w:rsidP="00A821E2">
      <w:pPr>
        <w:jc w:val="center"/>
        <w:rPr>
          <w:rFonts w:ascii="Verdana" w:eastAsia="Verdana Pro" w:hAnsi="Verdana" w:cs="Verdana Pro"/>
          <w:sz w:val="22"/>
          <w:szCs w:val="22"/>
        </w:rPr>
      </w:pPr>
      <w:r w:rsidRPr="00611315">
        <w:rPr>
          <w:rFonts w:ascii="Verdana" w:hAnsi="Verdana"/>
          <w:noProof/>
        </w:rPr>
        <w:drawing>
          <wp:inline distT="0" distB="0" distL="0" distR="0" wp14:anchorId="2B0FA6ED" wp14:editId="0EDA7E39">
            <wp:extent cx="5155565" cy="795647"/>
            <wp:effectExtent l="0" t="0" r="0" b="5080"/>
            <wp:docPr id="716522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22187" name=""/>
                    <pic:cNvPicPr/>
                  </pic:nvPicPr>
                  <pic:blipFill rotWithShape="1">
                    <a:blip r:embed="rId34"/>
                    <a:srcRect l="23303" t="50313" r="31077" b="42963"/>
                    <a:stretch>
                      <a:fillRect/>
                    </a:stretch>
                  </pic:blipFill>
                  <pic:spPr bwMode="auto">
                    <a:xfrm>
                      <a:off x="0" y="0"/>
                      <a:ext cx="5269451" cy="813223"/>
                    </a:xfrm>
                    <a:prstGeom prst="rect">
                      <a:avLst/>
                    </a:prstGeom>
                    <a:ln>
                      <a:noFill/>
                    </a:ln>
                    <a:extLst>
                      <a:ext uri="{53640926-AAD7-44D8-BBD7-CCE9431645EC}">
                        <a14:shadowObscured xmlns:a14="http://schemas.microsoft.com/office/drawing/2010/main"/>
                      </a:ext>
                    </a:extLst>
                  </pic:spPr>
                </pic:pic>
              </a:graphicData>
            </a:graphic>
          </wp:inline>
        </w:drawing>
      </w:r>
    </w:p>
    <w:p w14:paraId="34F88669" w14:textId="3FCA31C7" w:rsidR="007011B0" w:rsidRPr="00650B13" w:rsidRDefault="00A27602" w:rsidP="00A27602">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Informe de Aplicación de los documentos tipo en la contratación estatal: julio de 2024 a septiembre de 2025</w:t>
      </w:r>
    </w:p>
    <w:p w14:paraId="789ED712" w14:textId="77777777" w:rsidR="00844AF3" w:rsidRPr="00611315" w:rsidRDefault="00844AF3" w:rsidP="00E14B96">
      <w:pPr>
        <w:jc w:val="both"/>
        <w:rPr>
          <w:rFonts w:ascii="Verdana" w:eastAsia="Verdana Pro" w:hAnsi="Verdana" w:cs="Verdana Pro"/>
          <w:sz w:val="22"/>
          <w:szCs w:val="22"/>
        </w:rPr>
      </w:pPr>
    </w:p>
    <w:p w14:paraId="7CA9B162" w14:textId="0D5107A4" w:rsidR="007011B0" w:rsidRPr="00611315" w:rsidRDefault="00E14B96" w:rsidP="00E14B96">
      <w:pPr>
        <w:jc w:val="both"/>
        <w:rPr>
          <w:rFonts w:ascii="Verdana" w:eastAsia="Verdana Pro" w:hAnsi="Verdana" w:cs="Verdana Pro"/>
          <w:sz w:val="22"/>
          <w:szCs w:val="22"/>
        </w:rPr>
      </w:pPr>
      <w:r w:rsidRPr="00611315">
        <w:rPr>
          <w:rFonts w:ascii="Verdana" w:eastAsia="Verdana Pro" w:hAnsi="Verdana" w:cs="Verdana Pro"/>
          <w:sz w:val="22"/>
          <w:szCs w:val="22"/>
        </w:rPr>
        <w:t xml:space="preserve">En segundo lugar, la Selección Abreviada registró 511 contratos </w:t>
      </w:r>
      <w:r w:rsidR="00607EEA" w:rsidRPr="00611315">
        <w:rPr>
          <w:rFonts w:ascii="Verdana" w:eastAsia="Verdana Pro" w:hAnsi="Verdana" w:cs="Verdana Pro"/>
          <w:sz w:val="22"/>
          <w:szCs w:val="22"/>
        </w:rPr>
        <w:t xml:space="preserve">de obra </w:t>
      </w:r>
      <w:r w:rsidRPr="00611315">
        <w:rPr>
          <w:rFonts w:ascii="Verdana" w:eastAsia="Verdana Pro" w:hAnsi="Verdana" w:cs="Verdana Pro"/>
          <w:sz w:val="22"/>
          <w:szCs w:val="22"/>
        </w:rPr>
        <w:t>por un valor de $2.08 billones</w:t>
      </w:r>
      <w:r w:rsidR="00607EEA" w:rsidRPr="00611315">
        <w:rPr>
          <w:rFonts w:ascii="Verdana" w:eastAsia="Verdana Pro" w:hAnsi="Verdana" w:cs="Verdana Pro"/>
          <w:sz w:val="22"/>
          <w:szCs w:val="22"/>
        </w:rPr>
        <w:t>, gestionados por 278 Entidades, tal y como se puede ver a continuación:</w:t>
      </w:r>
    </w:p>
    <w:p w14:paraId="736B2F12" w14:textId="77777777" w:rsidR="00607EEA" w:rsidRPr="00611315" w:rsidRDefault="00607EEA" w:rsidP="00E14B96">
      <w:pPr>
        <w:jc w:val="both"/>
        <w:rPr>
          <w:rFonts w:ascii="Verdana" w:eastAsia="Verdana Pro" w:hAnsi="Verdana" w:cs="Verdana Pro"/>
          <w:sz w:val="22"/>
          <w:szCs w:val="22"/>
        </w:rPr>
      </w:pPr>
    </w:p>
    <w:p w14:paraId="65800C9F" w14:textId="39CE46EF" w:rsidR="00607EEA" w:rsidRPr="00611315" w:rsidRDefault="004C6A7A" w:rsidP="004C6A7A">
      <w:pPr>
        <w:pStyle w:val="Descripcin"/>
        <w:jc w:val="center"/>
        <w:rPr>
          <w:rFonts w:ascii="Verdana" w:eastAsia="Verdana Pro" w:hAnsi="Verdana" w:cs="Verdana Pro"/>
          <w:sz w:val="24"/>
          <w:szCs w:val="24"/>
        </w:rPr>
      </w:pPr>
      <w:bookmarkStart w:id="39" w:name="_Toc231368796"/>
      <w:r w:rsidRPr="00611315">
        <w:rPr>
          <w:rFonts w:ascii="Verdana" w:hAnsi="Verdana"/>
          <w:sz w:val="22"/>
          <w:szCs w:val="22"/>
        </w:rPr>
        <w:lastRenderedPageBreak/>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21</w:t>
      </w:r>
      <w:r w:rsidRPr="00611315">
        <w:rPr>
          <w:rFonts w:ascii="Verdana" w:hAnsi="Verdana"/>
          <w:sz w:val="22"/>
          <w:szCs w:val="22"/>
        </w:rPr>
        <w:fldChar w:fldCharType="end"/>
      </w:r>
      <w:r w:rsidRPr="00611315">
        <w:rPr>
          <w:rFonts w:ascii="Verdana" w:hAnsi="Verdana"/>
          <w:sz w:val="22"/>
          <w:szCs w:val="22"/>
        </w:rPr>
        <w:t>. Modalidad Selección Abreviada de Menor Cuantía</w:t>
      </w:r>
      <w:bookmarkEnd w:id="39"/>
    </w:p>
    <w:p w14:paraId="013FA6E5" w14:textId="3389BFBB" w:rsidR="004C6A7A" w:rsidRPr="00611315" w:rsidRDefault="004C6A7A" w:rsidP="004C6A7A">
      <w:pPr>
        <w:jc w:val="center"/>
        <w:rPr>
          <w:rFonts w:ascii="Verdana" w:eastAsia="Verdana Pro" w:hAnsi="Verdana" w:cs="Verdana Pro"/>
          <w:sz w:val="22"/>
          <w:szCs w:val="22"/>
        </w:rPr>
      </w:pPr>
      <w:r w:rsidRPr="00611315">
        <w:rPr>
          <w:rFonts w:ascii="Verdana" w:hAnsi="Verdana"/>
          <w:noProof/>
        </w:rPr>
        <w:drawing>
          <wp:inline distT="0" distB="0" distL="0" distR="0" wp14:anchorId="468D4638" wp14:editId="61466F8A">
            <wp:extent cx="5422805" cy="700644"/>
            <wp:effectExtent l="0" t="0" r="6985" b="4445"/>
            <wp:docPr id="5817236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723625" name=""/>
                    <pic:cNvPicPr/>
                  </pic:nvPicPr>
                  <pic:blipFill rotWithShape="1">
                    <a:blip r:embed="rId35"/>
                    <a:srcRect l="21551" t="45304" r="30102" b="46601"/>
                    <a:stretch>
                      <a:fillRect/>
                    </a:stretch>
                  </pic:blipFill>
                  <pic:spPr bwMode="auto">
                    <a:xfrm>
                      <a:off x="0" y="0"/>
                      <a:ext cx="5488561" cy="709140"/>
                    </a:xfrm>
                    <a:prstGeom prst="rect">
                      <a:avLst/>
                    </a:prstGeom>
                    <a:ln>
                      <a:noFill/>
                    </a:ln>
                    <a:extLst>
                      <a:ext uri="{53640926-AAD7-44D8-BBD7-CCE9431645EC}">
                        <a14:shadowObscured xmlns:a14="http://schemas.microsoft.com/office/drawing/2010/main"/>
                      </a:ext>
                    </a:extLst>
                  </pic:spPr>
                </pic:pic>
              </a:graphicData>
            </a:graphic>
          </wp:inline>
        </w:drawing>
      </w:r>
    </w:p>
    <w:p w14:paraId="41CA402C" w14:textId="77777777" w:rsidR="004C6A7A" w:rsidRPr="00650B13" w:rsidRDefault="004C6A7A" w:rsidP="004C6A7A">
      <w:pPr>
        <w:pStyle w:val="Textoindependiente"/>
        <w:spacing w:line="259" w:lineRule="auto"/>
        <w:ind w:left="140"/>
        <w:jc w:val="center"/>
        <w:rPr>
          <w:rFonts w:ascii="Verdana" w:eastAsia="Verdana Pro" w:hAnsi="Verdana" w:cs="Verdana Pro"/>
          <w:sz w:val="22"/>
          <w:szCs w:val="22"/>
        </w:rPr>
      </w:pPr>
      <w:r w:rsidRPr="00650B13">
        <w:rPr>
          <w:rFonts w:ascii="Verdana" w:eastAsia="Verdana Pro" w:hAnsi="Verdana" w:cs="Verdana Pro"/>
          <w:b/>
          <w:bCs/>
          <w:sz w:val="22"/>
          <w:szCs w:val="22"/>
        </w:rPr>
        <w:t>Fuente</w:t>
      </w:r>
      <w:r w:rsidRPr="00650B13">
        <w:rPr>
          <w:rFonts w:ascii="Verdana" w:eastAsia="Verdana Pro" w:hAnsi="Verdana" w:cs="Verdana Pro"/>
          <w:sz w:val="22"/>
          <w:szCs w:val="22"/>
        </w:rPr>
        <w:t>: Informe de Aplicación de los documentos tipo en la contratación estatal: julio de 2024 a septiembre de 2025</w:t>
      </w:r>
    </w:p>
    <w:p w14:paraId="6B03023B" w14:textId="77777777" w:rsidR="007011B0" w:rsidRPr="00611315" w:rsidRDefault="007011B0" w:rsidP="007011B0">
      <w:pPr>
        <w:jc w:val="both"/>
        <w:rPr>
          <w:rFonts w:ascii="Verdana" w:eastAsia="Verdana Pro" w:hAnsi="Verdana" w:cs="Verdana Pro"/>
          <w:sz w:val="22"/>
          <w:szCs w:val="22"/>
        </w:rPr>
      </w:pPr>
    </w:p>
    <w:p w14:paraId="027A2F80" w14:textId="0A221C28" w:rsidR="007011B0" w:rsidRPr="00611315" w:rsidRDefault="00844AF3" w:rsidP="007011B0">
      <w:pPr>
        <w:jc w:val="both"/>
        <w:rPr>
          <w:rFonts w:ascii="Verdana" w:eastAsia="Verdana Pro" w:hAnsi="Verdana" w:cs="Verdana Pro"/>
          <w:sz w:val="22"/>
          <w:szCs w:val="22"/>
        </w:rPr>
      </w:pPr>
      <w:r w:rsidRPr="00611315">
        <w:rPr>
          <w:rFonts w:ascii="Verdana" w:eastAsia="Verdana Pro" w:hAnsi="Verdana" w:cs="Verdana Pro"/>
          <w:sz w:val="22"/>
          <w:szCs w:val="22"/>
        </w:rPr>
        <w:t xml:space="preserve">En el marco del análisis realizado en el informe, resulta relevante resaltar algunos elementos identificados </w:t>
      </w:r>
      <w:r w:rsidR="00C71342" w:rsidRPr="00611315">
        <w:rPr>
          <w:rFonts w:ascii="Verdana" w:eastAsia="Verdana Pro" w:hAnsi="Verdana" w:cs="Verdana Pro"/>
          <w:sz w:val="22"/>
          <w:szCs w:val="22"/>
        </w:rPr>
        <w:t>partir del análisis de 501 contratos gestionados a través de SECOP II</w:t>
      </w:r>
      <w:r w:rsidR="009C3AB9" w:rsidRPr="00611315">
        <w:rPr>
          <w:rFonts w:ascii="Verdana" w:eastAsia="Verdana Pro" w:hAnsi="Verdana" w:cs="Verdana Pro"/>
          <w:sz w:val="22"/>
          <w:szCs w:val="22"/>
        </w:rPr>
        <w:t xml:space="preserve"> para la modalidad de Licitación Pública. </w:t>
      </w:r>
      <w:r w:rsidR="008B5121" w:rsidRPr="00611315">
        <w:rPr>
          <w:rFonts w:ascii="Verdana" w:eastAsia="Verdana Pro" w:hAnsi="Verdana" w:cs="Verdana Pro"/>
          <w:sz w:val="22"/>
          <w:szCs w:val="22"/>
        </w:rPr>
        <w:t xml:space="preserve">En primer lugar, el informe permitió evidenciar el promedio de oferentes al cierre, lo que permitió identificar tendencias claras en el comportamiento competitivo del sector, evidenciando que en el marco de la modalidad de licitación pública en procesos de selección para adquirir servicios de infraestructura de Agua Potable y Saneamiento Básico mediante documentos tipo, se evidencia un promedio de </w:t>
      </w:r>
      <w:r w:rsidR="00786163" w:rsidRPr="00611315">
        <w:rPr>
          <w:rFonts w:ascii="Verdana" w:eastAsia="Verdana Pro" w:hAnsi="Verdana" w:cs="Verdana Pro"/>
          <w:sz w:val="22"/>
          <w:szCs w:val="22"/>
        </w:rPr>
        <w:t>13,46 oferentes:</w:t>
      </w:r>
    </w:p>
    <w:p w14:paraId="7F254A87" w14:textId="77777777" w:rsidR="00786163" w:rsidRPr="00611315" w:rsidRDefault="00786163" w:rsidP="007011B0">
      <w:pPr>
        <w:jc w:val="both"/>
        <w:rPr>
          <w:rFonts w:ascii="Verdana" w:eastAsia="Verdana Pro" w:hAnsi="Verdana" w:cs="Verdana Pro"/>
          <w:sz w:val="22"/>
          <w:szCs w:val="22"/>
        </w:rPr>
      </w:pPr>
    </w:p>
    <w:p w14:paraId="6F3F2415" w14:textId="77777777" w:rsidR="00DC3E77" w:rsidRPr="00611315" w:rsidRDefault="00DC3E77" w:rsidP="007011B0">
      <w:pPr>
        <w:jc w:val="both"/>
        <w:rPr>
          <w:rFonts w:ascii="Verdana" w:eastAsia="Verdana Pro" w:hAnsi="Verdana" w:cs="Verdana Pro"/>
          <w:sz w:val="22"/>
          <w:szCs w:val="22"/>
        </w:rPr>
      </w:pPr>
    </w:p>
    <w:p w14:paraId="4095F779" w14:textId="590C963D" w:rsidR="00786163" w:rsidRPr="00611315" w:rsidRDefault="00DC3E77" w:rsidP="00DC3E77">
      <w:pPr>
        <w:pStyle w:val="Descripcin"/>
        <w:jc w:val="center"/>
        <w:rPr>
          <w:rFonts w:ascii="Verdana" w:eastAsia="Verdana Pro" w:hAnsi="Verdana" w:cs="Verdana Pro"/>
          <w:sz w:val="24"/>
          <w:szCs w:val="24"/>
        </w:rPr>
      </w:pPr>
      <w:bookmarkStart w:id="40" w:name="_Toc231368797"/>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22</w:t>
      </w:r>
      <w:r w:rsidRPr="00611315">
        <w:rPr>
          <w:rFonts w:ascii="Verdana" w:hAnsi="Verdana"/>
          <w:sz w:val="22"/>
          <w:szCs w:val="22"/>
        </w:rPr>
        <w:fldChar w:fldCharType="end"/>
      </w:r>
      <w:r w:rsidRPr="00611315">
        <w:rPr>
          <w:rFonts w:ascii="Verdana" w:hAnsi="Verdana"/>
          <w:sz w:val="22"/>
          <w:szCs w:val="22"/>
        </w:rPr>
        <w:t>. Ranking del promedio oferentes al cierre por modalidad y tipo de contrato en el sector de Infraestructura de Agua Potable y Saneamiento Básico</w:t>
      </w:r>
      <w:bookmarkEnd w:id="40"/>
    </w:p>
    <w:p w14:paraId="3CEAE2B5" w14:textId="0F25C195" w:rsidR="00786163" w:rsidRPr="00611315" w:rsidRDefault="00786163" w:rsidP="00786163">
      <w:pPr>
        <w:jc w:val="center"/>
        <w:rPr>
          <w:rFonts w:ascii="Verdana" w:eastAsia="Verdana Pro" w:hAnsi="Verdana" w:cs="Verdana Pro"/>
          <w:sz w:val="22"/>
          <w:szCs w:val="22"/>
        </w:rPr>
      </w:pPr>
      <w:r w:rsidRPr="00611315">
        <w:rPr>
          <w:rFonts w:ascii="Verdana" w:hAnsi="Verdana"/>
          <w:noProof/>
        </w:rPr>
        <w:drawing>
          <wp:inline distT="0" distB="0" distL="0" distR="0" wp14:anchorId="368029A0" wp14:editId="3C7FE08C">
            <wp:extent cx="4964542" cy="1638795"/>
            <wp:effectExtent l="0" t="0" r="7620" b="0"/>
            <wp:docPr id="5914465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446552" name=""/>
                    <pic:cNvPicPr/>
                  </pic:nvPicPr>
                  <pic:blipFill rotWithShape="1">
                    <a:blip r:embed="rId36"/>
                    <a:srcRect l="17856" t="41621" r="25269" b="33879"/>
                    <a:stretch>
                      <a:fillRect/>
                    </a:stretch>
                  </pic:blipFill>
                  <pic:spPr bwMode="auto">
                    <a:xfrm>
                      <a:off x="0" y="0"/>
                      <a:ext cx="5039690" cy="1663601"/>
                    </a:xfrm>
                    <a:prstGeom prst="rect">
                      <a:avLst/>
                    </a:prstGeom>
                    <a:ln>
                      <a:noFill/>
                    </a:ln>
                    <a:extLst>
                      <a:ext uri="{53640926-AAD7-44D8-BBD7-CCE9431645EC}">
                        <a14:shadowObscured xmlns:a14="http://schemas.microsoft.com/office/drawing/2010/main"/>
                      </a:ext>
                    </a:extLst>
                  </pic:spPr>
                </pic:pic>
              </a:graphicData>
            </a:graphic>
          </wp:inline>
        </w:drawing>
      </w:r>
    </w:p>
    <w:p w14:paraId="3711D664" w14:textId="77777777" w:rsidR="001756CF" w:rsidRPr="00E712BF" w:rsidRDefault="001756CF" w:rsidP="001756CF">
      <w:pPr>
        <w:pStyle w:val="Textoindependiente"/>
        <w:spacing w:line="259" w:lineRule="auto"/>
        <w:ind w:left="140"/>
        <w:jc w:val="center"/>
        <w:rPr>
          <w:rFonts w:ascii="Verdana" w:eastAsia="Verdana Pro" w:hAnsi="Verdana" w:cs="Verdana Pro"/>
          <w:sz w:val="22"/>
          <w:szCs w:val="22"/>
        </w:rPr>
      </w:pPr>
      <w:r w:rsidRPr="00E712BF">
        <w:rPr>
          <w:rFonts w:ascii="Verdana" w:eastAsia="Verdana Pro" w:hAnsi="Verdana" w:cs="Verdana Pro"/>
          <w:b/>
          <w:bCs/>
          <w:sz w:val="22"/>
          <w:szCs w:val="22"/>
        </w:rPr>
        <w:t>Fuente</w:t>
      </w:r>
      <w:r w:rsidRPr="00E712BF">
        <w:rPr>
          <w:rFonts w:ascii="Verdana" w:eastAsia="Verdana Pro" w:hAnsi="Verdana" w:cs="Verdana Pro"/>
          <w:sz w:val="22"/>
          <w:szCs w:val="22"/>
        </w:rPr>
        <w:t>: Informe de Aplicación de los documentos tipo en la contratación estatal: julio de 2024 a septiembre de 2025</w:t>
      </w:r>
    </w:p>
    <w:p w14:paraId="703E7C9A" w14:textId="77777777" w:rsidR="00786163" w:rsidRPr="00611315" w:rsidRDefault="00786163" w:rsidP="007011B0">
      <w:pPr>
        <w:jc w:val="both"/>
        <w:rPr>
          <w:rFonts w:ascii="Verdana" w:eastAsia="Verdana Pro" w:hAnsi="Verdana" w:cs="Verdana Pro"/>
          <w:sz w:val="22"/>
          <w:szCs w:val="22"/>
        </w:rPr>
      </w:pPr>
    </w:p>
    <w:p w14:paraId="6688DDAB" w14:textId="10D46434" w:rsidR="00786163" w:rsidRPr="00611315" w:rsidRDefault="00611315" w:rsidP="00611315">
      <w:pPr>
        <w:jc w:val="both"/>
        <w:rPr>
          <w:rFonts w:ascii="Verdana" w:eastAsia="Verdana Pro" w:hAnsi="Verdana" w:cs="Verdana Pro"/>
          <w:sz w:val="22"/>
          <w:szCs w:val="22"/>
        </w:rPr>
      </w:pPr>
      <w:r>
        <w:rPr>
          <w:rFonts w:ascii="Verdana" w:eastAsia="Verdana Pro" w:hAnsi="Verdana" w:cs="Verdana Pro"/>
          <w:sz w:val="22"/>
          <w:szCs w:val="22"/>
        </w:rPr>
        <w:t>De conformidad con lo indicado por el informe</w:t>
      </w:r>
      <w:r w:rsidR="003104D0">
        <w:rPr>
          <w:rFonts w:ascii="Verdana" w:eastAsia="Verdana Pro" w:hAnsi="Verdana" w:cs="Verdana Pro"/>
          <w:sz w:val="22"/>
          <w:szCs w:val="22"/>
        </w:rPr>
        <w:t>,</w:t>
      </w:r>
      <w:r w:rsidRPr="00611315">
        <w:rPr>
          <w:rFonts w:ascii="Verdana" w:eastAsia="Verdana Pro" w:hAnsi="Verdana" w:cs="Verdana Pro"/>
          <w:sz w:val="22"/>
          <w:szCs w:val="22"/>
        </w:rPr>
        <w:t xml:space="preserve"> las modalidades con mayor número de oferentes, Licitación Pública (obra) y Concurso de Méritos (interventoría) corresponden </w:t>
      </w:r>
      <w:r w:rsidRPr="00611315">
        <w:rPr>
          <w:rFonts w:ascii="Verdana" w:eastAsia="Verdana Pro" w:hAnsi="Verdana" w:cs="Verdana Pro"/>
          <w:sz w:val="22"/>
          <w:szCs w:val="22"/>
        </w:rPr>
        <w:lastRenderedPageBreak/>
        <w:t>a procesos regulados por Documentos Tipo. Esto sugiere que la estandarización promovida por la ANCP-CCE ha contribuido positivamente a la pluralidad de oferentes y la transparencia de los procesos.</w:t>
      </w:r>
    </w:p>
    <w:p w14:paraId="5C939C8A" w14:textId="77777777" w:rsidR="00786163" w:rsidRPr="00611315" w:rsidRDefault="00786163" w:rsidP="007011B0">
      <w:pPr>
        <w:jc w:val="both"/>
        <w:rPr>
          <w:rFonts w:ascii="Verdana" w:eastAsia="Verdana Pro" w:hAnsi="Verdana" w:cs="Verdana Pro"/>
          <w:sz w:val="22"/>
          <w:szCs w:val="22"/>
        </w:rPr>
      </w:pPr>
    </w:p>
    <w:p w14:paraId="0EEA7A52" w14:textId="2739C77F" w:rsidR="00786163" w:rsidRDefault="003104D0" w:rsidP="007011B0">
      <w:pPr>
        <w:jc w:val="both"/>
        <w:rPr>
          <w:rFonts w:ascii="Verdana" w:eastAsia="Verdana Pro" w:hAnsi="Verdana" w:cs="Verdana Pro"/>
          <w:sz w:val="22"/>
          <w:szCs w:val="22"/>
        </w:rPr>
      </w:pPr>
      <w:r>
        <w:rPr>
          <w:rFonts w:ascii="Verdana" w:eastAsia="Verdana Pro" w:hAnsi="Verdana" w:cs="Verdana Pro"/>
          <w:sz w:val="22"/>
          <w:szCs w:val="22"/>
        </w:rPr>
        <w:t xml:space="preserve">Respecto al </w:t>
      </w:r>
      <w:r w:rsidR="00745B46" w:rsidRPr="00745B46">
        <w:rPr>
          <w:rFonts w:ascii="Verdana" w:eastAsia="Verdana Pro" w:hAnsi="Verdana" w:cs="Verdana Pro"/>
          <w:sz w:val="22"/>
          <w:szCs w:val="22"/>
        </w:rPr>
        <w:t>promedio del plazo de ejecución de los contratos del sector</w:t>
      </w:r>
      <w:r w:rsidR="00745B46">
        <w:rPr>
          <w:rFonts w:ascii="Verdana" w:eastAsia="Verdana Pro" w:hAnsi="Verdana" w:cs="Verdana Pro"/>
          <w:sz w:val="22"/>
          <w:szCs w:val="22"/>
        </w:rPr>
        <w:t>, el informe evidenció que l</w:t>
      </w:r>
      <w:r w:rsidR="00745B46" w:rsidRPr="00745B46">
        <w:rPr>
          <w:rFonts w:ascii="Verdana" w:eastAsia="Verdana Pro" w:hAnsi="Verdana" w:cs="Verdana Pro"/>
          <w:sz w:val="22"/>
          <w:szCs w:val="22"/>
        </w:rPr>
        <w:t>a</w:t>
      </w:r>
      <w:r w:rsidR="00745B46">
        <w:rPr>
          <w:rFonts w:ascii="Verdana" w:eastAsia="Verdana Pro" w:hAnsi="Verdana" w:cs="Verdana Pro"/>
          <w:sz w:val="22"/>
          <w:szCs w:val="22"/>
        </w:rPr>
        <w:t xml:space="preserve"> modalidad de</w:t>
      </w:r>
      <w:r w:rsidR="00745B46" w:rsidRPr="00745B46">
        <w:rPr>
          <w:rFonts w:ascii="Verdana" w:eastAsia="Verdana Pro" w:hAnsi="Verdana" w:cs="Verdana Pro"/>
          <w:sz w:val="22"/>
          <w:szCs w:val="22"/>
        </w:rPr>
        <w:t xml:space="preserve"> Licitación Pública con contrato de obra presenta el plazo más alto, con 2.237 días (cerca de seis años)</w:t>
      </w:r>
      <w:r w:rsidR="00745B46">
        <w:rPr>
          <w:rFonts w:ascii="Verdana" w:eastAsia="Verdana Pro" w:hAnsi="Verdana" w:cs="Verdana Pro"/>
          <w:sz w:val="22"/>
          <w:szCs w:val="22"/>
        </w:rPr>
        <w:t xml:space="preserve">, siendo </w:t>
      </w:r>
      <w:r w:rsidR="00745B46" w:rsidRPr="00745B46">
        <w:rPr>
          <w:rFonts w:ascii="Verdana" w:eastAsia="Verdana Pro" w:hAnsi="Verdana" w:cs="Verdana Pro"/>
          <w:sz w:val="22"/>
          <w:szCs w:val="22"/>
        </w:rPr>
        <w:t>es coherente con la complejidad de los contratos de infraestructura de alto valor que se tramitan por esta modalidad.</w:t>
      </w:r>
    </w:p>
    <w:p w14:paraId="77636506" w14:textId="77777777" w:rsidR="00F62981" w:rsidRDefault="00F62981" w:rsidP="007011B0">
      <w:pPr>
        <w:jc w:val="both"/>
        <w:rPr>
          <w:rFonts w:ascii="Verdana" w:eastAsia="Verdana Pro" w:hAnsi="Verdana" w:cs="Verdana Pro"/>
          <w:sz w:val="22"/>
          <w:szCs w:val="22"/>
        </w:rPr>
      </w:pPr>
    </w:p>
    <w:p w14:paraId="22DE23C5" w14:textId="5BDA2EE1" w:rsidR="00745B46" w:rsidRPr="00E64007" w:rsidRDefault="00E64007" w:rsidP="00E64007">
      <w:pPr>
        <w:pStyle w:val="Descripcin"/>
        <w:jc w:val="center"/>
        <w:rPr>
          <w:rFonts w:ascii="Verdana" w:eastAsia="Verdana Pro" w:hAnsi="Verdana" w:cs="Verdana Pro"/>
          <w:sz w:val="24"/>
          <w:szCs w:val="24"/>
        </w:rPr>
      </w:pPr>
      <w:bookmarkStart w:id="41" w:name="_Toc231368798"/>
      <w:r w:rsidRPr="00E64007">
        <w:rPr>
          <w:rFonts w:ascii="Verdana" w:hAnsi="Verdana"/>
          <w:sz w:val="22"/>
          <w:szCs w:val="22"/>
        </w:rPr>
        <w:t xml:space="preserve">Gráfica </w:t>
      </w:r>
      <w:r w:rsidRPr="00E64007">
        <w:rPr>
          <w:rFonts w:ascii="Verdana" w:hAnsi="Verdana"/>
          <w:sz w:val="22"/>
          <w:szCs w:val="22"/>
        </w:rPr>
        <w:fldChar w:fldCharType="begin"/>
      </w:r>
      <w:r w:rsidRPr="00E64007">
        <w:rPr>
          <w:rFonts w:ascii="Verdana" w:hAnsi="Verdana"/>
          <w:sz w:val="22"/>
          <w:szCs w:val="22"/>
        </w:rPr>
        <w:instrText xml:space="preserve"> SEQ Gráfica \* ARABIC </w:instrText>
      </w:r>
      <w:r w:rsidRPr="00E64007">
        <w:rPr>
          <w:rFonts w:ascii="Verdana" w:hAnsi="Verdana"/>
          <w:sz w:val="22"/>
          <w:szCs w:val="22"/>
        </w:rPr>
        <w:fldChar w:fldCharType="separate"/>
      </w:r>
      <w:r w:rsidR="00973CF5">
        <w:rPr>
          <w:rFonts w:ascii="Verdana" w:hAnsi="Verdana"/>
          <w:noProof/>
          <w:sz w:val="22"/>
          <w:szCs w:val="22"/>
        </w:rPr>
        <w:t>23</w:t>
      </w:r>
      <w:r w:rsidRPr="00E64007">
        <w:rPr>
          <w:rFonts w:ascii="Verdana" w:hAnsi="Verdana"/>
          <w:sz w:val="22"/>
          <w:szCs w:val="22"/>
        </w:rPr>
        <w:fldChar w:fldCharType="end"/>
      </w:r>
      <w:r w:rsidRPr="00E64007">
        <w:rPr>
          <w:rFonts w:ascii="Verdana" w:hAnsi="Verdana"/>
          <w:sz w:val="22"/>
          <w:szCs w:val="22"/>
        </w:rPr>
        <w:t>. Promedio del plazo de ejecución por modalidad y tipo de contrato</w:t>
      </w:r>
      <w:bookmarkEnd w:id="41"/>
    </w:p>
    <w:p w14:paraId="7BE35D96" w14:textId="6EC33776" w:rsidR="00745B46" w:rsidRPr="00917474" w:rsidRDefault="00F62981" w:rsidP="00F62981">
      <w:pPr>
        <w:jc w:val="center"/>
        <w:rPr>
          <w:rFonts w:ascii="Verdana" w:eastAsia="Verdana Pro" w:hAnsi="Verdana" w:cs="Verdana Pro"/>
          <w:color w:val="EE0000"/>
          <w:sz w:val="22"/>
          <w:szCs w:val="22"/>
        </w:rPr>
      </w:pPr>
      <w:r>
        <w:rPr>
          <w:noProof/>
        </w:rPr>
        <w:drawing>
          <wp:inline distT="0" distB="0" distL="0" distR="0" wp14:anchorId="523393F7" wp14:editId="6E904D39">
            <wp:extent cx="5028561" cy="1353688"/>
            <wp:effectExtent l="0" t="0" r="1270" b="0"/>
            <wp:docPr id="959907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07387" name=""/>
                    <pic:cNvPicPr/>
                  </pic:nvPicPr>
                  <pic:blipFill rotWithShape="1">
                    <a:blip r:embed="rId37"/>
                    <a:srcRect l="17856" t="37995" r="26045" b="35143"/>
                    <a:stretch>
                      <a:fillRect/>
                    </a:stretch>
                  </pic:blipFill>
                  <pic:spPr bwMode="auto">
                    <a:xfrm>
                      <a:off x="0" y="0"/>
                      <a:ext cx="5055258" cy="1360875"/>
                    </a:xfrm>
                    <a:prstGeom prst="rect">
                      <a:avLst/>
                    </a:prstGeom>
                    <a:ln>
                      <a:noFill/>
                    </a:ln>
                    <a:extLst>
                      <a:ext uri="{53640926-AAD7-44D8-BBD7-CCE9431645EC}">
                        <a14:shadowObscured xmlns:a14="http://schemas.microsoft.com/office/drawing/2010/main"/>
                      </a:ext>
                    </a:extLst>
                  </pic:spPr>
                </pic:pic>
              </a:graphicData>
            </a:graphic>
          </wp:inline>
        </w:drawing>
      </w:r>
    </w:p>
    <w:p w14:paraId="70C1C6AF" w14:textId="77777777" w:rsidR="00E64007" w:rsidRPr="00E712BF" w:rsidRDefault="00E64007" w:rsidP="00E64007">
      <w:pPr>
        <w:pStyle w:val="Textoindependiente"/>
        <w:spacing w:line="259" w:lineRule="auto"/>
        <w:ind w:left="140"/>
        <w:jc w:val="center"/>
        <w:rPr>
          <w:rFonts w:ascii="Verdana" w:eastAsia="Verdana Pro" w:hAnsi="Verdana" w:cs="Verdana Pro"/>
          <w:sz w:val="22"/>
          <w:szCs w:val="22"/>
        </w:rPr>
      </w:pPr>
      <w:r w:rsidRPr="00E712BF">
        <w:rPr>
          <w:rFonts w:ascii="Verdana" w:eastAsia="Verdana Pro" w:hAnsi="Verdana" w:cs="Verdana Pro"/>
          <w:b/>
          <w:bCs/>
          <w:sz w:val="22"/>
          <w:szCs w:val="22"/>
        </w:rPr>
        <w:t>Fuente</w:t>
      </w:r>
      <w:r w:rsidRPr="00E712BF">
        <w:rPr>
          <w:rFonts w:ascii="Verdana" w:eastAsia="Verdana Pro" w:hAnsi="Verdana" w:cs="Verdana Pro"/>
          <w:sz w:val="22"/>
          <w:szCs w:val="22"/>
        </w:rPr>
        <w:t>: Informe de Aplicación de los documentos tipo en la contratación estatal: julio de 2024 a septiembre de 2025</w:t>
      </w:r>
    </w:p>
    <w:p w14:paraId="300FB2ED" w14:textId="0C1FA49E" w:rsidR="00786163" w:rsidRDefault="00B445D5" w:rsidP="007011B0">
      <w:pPr>
        <w:jc w:val="both"/>
        <w:rPr>
          <w:rFonts w:ascii="Verdana" w:eastAsia="Verdana Pro" w:hAnsi="Verdana" w:cs="Verdana Pro"/>
          <w:sz w:val="22"/>
          <w:szCs w:val="22"/>
        </w:rPr>
      </w:pPr>
      <w:r>
        <w:rPr>
          <w:rFonts w:ascii="Verdana" w:eastAsia="Verdana Pro" w:hAnsi="Verdana" w:cs="Verdana Pro"/>
          <w:sz w:val="22"/>
          <w:szCs w:val="22"/>
        </w:rPr>
        <w:t xml:space="preserve">Finalmente, es importante resaltar </w:t>
      </w:r>
      <w:r w:rsidR="0029387A">
        <w:rPr>
          <w:rFonts w:ascii="Verdana" w:eastAsia="Verdana Pro" w:hAnsi="Verdana" w:cs="Verdana Pro"/>
          <w:sz w:val="22"/>
          <w:szCs w:val="22"/>
        </w:rPr>
        <w:t xml:space="preserve">las Entidades con mayores dinámicas </w:t>
      </w:r>
      <w:proofErr w:type="gramStart"/>
      <w:r w:rsidR="0029387A">
        <w:rPr>
          <w:rFonts w:ascii="Verdana" w:eastAsia="Verdana Pro" w:hAnsi="Verdana" w:cs="Verdana Pro"/>
          <w:sz w:val="22"/>
          <w:szCs w:val="22"/>
        </w:rPr>
        <w:t>del compra</w:t>
      </w:r>
      <w:proofErr w:type="gramEnd"/>
      <w:r w:rsidR="0029387A">
        <w:rPr>
          <w:rFonts w:ascii="Verdana" w:eastAsia="Verdana Pro" w:hAnsi="Verdana" w:cs="Verdana Pro"/>
          <w:sz w:val="22"/>
          <w:szCs w:val="22"/>
        </w:rPr>
        <w:t xml:space="preserve"> del Sector de Agua Potable y Saneamiento Básico</w:t>
      </w:r>
      <w:r w:rsidR="00BC3440">
        <w:rPr>
          <w:rFonts w:ascii="Verdana" w:eastAsia="Verdana Pro" w:hAnsi="Verdana" w:cs="Verdana Pro"/>
          <w:sz w:val="22"/>
          <w:szCs w:val="22"/>
        </w:rPr>
        <w:t xml:space="preserve">; de acuerdo con el informe </w:t>
      </w:r>
      <w:r w:rsidR="00E42445">
        <w:rPr>
          <w:rFonts w:ascii="Verdana" w:eastAsia="Verdana Pro" w:hAnsi="Verdana" w:cs="Verdana Pro"/>
          <w:sz w:val="22"/>
          <w:szCs w:val="22"/>
        </w:rPr>
        <w:t>las 20 Entidades con mayor</w:t>
      </w:r>
      <w:r w:rsidR="00E42445" w:rsidRPr="00E42445">
        <w:rPr>
          <w:rFonts w:ascii="Verdana" w:eastAsia="Verdana Pro" w:hAnsi="Verdana" w:cs="Verdana Pro"/>
          <w:sz w:val="22"/>
          <w:szCs w:val="22"/>
        </w:rPr>
        <w:t xml:space="preserve"> valor contratado en el sector de Infraestructura de Agua Potable y Saneamiento Básico</w:t>
      </w:r>
      <w:r w:rsidR="00E42445">
        <w:rPr>
          <w:rFonts w:ascii="Verdana" w:eastAsia="Verdana Pro" w:hAnsi="Verdana" w:cs="Verdana Pro"/>
          <w:sz w:val="22"/>
          <w:szCs w:val="22"/>
        </w:rPr>
        <w:t xml:space="preserve">, lo realizaron a través de </w:t>
      </w:r>
      <w:proofErr w:type="gramStart"/>
      <w:r w:rsidR="00E42445">
        <w:rPr>
          <w:rFonts w:ascii="Verdana" w:eastAsia="Verdana Pro" w:hAnsi="Verdana" w:cs="Verdana Pro"/>
          <w:sz w:val="22"/>
          <w:szCs w:val="22"/>
        </w:rPr>
        <w:t>las suscripción</w:t>
      </w:r>
      <w:proofErr w:type="gramEnd"/>
      <w:r w:rsidR="00E42445">
        <w:rPr>
          <w:rFonts w:ascii="Verdana" w:eastAsia="Verdana Pro" w:hAnsi="Verdana" w:cs="Verdana Pro"/>
          <w:sz w:val="22"/>
          <w:szCs w:val="22"/>
        </w:rPr>
        <w:t xml:space="preserve"> de 100 contratos, tal y como se puede ver a continuación:</w:t>
      </w:r>
    </w:p>
    <w:p w14:paraId="285751E1" w14:textId="77777777" w:rsidR="00E712BF" w:rsidRDefault="00E712BF" w:rsidP="007011B0">
      <w:pPr>
        <w:jc w:val="both"/>
        <w:rPr>
          <w:rFonts w:ascii="Verdana" w:eastAsia="Verdana Pro" w:hAnsi="Verdana" w:cs="Verdana Pro"/>
          <w:sz w:val="22"/>
          <w:szCs w:val="22"/>
        </w:rPr>
      </w:pPr>
    </w:p>
    <w:p w14:paraId="74294561" w14:textId="77777777" w:rsidR="00E712BF" w:rsidRDefault="00E712BF" w:rsidP="007011B0">
      <w:pPr>
        <w:jc w:val="both"/>
        <w:rPr>
          <w:rFonts w:ascii="Verdana" w:eastAsia="Verdana Pro" w:hAnsi="Verdana" w:cs="Verdana Pro"/>
          <w:sz w:val="22"/>
          <w:szCs w:val="22"/>
        </w:rPr>
      </w:pPr>
    </w:p>
    <w:p w14:paraId="2F0C728F" w14:textId="77777777" w:rsidR="00E712BF" w:rsidRDefault="00E712BF" w:rsidP="007011B0">
      <w:pPr>
        <w:jc w:val="both"/>
        <w:rPr>
          <w:rFonts w:ascii="Verdana" w:eastAsia="Verdana Pro" w:hAnsi="Verdana" w:cs="Verdana Pro"/>
          <w:sz w:val="22"/>
          <w:szCs w:val="22"/>
        </w:rPr>
      </w:pPr>
    </w:p>
    <w:p w14:paraId="3A3579C8" w14:textId="77777777" w:rsidR="00E712BF" w:rsidRDefault="00E712BF" w:rsidP="007011B0">
      <w:pPr>
        <w:jc w:val="both"/>
        <w:rPr>
          <w:rFonts w:ascii="Verdana" w:eastAsia="Verdana Pro" w:hAnsi="Verdana" w:cs="Verdana Pro"/>
          <w:sz w:val="22"/>
          <w:szCs w:val="22"/>
        </w:rPr>
      </w:pPr>
    </w:p>
    <w:p w14:paraId="4A5EE27B" w14:textId="77777777" w:rsidR="00E712BF" w:rsidRDefault="00E712BF" w:rsidP="007011B0">
      <w:pPr>
        <w:jc w:val="both"/>
        <w:rPr>
          <w:rFonts w:ascii="Verdana" w:eastAsia="Verdana Pro" w:hAnsi="Verdana" w:cs="Verdana Pro"/>
          <w:sz w:val="22"/>
          <w:szCs w:val="22"/>
        </w:rPr>
      </w:pPr>
    </w:p>
    <w:p w14:paraId="29D7FCBB" w14:textId="77777777" w:rsidR="00E712BF" w:rsidRDefault="00E712BF" w:rsidP="007011B0">
      <w:pPr>
        <w:jc w:val="both"/>
        <w:rPr>
          <w:rFonts w:ascii="Verdana" w:eastAsia="Verdana Pro" w:hAnsi="Verdana" w:cs="Verdana Pro"/>
          <w:sz w:val="22"/>
          <w:szCs w:val="22"/>
        </w:rPr>
      </w:pPr>
    </w:p>
    <w:p w14:paraId="5DA19DE5" w14:textId="77777777" w:rsidR="00E712BF" w:rsidRDefault="00E712BF" w:rsidP="007011B0">
      <w:pPr>
        <w:jc w:val="both"/>
        <w:rPr>
          <w:rFonts w:ascii="Verdana" w:eastAsia="Verdana Pro" w:hAnsi="Verdana" w:cs="Verdana Pro"/>
          <w:sz w:val="22"/>
          <w:szCs w:val="22"/>
        </w:rPr>
      </w:pPr>
    </w:p>
    <w:p w14:paraId="73BBE470" w14:textId="77777777" w:rsidR="00E712BF" w:rsidRDefault="00E712BF" w:rsidP="007011B0">
      <w:pPr>
        <w:jc w:val="both"/>
        <w:rPr>
          <w:rFonts w:ascii="Verdana" w:eastAsia="Verdana Pro" w:hAnsi="Verdana" w:cs="Verdana Pro"/>
          <w:sz w:val="22"/>
          <w:szCs w:val="22"/>
        </w:rPr>
      </w:pPr>
    </w:p>
    <w:p w14:paraId="0FF58653" w14:textId="77777777" w:rsidR="00E712BF" w:rsidRDefault="00E712BF" w:rsidP="007011B0">
      <w:pPr>
        <w:jc w:val="both"/>
        <w:rPr>
          <w:rFonts w:ascii="Verdana" w:eastAsia="Verdana Pro" w:hAnsi="Verdana" w:cs="Verdana Pro"/>
          <w:sz w:val="22"/>
          <w:szCs w:val="22"/>
        </w:rPr>
      </w:pPr>
    </w:p>
    <w:p w14:paraId="7377C74E" w14:textId="77777777" w:rsidR="00E712BF" w:rsidRDefault="00E712BF" w:rsidP="007011B0">
      <w:pPr>
        <w:jc w:val="both"/>
        <w:rPr>
          <w:rFonts w:ascii="Verdana" w:eastAsia="Verdana Pro" w:hAnsi="Verdana" w:cs="Verdana Pro"/>
          <w:sz w:val="22"/>
          <w:szCs w:val="22"/>
        </w:rPr>
      </w:pPr>
    </w:p>
    <w:p w14:paraId="2BC85F1F" w14:textId="77777777" w:rsidR="00E712BF" w:rsidRDefault="00E712BF" w:rsidP="007011B0">
      <w:pPr>
        <w:jc w:val="both"/>
        <w:rPr>
          <w:rFonts w:ascii="Verdana" w:eastAsia="Verdana Pro" w:hAnsi="Verdana" w:cs="Verdana Pro"/>
          <w:sz w:val="22"/>
          <w:szCs w:val="22"/>
        </w:rPr>
      </w:pPr>
    </w:p>
    <w:p w14:paraId="7D1CA28C" w14:textId="77777777" w:rsidR="0084535E" w:rsidRDefault="0084535E" w:rsidP="007011B0">
      <w:pPr>
        <w:jc w:val="both"/>
        <w:rPr>
          <w:rFonts w:ascii="Verdana" w:eastAsia="Verdana Pro" w:hAnsi="Verdana" w:cs="Verdana Pro"/>
          <w:sz w:val="22"/>
          <w:szCs w:val="22"/>
        </w:rPr>
      </w:pPr>
    </w:p>
    <w:p w14:paraId="49C664C9" w14:textId="05F84DDE" w:rsidR="0084535E" w:rsidRPr="00985B80" w:rsidRDefault="00985B80" w:rsidP="00985B80">
      <w:pPr>
        <w:pStyle w:val="Descripcin"/>
        <w:jc w:val="center"/>
        <w:rPr>
          <w:rFonts w:ascii="Verdana" w:eastAsia="Verdana Pro" w:hAnsi="Verdana" w:cs="Verdana Pro"/>
          <w:sz w:val="24"/>
          <w:szCs w:val="24"/>
        </w:rPr>
      </w:pPr>
      <w:bookmarkStart w:id="42" w:name="_Toc231368799"/>
      <w:r w:rsidRPr="00985B80">
        <w:rPr>
          <w:rFonts w:ascii="Verdana" w:hAnsi="Verdana"/>
          <w:sz w:val="22"/>
          <w:szCs w:val="22"/>
        </w:rPr>
        <w:lastRenderedPageBreak/>
        <w:t xml:space="preserve">Gráfica </w:t>
      </w:r>
      <w:r w:rsidRPr="00985B80">
        <w:rPr>
          <w:rFonts w:ascii="Verdana" w:hAnsi="Verdana"/>
          <w:sz w:val="22"/>
          <w:szCs w:val="22"/>
        </w:rPr>
        <w:fldChar w:fldCharType="begin"/>
      </w:r>
      <w:r w:rsidRPr="00985B80">
        <w:rPr>
          <w:rFonts w:ascii="Verdana" w:hAnsi="Verdana"/>
          <w:sz w:val="22"/>
          <w:szCs w:val="22"/>
        </w:rPr>
        <w:instrText xml:space="preserve"> SEQ Gráfica \* ARABIC </w:instrText>
      </w:r>
      <w:r w:rsidRPr="00985B80">
        <w:rPr>
          <w:rFonts w:ascii="Verdana" w:hAnsi="Verdana"/>
          <w:sz w:val="22"/>
          <w:szCs w:val="22"/>
        </w:rPr>
        <w:fldChar w:fldCharType="separate"/>
      </w:r>
      <w:r w:rsidR="00973CF5">
        <w:rPr>
          <w:rFonts w:ascii="Verdana" w:hAnsi="Verdana"/>
          <w:noProof/>
          <w:sz w:val="22"/>
          <w:szCs w:val="22"/>
        </w:rPr>
        <w:t>24</w:t>
      </w:r>
      <w:r w:rsidRPr="00985B80">
        <w:rPr>
          <w:rFonts w:ascii="Verdana" w:hAnsi="Verdana"/>
          <w:sz w:val="22"/>
          <w:szCs w:val="22"/>
        </w:rPr>
        <w:fldChar w:fldCharType="end"/>
      </w:r>
      <w:r w:rsidRPr="00985B80">
        <w:rPr>
          <w:rFonts w:ascii="Verdana" w:hAnsi="Verdana"/>
          <w:sz w:val="22"/>
          <w:szCs w:val="22"/>
        </w:rPr>
        <w:t>. Top 20 de Entidades por valor contratado en el sector de Infraestructura de Agua Potable y Saneamiento Básico</w:t>
      </w:r>
      <w:bookmarkEnd w:id="42"/>
    </w:p>
    <w:p w14:paraId="0710DE9B" w14:textId="7B71C8E8" w:rsidR="00E42445" w:rsidRPr="00611315" w:rsidRDefault="0084535E" w:rsidP="0084535E">
      <w:pPr>
        <w:jc w:val="center"/>
        <w:rPr>
          <w:rFonts w:ascii="Verdana" w:eastAsia="Verdana Pro" w:hAnsi="Verdana" w:cs="Verdana Pro"/>
          <w:sz w:val="22"/>
          <w:szCs w:val="22"/>
        </w:rPr>
      </w:pPr>
      <w:r>
        <w:rPr>
          <w:noProof/>
        </w:rPr>
        <w:drawing>
          <wp:inline distT="0" distB="0" distL="0" distR="0" wp14:anchorId="57357420" wp14:editId="3C8DACF5">
            <wp:extent cx="5312167" cy="4251366"/>
            <wp:effectExtent l="0" t="0" r="3175" b="0"/>
            <wp:docPr id="232919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1995" name=""/>
                    <pic:cNvPicPr/>
                  </pic:nvPicPr>
                  <pic:blipFill rotWithShape="1">
                    <a:blip r:embed="rId38"/>
                    <a:srcRect l="23678" t="24157" r="26441" b="9543"/>
                    <a:stretch>
                      <a:fillRect/>
                    </a:stretch>
                  </pic:blipFill>
                  <pic:spPr bwMode="auto">
                    <a:xfrm>
                      <a:off x="0" y="0"/>
                      <a:ext cx="5345753" cy="4278246"/>
                    </a:xfrm>
                    <a:prstGeom prst="rect">
                      <a:avLst/>
                    </a:prstGeom>
                    <a:ln>
                      <a:noFill/>
                    </a:ln>
                    <a:extLst>
                      <a:ext uri="{53640926-AAD7-44D8-BBD7-CCE9431645EC}">
                        <a14:shadowObscured xmlns:a14="http://schemas.microsoft.com/office/drawing/2010/main"/>
                      </a:ext>
                    </a:extLst>
                  </pic:spPr>
                </pic:pic>
              </a:graphicData>
            </a:graphic>
          </wp:inline>
        </w:drawing>
      </w:r>
    </w:p>
    <w:p w14:paraId="1BBCB6A6" w14:textId="77777777" w:rsidR="00985B80" w:rsidRPr="00E712BF" w:rsidRDefault="00985B80" w:rsidP="00985B80">
      <w:pPr>
        <w:pStyle w:val="Textoindependiente"/>
        <w:spacing w:line="259" w:lineRule="auto"/>
        <w:ind w:left="140"/>
        <w:jc w:val="center"/>
        <w:rPr>
          <w:rFonts w:ascii="Verdana" w:eastAsia="Verdana Pro" w:hAnsi="Verdana" w:cs="Verdana Pro"/>
          <w:sz w:val="22"/>
          <w:szCs w:val="22"/>
        </w:rPr>
      </w:pPr>
      <w:r w:rsidRPr="00E712BF">
        <w:rPr>
          <w:rFonts w:ascii="Verdana" w:eastAsia="Verdana Pro" w:hAnsi="Verdana" w:cs="Verdana Pro"/>
          <w:b/>
          <w:bCs/>
          <w:sz w:val="22"/>
          <w:szCs w:val="22"/>
        </w:rPr>
        <w:t>Fuente</w:t>
      </w:r>
      <w:r w:rsidRPr="00E712BF">
        <w:rPr>
          <w:rFonts w:ascii="Verdana" w:eastAsia="Verdana Pro" w:hAnsi="Verdana" w:cs="Verdana Pro"/>
          <w:sz w:val="22"/>
          <w:szCs w:val="22"/>
        </w:rPr>
        <w:t>: Informe de Aplicación de los documentos tipo en la contratación estatal: julio de 2024 a septiembre de 2025</w:t>
      </w:r>
    </w:p>
    <w:p w14:paraId="3B41BCF7" w14:textId="77777777" w:rsidR="006034B1" w:rsidRPr="00611315" w:rsidRDefault="006034B1" w:rsidP="006034B1">
      <w:pPr>
        <w:jc w:val="both"/>
        <w:rPr>
          <w:rFonts w:ascii="Verdana" w:eastAsia="Verdana Pro" w:hAnsi="Verdana" w:cs="Verdana Pro"/>
          <w:sz w:val="22"/>
          <w:szCs w:val="22"/>
        </w:rPr>
      </w:pPr>
    </w:p>
    <w:p w14:paraId="0DFC603B" w14:textId="64504F4E" w:rsidR="009029AF" w:rsidRPr="00611315" w:rsidRDefault="00E712BF" w:rsidP="00447A32">
      <w:pPr>
        <w:pStyle w:val="Ttulo1"/>
        <w:numPr>
          <w:ilvl w:val="0"/>
          <w:numId w:val="44"/>
        </w:numPr>
        <w:spacing w:after="0"/>
        <w:jc w:val="both"/>
        <w:rPr>
          <w:rFonts w:ascii="Verdana" w:eastAsia="Verdana Pro" w:hAnsi="Verdana" w:cs="Verdana Pro"/>
          <w:color w:val="auto"/>
        </w:rPr>
      </w:pPr>
      <w:bookmarkStart w:id="43" w:name="_Toc199138706"/>
      <w:bookmarkStart w:id="44" w:name="_Toc199138874"/>
      <w:bookmarkStart w:id="45" w:name="_Toc199139040"/>
      <w:bookmarkStart w:id="46" w:name="_Toc199139206"/>
      <w:bookmarkStart w:id="47" w:name="_Toc199139748"/>
      <w:bookmarkStart w:id="48" w:name="_Toc199140185"/>
      <w:bookmarkStart w:id="49" w:name="_Toc199138707"/>
      <w:bookmarkStart w:id="50" w:name="_Toc199138875"/>
      <w:bookmarkStart w:id="51" w:name="_Toc199139041"/>
      <w:bookmarkStart w:id="52" w:name="_Toc199139207"/>
      <w:bookmarkStart w:id="53" w:name="_Toc199139749"/>
      <w:bookmarkStart w:id="54" w:name="_Toc199140186"/>
      <w:bookmarkStart w:id="55" w:name="_Toc199138708"/>
      <w:bookmarkStart w:id="56" w:name="_Toc199138876"/>
      <w:bookmarkStart w:id="57" w:name="_Toc199139042"/>
      <w:bookmarkStart w:id="58" w:name="_Toc199139208"/>
      <w:bookmarkStart w:id="59" w:name="_Toc199139750"/>
      <w:bookmarkStart w:id="60" w:name="_Toc199140187"/>
      <w:bookmarkStart w:id="61" w:name="_Toc199138709"/>
      <w:bookmarkStart w:id="62" w:name="_Toc199138877"/>
      <w:bookmarkStart w:id="63" w:name="_Toc199139043"/>
      <w:bookmarkStart w:id="64" w:name="_Toc199139209"/>
      <w:bookmarkStart w:id="65" w:name="_Toc199139751"/>
      <w:bookmarkStart w:id="66" w:name="_Toc199140188"/>
      <w:bookmarkStart w:id="67" w:name="_Toc199138710"/>
      <w:bookmarkStart w:id="68" w:name="_Toc199138878"/>
      <w:bookmarkStart w:id="69" w:name="_Toc199139044"/>
      <w:bookmarkStart w:id="70" w:name="_Toc199139210"/>
      <w:bookmarkStart w:id="71" w:name="_Toc199139752"/>
      <w:bookmarkStart w:id="72" w:name="_Toc199140189"/>
      <w:bookmarkStart w:id="73" w:name="_Toc199138711"/>
      <w:bookmarkStart w:id="74" w:name="_Toc199138879"/>
      <w:bookmarkStart w:id="75" w:name="_Toc199139045"/>
      <w:bookmarkStart w:id="76" w:name="_Toc199139211"/>
      <w:bookmarkStart w:id="77" w:name="_Toc199139753"/>
      <w:bookmarkStart w:id="78" w:name="_Toc199140190"/>
      <w:bookmarkStart w:id="79" w:name="_Toc199138712"/>
      <w:bookmarkStart w:id="80" w:name="_Toc199138880"/>
      <w:bookmarkStart w:id="81" w:name="_Toc199139046"/>
      <w:bookmarkStart w:id="82" w:name="_Toc199139212"/>
      <w:bookmarkStart w:id="83" w:name="_Toc199139754"/>
      <w:bookmarkStart w:id="84" w:name="_Toc199140191"/>
      <w:bookmarkStart w:id="85" w:name="_Toc199138713"/>
      <w:bookmarkStart w:id="86" w:name="_Toc199138881"/>
      <w:bookmarkStart w:id="87" w:name="_Toc199139047"/>
      <w:bookmarkStart w:id="88" w:name="_Toc199139213"/>
      <w:bookmarkStart w:id="89" w:name="_Toc199139755"/>
      <w:bookmarkStart w:id="90" w:name="_Toc199140192"/>
      <w:bookmarkStart w:id="91" w:name="_Toc199138714"/>
      <w:bookmarkStart w:id="92" w:name="_Toc199138882"/>
      <w:bookmarkStart w:id="93" w:name="_Toc199139048"/>
      <w:bookmarkStart w:id="94" w:name="_Toc199139214"/>
      <w:bookmarkStart w:id="95" w:name="_Toc199139756"/>
      <w:bookmarkStart w:id="96" w:name="_Toc199140193"/>
      <w:bookmarkStart w:id="97" w:name="_Toc199138715"/>
      <w:bookmarkStart w:id="98" w:name="_Toc199138883"/>
      <w:bookmarkStart w:id="99" w:name="_Toc199139049"/>
      <w:bookmarkStart w:id="100" w:name="_Toc199139215"/>
      <w:bookmarkStart w:id="101" w:name="_Toc199139757"/>
      <w:bookmarkStart w:id="102" w:name="_Toc199140194"/>
      <w:bookmarkStart w:id="103" w:name="_Toc199138716"/>
      <w:bookmarkStart w:id="104" w:name="_Toc199138884"/>
      <w:bookmarkStart w:id="105" w:name="_Toc199139050"/>
      <w:bookmarkStart w:id="106" w:name="_Toc199139216"/>
      <w:bookmarkStart w:id="107" w:name="_Toc199139758"/>
      <w:bookmarkStart w:id="108" w:name="_Toc199140195"/>
      <w:bookmarkStart w:id="109" w:name="_Toc199138717"/>
      <w:bookmarkStart w:id="110" w:name="_Toc199138885"/>
      <w:bookmarkStart w:id="111" w:name="_Toc199139051"/>
      <w:bookmarkStart w:id="112" w:name="_Toc199139217"/>
      <w:bookmarkStart w:id="113" w:name="_Toc199139759"/>
      <w:bookmarkStart w:id="114" w:name="_Toc199140196"/>
      <w:bookmarkStart w:id="115" w:name="_Toc199138718"/>
      <w:bookmarkStart w:id="116" w:name="_Toc199138886"/>
      <w:bookmarkStart w:id="117" w:name="_Toc199139052"/>
      <w:bookmarkStart w:id="118" w:name="_Toc199139218"/>
      <w:bookmarkStart w:id="119" w:name="_Toc199139760"/>
      <w:bookmarkStart w:id="120" w:name="_Toc199140197"/>
      <w:bookmarkStart w:id="121" w:name="_Toc199138719"/>
      <w:bookmarkStart w:id="122" w:name="_Toc199138887"/>
      <w:bookmarkStart w:id="123" w:name="_Toc199139053"/>
      <w:bookmarkStart w:id="124" w:name="_Toc199139219"/>
      <w:bookmarkStart w:id="125" w:name="_Toc199139761"/>
      <w:bookmarkStart w:id="126" w:name="_Toc199140198"/>
      <w:bookmarkStart w:id="127" w:name="_Toc199138720"/>
      <w:bookmarkStart w:id="128" w:name="_Toc199138888"/>
      <w:bookmarkStart w:id="129" w:name="_Toc199139054"/>
      <w:bookmarkStart w:id="130" w:name="_Toc199139220"/>
      <w:bookmarkStart w:id="131" w:name="_Toc199139762"/>
      <w:bookmarkStart w:id="132" w:name="_Toc199140199"/>
      <w:bookmarkStart w:id="133" w:name="_Toc199138721"/>
      <w:bookmarkStart w:id="134" w:name="_Toc199138889"/>
      <w:bookmarkStart w:id="135" w:name="_Toc199139055"/>
      <w:bookmarkStart w:id="136" w:name="_Toc199139221"/>
      <w:bookmarkStart w:id="137" w:name="_Toc199139763"/>
      <w:bookmarkStart w:id="138" w:name="_Toc199140200"/>
      <w:bookmarkStart w:id="139" w:name="_Toc199138722"/>
      <w:bookmarkStart w:id="140" w:name="_Toc199138890"/>
      <w:bookmarkStart w:id="141" w:name="_Toc199139056"/>
      <w:bookmarkStart w:id="142" w:name="_Toc199139222"/>
      <w:bookmarkStart w:id="143" w:name="_Toc199139764"/>
      <w:bookmarkStart w:id="144" w:name="_Toc199140201"/>
      <w:bookmarkStart w:id="145" w:name="_Toc199138723"/>
      <w:bookmarkStart w:id="146" w:name="_Toc199138891"/>
      <w:bookmarkStart w:id="147" w:name="_Toc199139057"/>
      <w:bookmarkStart w:id="148" w:name="_Toc199139223"/>
      <w:bookmarkStart w:id="149" w:name="_Toc199139765"/>
      <w:bookmarkStart w:id="150" w:name="_Toc199140202"/>
      <w:bookmarkStart w:id="151" w:name="_Toc199138724"/>
      <w:bookmarkStart w:id="152" w:name="_Toc199138892"/>
      <w:bookmarkStart w:id="153" w:name="_Toc199139058"/>
      <w:bookmarkStart w:id="154" w:name="_Toc199139224"/>
      <w:bookmarkStart w:id="155" w:name="_Toc199139766"/>
      <w:bookmarkStart w:id="156" w:name="_Toc199140203"/>
      <w:bookmarkStart w:id="157" w:name="_Toc199138725"/>
      <w:bookmarkStart w:id="158" w:name="_Toc199138893"/>
      <w:bookmarkStart w:id="159" w:name="_Toc199139059"/>
      <w:bookmarkStart w:id="160" w:name="_Toc199139225"/>
      <w:bookmarkStart w:id="161" w:name="_Toc199139767"/>
      <w:bookmarkStart w:id="162" w:name="_Toc199140204"/>
      <w:bookmarkStart w:id="163" w:name="_Toc199138726"/>
      <w:bookmarkStart w:id="164" w:name="_Toc199138894"/>
      <w:bookmarkStart w:id="165" w:name="_Toc199139060"/>
      <w:bookmarkStart w:id="166" w:name="_Toc199139226"/>
      <w:bookmarkStart w:id="167" w:name="_Toc199139768"/>
      <w:bookmarkStart w:id="168" w:name="_Toc199140205"/>
      <w:bookmarkStart w:id="169" w:name="_Toc199138727"/>
      <w:bookmarkStart w:id="170" w:name="_Toc199138895"/>
      <w:bookmarkStart w:id="171" w:name="_Toc199139061"/>
      <w:bookmarkStart w:id="172" w:name="_Toc199139227"/>
      <w:bookmarkStart w:id="173" w:name="_Toc199139769"/>
      <w:bookmarkStart w:id="174" w:name="_Toc199140206"/>
      <w:bookmarkStart w:id="175" w:name="_Toc199138728"/>
      <w:bookmarkStart w:id="176" w:name="_Toc199138896"/>
      <w:bookmarkStart w:id="177" w:name="_Toc199139062"/>
      <w:bookmarkStart w:id="178" w:name="_Toc199139228"/>
      <w:bookmarkStart w:id="179" w:name="_Toc199139770"/>
      <w:bookmarkStart w:id="180" w:name="_Toc199140207"/>
      <w:bookmarkStart w:id="181" w:name="_Toc199138729"/>
      <w:bookmarkStart w:id="182" w:name="_Toc199138897"/>
      <w:bookmarkStart w:id="183" w:name="_Toc199139063"/>
      <w:bookmarkStart w:id="184" w:name="_Toc199139229"/>
      <w:bookmarkStart w:id="185" w:name="_Toc199139771"/>
      <w:bookmarkStart w:id="186" w:name="_Toc199140208"/>
      <w:bookmarkStart w:id="187" w:name="_Toc199138730"/>
      <w:bookmarkStart w:id="188" w:name="_Toc199138898"/>
      <w:bookmarkStart w:id="189" w:name="_Toc199139064"/>
      <w:bookmarkStart w:id="190" w:name="_Toc199139230"/>
      <w:bookmarkStart w:id="191" w:name="_Toc199139772"/>
      <w:bookmarkStart w:id="192" w:name="_Toc199140209"/>
      <w:bookmarkStart w:id="193" w:name="_Toc199138731"/>
      <w:bookmarkStart w:id="194" w:name="_Toc199138899"/>
      <w:bookmarkStart w:id="195" w:name="_Toc199139065"/>
      <w:bookmarkStart w:id="196" w:name="_Toc199139231"/>
      <w:bookmarkStart w:id="197" w:name="_Toc199139773"/>
      <w:bookmarkStart w:id="198" w:name="_Toc199140210"/>
      <w:bookmarkStart w:id="199" w:name="_Toc199138732"/>
      <w:bookmarkStart w:id="200" w:name="_Toc199138900"/>
      <w:bookmarkStart w:id="201" w:name="_Toc199139066"/>
      <w:bookmarkStart w:id="202" w:name="_Toc199139232"/>
      <w:bookmarkStart w:id="203" w:name="_Toc199139774"/>
      <w:bookmarkStart w:id="204" w:name="_Toc199140211"/>
      <w:bookmarkStart w:id="205" w:name="_Toc199138733"/>
      <w:bookmarkStart w:id="206" w:name="_Toc199138901"/>
      <w:bookmarkStart w:id="207" w:name="_Toc199139067"/>
      <w:bookmarkStart w:id="208" w:name="_Toc199139233"/>
      <w:bookmarkStart w:id="209" w:name="_Toc199139775"/>
      <w:bookmarkStart w:id="210" w:name="_Toc199140212"/>
      <w:bookmarkStart w:id="211" w:name="_Toc199138734"/>
      <w:bookmarkStart w:id="212" w:name="_Toc199138902"/>
      <w:bookmarkStart w:id="213" w:name="_Toc199139068"/>
      <w:bookmarkStart w:id="214" w:name="_Toc199139234"/>
      <w:bookmarkStart w:id="215" w:name="_Toc199139776"/>
      <w:bookmarkStart w:id="216" w:name="_Toc199140213"/>
      <w:bookmarkStart w:id="217" w:name="_Toc199138735"/>
      <w:bookmarkStart w:id="218" w:name="_Toc199138903"/>
      <w:bookmarkStart w:id="219" w:name="_Toc199139069"/>
      <w:bookmarkStart w:id="220" w:name="_Toc199139235"/>
      <w:bookmarkStart w:id="221" w:name="_Toc199139777"/>
      <w:bookmarkStart w:id="222" w:name="_Toc199140214"/>
      <w:bookmarkStart w:id="223" w:name="_Toc199138736"/>
      <w:bookmarkStart w:id="224" w:name="_Toc199138904"/>
      <w:bookmarkStart w:id="225" w:name="_Toc199139070"/>
      <w:bookmarkStart w:id="226" w:name="_Toc199139236"/>
      <w:bookmarkStart w:id="227" w:name="_Toc199139778"/>
      <w:bookmarkStart w:id="228" w:name="_Toc199140215"/>
      <w:bookmarkStart w:id="229" w:name="_Toc199138737"/>
      <w:bookmarkStart w:id="230" w:name="_Toc199138905"/>
      <w:bookmarkStart w:id="231" w:name="_Toc199139071"/>
      <w:bookmarkStart w:id="232" w:name="_Toc199139237"/>
      <w:bookmarkStart w:id="233" w:name="_Toc199139779"/>
      <w:bookmarkStart w:id="234" w:name="_Toc199140216"/>
      <w:bookmarkStart w:id="235" w:name="_Toc199138738"/>
      <w:bookmarkStart w:id="236" w:name="_Toc199138906"/>
      <w:bookmarkStart w:id="237" w:name="_Toc199139072"/>
      <w:bookmarkStart w:id="238" w:name="_Toc199139238"/>
      <w:bookmarkStart w:id="239" w:name="_Toc199139780"/>
      <w:bookmarkStart w:id="240" w:name="_Toc199140217"/>
      <w:bookmarkStart w:id="241" w:name="_Toc199138739"/>
      <w:bookmarkStart w:id="242" w:name="_Toc199138907"/>
      <w:bookmarkStart w:id="243" w:name="_Toc199139073"/>
      <w:bookmarkStart w:id="244" w:name="_Toc199139239"/>
      <w:bookmarkStart w:id="245" w:name="_Toc199139781"/>
      <w:bookmarkStart w:id="246" w:name="_Toc199140218"/>
      <w:bookmarkStart w:id="247" w:name="_Toc199138740"/>
      <w:bookmarkStart w:id="248" w:name="_Toc199138908"/>
      <w:bookmarkStart w:id="249" w:name="_Toc199139074"/>
      <w:bookmarkStart w:id="250" w:name="_Toc199139240"/>
      <w:bookmarkStart w:id="251" w:name="_Toc199139782"/>
      <w:bookmarkStart w:id="252" w:name="_Toc199140219"/>
      <w:bookmarkStart w:id="253" w:name="_Toc199138741"/>
      <w:bookmarkStart w:id="254" w:name="_Toc199138909"/>
      <w:bookmarkStart w:id="255" w:name="_Toc199139075"/>
      <w:bookmarkStart w:id="256" w:name="_Toc199139241"/>
      <w:bookmarkStart w:id="257" w:name="_Toc199139783"/>
      <w:bookmarkStart w:id="258" w:name="_Toc199140220"/>
      <w:bookmarkStart w:id="259" w:name="_Toc199138742"/>
      <w:bookmarkStart w:id="260" w:name="_Toc199138910"/>
      <w:bookmarkStart w:id="261" w:name="_Toc199139076"/>
      <w:bookmarkStart w:id="262" w:name="_Toc199139242"/>
      <w:bookmarkStart w:id="263" w:name="_Toc199139784"/>
      <w:bookmarkStart w:id="264" w:name="_Toc199140221"/>
      <w:bookmarkStart w:id="265" w:name="_Toc199138743"/>
      <w:bookmarkStart w:id="266" w:name="_Toc199138911"/>
      <w:bookmarkStart w:id="267" w:name="_Toc199139077"/>
      <w:bookmarkStart w:id="268" w:name="_Toc199139243"/>
      <w:bookmarkStart w:id="269" w:name="_Toc199139785"/>
      <w:bookmarkStart w:id="270" w:name="_Toc199140222"/>
      <w:bookmarkStart w:id="271" w:name="_Toc199138744"/>
      <w:bookmarkStart w:id="272" w:name="_Toc199138912"/>
      <w:bookmarkStart w:id="273" w:name="_Toc199139078"/>
      <w:bookmarkStart w:id="274" w:name="_Toc199139244"/>
      <w:bookmarkStart w:id="275" w:name="_Toc199139786"/>
      <w:bookmarkStart w:id="276" w:name="_Toc199140223"/>
      <w:bookmarkStart w:id="277" w:name="_Toc199138745"/>
      <w:bookmarkStart w:id="278" w:name="_Toc199138913"/>
      <w:bookmarkStart w:id="279" w:name="_Toc199139079"/>
      <w:bookmarkStart w:id="280" w:name="_Toc199139245"/>
      <w:bookmarkStart w:id="281" w:name="_Toc199139787"/>
      <w:bookmarkStart w:id="282" w:name="_Toc199140224"/>
      <w:bookmarkStart w:id="283" w:name="_Toc199138746"/>
      <w:bookmarkStart w:id="284" w:name="_Toc199138914"/>
      <w:bookmarkStart w:id="285" w:name="_Toc199139080"/>
      <w:bookmarkStart w:id="286" w:name="_Toc199139246"/>
      <w:bookmarkStart w:id="287" w:name="_Toc199139788"/>
      <w:bookmarkStart w:id="288" w:name="_Toc199140225"/>
      <w:bookmarkStart w:id="289" w:name="_Toc199138747"/>
      <w:bookmarkStart w:id="290" w:name="_Toc199138915"/>
      <w:bookmarkStart w:id="291" w:name="_Toc199139081"/>
      <w:bookmarkStart w:id="292" w:name="_Toc199139247"/>
      <w:bookmarkStart w:id="293" w:name="_Toc199139789"/>
      <w:bookmarkStart w:id="294" w:name="_Toc199140226"/>
      <w:bookmarkStart w:id="295" w:name="_Toc199138748"/>
      <w:bookmarkStart w:id="296" w:name="_Toc199138916"/>
      <w:bookmarkStart w:id="297" w:name="_Toc199139082"/>
      <w:bookmarkStart w:id="298" w:name="_Toc199139248"/>
      <w:bookmarkStart w:id="299" w:name="_Toc199139790"/>
      <w:bookmarkStart w:id="300" w:name="_Toc199140227"/>
      <w:bookmarkStart w:id="301" w:name="_Toc199138749"/>
      <w:bookmarkStart w:id="302" w:name="_Toc199138917"/>
      <w:bookmarkStart w:id="303" w:name="_Toc199139083"/>
      <w:bookmarkStart w:id="304" w:name="_Toc199139249"/>
      <w:bookmarkStart w:id="305" w:name="_Toc199139791"/>
      <w:bookmarkStart w:id="306" w:name="_Toc199140228"/>
      <w:bookmarkStart w:id="307" w:name="_Toc199138750"/>
      <w:bookmarkStart w:id="308" w:name="_Toc199138918"/>
      <w:bookmarkStart w:id="309" w:name="_Toc199139084"/>
      <w:bookmarkStart w:id="310" w:name="_Toc199139250"/>
      <w:bookmarkStart w:id="311" w:name="_Toc199139792"/>
      <w:bookmarkStart w:id="312" w:name="_Toc199140229"/>
      <w:bookmarkStart w:id="313" w:name="_Toc199138751"/>
      <w:bookmarkStart w:id="314" w:name="_Toc199138919"/>
      <w:bookmarkStart w:id="315" w:name="_Toc199139085"/>
      <w:bookmarkStart w:id="316" w:name="_Toc199139251"/>
      <w:bookmarkStart w:id="317" w:name="_Toc199139793"/>
      <w:bookmarkStart w:id="318" w:name="_Toc199140230"/>
      <w:bookmarkStart w:id="319" w:name="_Toc199138752"/>
      <w:bookmarkStart w:id="320" w:name="_Toc199138920"/>
      <w:bookmarkStart w:id="321" w:name="_Toc199139086"/>
      <w:bookmarkStart w:id="322" w:name="_Toc199139252"/>
      <w:bookmarkStart w:id="323" w:name="_Toc199139794"/>
      <w:bookmarkStart w:id="324" w:name="_Toc199140231"/>
      <w:bookmarkStart w:id="325" w:name="_Toc199138753"/>
      <w:bookmarkStart w:id="326" w:name="_Toc199138921"/>
      <w:bookmarkStart w:id="327" w:name="_Toc199139087"/>
      <w:bookmarkStart w:id="328" w:name="_Toc199139253"/>
      <w:bookmarkStart w:id="329" w:name="_Toc199139795"/>
      <w:bookmarkStart w:id="330" w:name="_Toc199140232"/>
      <w:bookmarkStart w:id="331" w:name="_Toc199138754"/>
      <w:bookmarkStart w:id="332" w:name="_Toc199138922"/>
      <w:bookmarkStart w:id="333" w:name="_Toc199139088"/>
      <w:bookmarkStart w:id="334" w:name="_Toc199139254"/>
      <w:bookmarkStart w:id="335" w:name="_Toc199139796"/>
      <w:bookmarkStart w:id="336" w:name="_Toc199140233"/>
      <w:bookmarkStart w:id="337" w:name="_Toc23136861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611315">
        <w:rPr>
          <w:rFonts w:ascii="Verdana" w:eastAsia="Verdana Pro" w:hAnsi="Verdana" w:cs="Verdana Pro"/>
          <w:color w:val="auto"/>
        </w:rPr>
        <w:lastRenderedPageBreak/>
        <w:t>ANÁLISIS DE REQUISITOS HABILITANTES SOLICITADOS EN LOS DOCUMENTOS TIPO PARA PROYECTOS DE OBRA PÚBLICA DE INFRAESTRUCTURA DE AGUA POTABLE Y SANEAMIENTO BÁSICO</w:t>
      </w:r>
      <w:bookmarkEnd w:id="337"/>
    </w:p>
    <w:p w14:paraId="3A9E9A4A" w14:textId="16817185" w:rsidR="009029AF" w:rsidRPr="000B3D30" w:rsidRDefault="00E712BF" w:rsidP="00CA4176">
      <w:pPr>
        <w:pStyle w:val="Ttulo2"/>
        <w:numPr>
          <w:ilvl w:val="0"/>
          <w:numId w:val="82"/>
        </w:numPr>
        <w:rPr>
          <w:rFonts w:ascii="Verdana" w:hAnsi="Verdana" w:cs="Arial"/>
          <w:color w:val="auto"/>
          <w:szCs w:val="22"/>
        </w:rPr>
      </w:pPr>
      <w:bookmarkStart w:id="338" w:name="_Toc231368613"/>
      <w:r w:rsidRPr="000B3D30">
        <w:rPr>
          <w:rFonts w:ascii="Verdana" w:hAnsi="Verdana" w:cs="Arial"/>
          <w:color w:val="auto"/>
          <w:szCs w:val="22"/>
        </w:rPr>
        <w:t>CAPACIDAD JURÍDICA</w:t>
      </w:r>
      <w:bookmarkEnd w:id="338"/>
    </w:p>
    <w:p w14:paraId="2C4D667B" w14:textId="77777777" w:rsidR="00202A05" w:rsidRPr="000B3D30" w:rsidRDefault="00202A05" w:rsidP="00202A05">
      <w:pPr>
        <w:rPr>
          <w:rFonts w:ascii="Verdana" w:hAnsi="Verdana"/>
        </w:rPr>
      </w:pPr>
    </w:p>
    <w:p w14:paraId="735811F6" w14:textId="4BFDF205" w:rsidR="00DD7989" w:rsidRPr="000B3D30" w:rsidRDefault="00DD7989" w:rsidP="00DD7989">
      <w:pPr>
        <w:jc w:val="both"/>
        <w:rPr>
          <w:rFonts w:ascii="Verdana" w:hAnsi="Verdana" w:cs="Arial"/>
          <w:sz w:val="22"/>
          <w:szCs w:val="22"/>
        </w:rPr>
      </w:pPr>
      <w:r w:rsidRPr="000B3D30">
        <w:rPr>
          <w:rFonts w:ascii="Verdana" w:hAnsi="Verdana" w:cs="Arial"/>
          <w:sz w:val="22"/>
          <w:szCs w:val="22"/>
        </w:rPr>
        <w:t xml:space="preserve">El </w:t>
      </w:r>
      <w:r w:rsidR="00C51D88">
        <w:rPr>
          <w:rFonts w:ascii="Verdana" w:hAnsi="Verdana" w:cs="Arial"/>
          <w:sz w:val="22"/>
          <w:szCs w:val="22"/>
        </w:rPr>
        <w:t>d</w:t>
      </w:r>
      <w:r w:rsidRPr="000B3D30">
        <w:rPr>
          <w:rFonts w:ascii="Verdana" w:hAnsi="Verdana" w:cs="Arial"/>
          <w:sz w:val="22"/>
          <w:szCs w:val="22"/>
        </w:rPr>
        <w:t xml:space="preserve">ocumento base de infraestructura </w:t>
      </w:r>
      <w:r w:rsidR="00C51D88">
        <w:rPr>
          <w:rFonts w:ascii="Verdana" w:hAnsi="Verdana" w:cs="Arial"/>
          <w:sz w:val="22"/>
          <w:szCs w:val="22"/>
        </w:rPr>
        <w:t>de agua potable y saneamiento básico</w:t>
      </w:r>
      <w:r w:rsidRPr="000B3D30">
        <w:rPr>
          <w:rFonts w:ascii="Verdana" w:hAnsi="Verdana" w:cs="Arial"/>
          <w:sz w:val="22"/>
          <w:szCs w:val="22"/>
        </w:rPr>
        <w:t xml:space="preserve"> vigente (licitación pública, el cual se pretende actualizar</w:t>
      </w:r>
      <w:r w:rsidR="00C51D88">
        <w:rPr>
          <w:rFonts w:ascii="Verdana" w:hAnsi="Verdana" w:cs="Arial"/>
          <w:sz w:val="22"/>
          <w:szCs w:val="22"/>
        </w:rPr>
        <w:t>)</w:t>
      </w:r>
      <w:r w:rsidRPr="000B3D30">
        <w:rPr>
          <w:rFonts w:ascii="Verdana" w:hAnsi="Verdana" w:cs="Arial"/>
          <w:sz w:val="22"/>
          <w:szCs w:val="22"/>
        </w:rPr>
        <w:t>, contiene en el Capítulo III los requisitos de Capacidad Jurídica que deben acreditar los proponentes dentro de los procesos de selección, en tal sentido dichos criterios no son objeto de modificación partiendo del criterio que los mismos reflejan condiciones de ley que se deben cumplir obligatoriamente, sin embargo, es de destacar que desde la expedición de la versión a actualizar a la fecha se han expedido algunas normas que pueden impactar la capacidad jurídica de los proponentes, para lo cual del análisis de estas y en conjunto con la observaciones que se presentaron en las mesas técnicas realizadas con entidades especializadas del sector, se proponen los siguientes ajustes en este criterio:</w:t>
      </w:r>
    </w:p>
    <w:p w14:paraId="1A23BA1A" w14:textId="77777777" w:rsidR="00D27202" w:rsidRPr="000B3D30" w:rsidRDefault="00D27202" w:rsidP="00DD7989">
      <w:pPr>
        <w:jc w:val="both"/>
        <w:rPr>
          <w:rFonts w:ascii="Verdana" w:hAnsi="Verdana" w:cs="Arial"/>
          <w:sz w:val="22"/>
          <w:szCs w:val="22"/>
        </w:rPr>
      </w:pPr>
    </w:p>
    <w:p w14:paraId="12ECF3FF" w14:textId="317229FB" w:rsidR="00D27202" w:rsidRPr="000B3D30" w:rsidRDefault="00D27202" w:rsidP="00DD7989">
      <w:pPr>
        <w:jc w:val="both"/>
        <w:rPr>
          <w:rFonts w:ascii="Verdana" w:hAnsi="Verdana" w:cs="Arial"/>
          <w:b/>
          <w:bCs/>
          <w:sz w:val="22"/>
          <w:szCs w:val="22"/>
          <w:u w:val="single"/>
        </w:rPr>
      </w:pPr>
      <w:r w:rsidRPr="000B3D30">
        <w:rPr>
          <w:rFonts w:ascii="Verdana" w:hAnsi="Verdana" w:cs="Arial"/>
          <w:b/>
          <w:bCs/>
          <w:sz w:val="22"/>
          <w:szCs w:val="22"/>
          <w:u w:val="single"/>
        </w:rPr>
        <w:t xml:space="preserve">Documento Base </w:t>
      </w:r>
    </w:p>
    <w:p w14:paraId="2BB206D4" w14:textId="77777777" w:rsidR="00D27202" w:rsidRPr="000B3D30" w:rsidRDefault="00D27202" w:rsidP="00DD7989">
      <w:pPr>
        <w:jc w:val="both"/>
        <w:rPr>
          <w:rFonts w:ascii="Verdana" w:hAnsi="Verdana" w:cs="Arial"/>
          <w:b/>
          <w:bCs/>
          <w:sz w:val="22"/>
          <w:szCs w:val="22"/>
          <w:u w:val="single"/>
        </w:rPr>
      </w:pPr>
    </w:p>
    <w:p w14:paraId="14B60E2B" w14:textId="77777777" w:rsidR="00DD7989" w:rsidRPr="000B3D30" w:rsidRDefault="00DD7989" w:rsidP="00DD7989">
      <w:pPr>
        <w:jc w:val="both"/>
        <w:rPr>
          <w:rFonts w:ascii="Verdana" w:hAnsi="Verdana" w:cs="Arial"/>
          <w:sz w:val="22"/>
          <w:szCs w:val="22"/>
        </w:rPr>
      </w:pPr>
    </w:p>
    <w:p w14:paraId="274A4E94" w14:textId="77777777" w:rsidR="00DD7989" w:rsidRPr="000B3D30" w:rsidRDefault="00DD7989" w:rsidP="00E42FDE">
      <w:pPr>
        <w:pStyle w:val="Prrafodelista"/>
        <w:numPr>
          <w:ilvl w:val="0"/>
          <w:numId w:val="48"/>
        </w:numPr>
        <w:rPr>
          <w:rFonts w:ascii="Verdana" w:hAnsi="Verdana" w:cs="Arial"/>
        </w:rPr>
      </w:pPr>
      <w:r w:rsidRPr="000B3D30">
        <w:rPr>
          <w:rFonts w:ascii="Verdana" w:hAnsi="Verdana" w:cs="Arial"/>
        </w:rPr>
        <w:t>Incorporación de solicitud del certificado del Registro de Deudores Alimentarios Morosos – REDAM – esto en virtud de las inhabilidades que se establecen en el artículo 6 de la ley 2097 de 2021</w:t>
      </w:r>
    </w:p>
    <w:p w14:paraId="68B55E21" w14:textId="77777777" w:rsidR="00DD7989" w:rsidRPr="000B3D30" w:rsidRDefault="00DD7989" w:rsidP="00DD7989">
      <w:pPr>
        <w:pStyle w:val="Prrafodelista"/>
        <w:rPr>
          <w:rFonts w:ascii="Verdana" w:hAnsi="Verdana" w:cs="Arial"/>
        </w:rPr>
      </w:pPr>
    </w:p>
    <w:p w14:paraId="14B0590D" w14:textId="28A7A338" w:rsidR="00DD7989" w:rsidRPr="000B3D30" w:rsidRDefault="00DD7989" w:rsidP="00E42FDE">
      <w:pPr>
        <w:pStyle w:val="Prrafodelista"/>
        <w:numPr>
          <w:ilvl w:val="0"/>
          <w:numId w:val="48"/>
        </w:numPr>
        <w:rPr>
          <w:rFonts w:ascii="Verdana" w:hAnsi="Verdana" w:cs="Arial"/>
        </w:rPr>
      </w:pPr>
      <w:r w:rsidRPr="000B3D30">
        <w:rPr>
          <w:rFonts w:ascii="Verdana" w:hAnsi="Verdana" w:cs="Arial"/>
        </w:rPr>
        <w:t>Incorporar ajuste de redacción respecto a la forma en cómo se acredita el cumplimiento de pagos de seguridad social y aportes legales, en el sentido de alinearlo con los esfuerzos y programas que adelanta el Gobierno Nacional en materia de pensiones, en donde a la fecha se reconocen sustitutivos de la pensión, por lo cual se debe incorporar un criterio que permita a las personas que están bajo esta situación su participación en los procesos de selección</w:t>
      </w:r>
      <w:r w:rsidR="00F56684" w:rsidRPr="000B3D30">
        <w:rPr>
          <w:rFonts w:ascii="Verdana" w:hAnsi="Verdana" w:cs="Arial"/>
        </w:rPr>
        <w:t>.</w:t>
      </w:r>
    </w:p>
    <w:p w14:paraId="7DA22CEA" w14:textId="77777777" w:rsidR="00F56684" w:rsidRPr="000B3D30" w:rsidRDefault="00F56684" w:rsidP="00F56684">
      <w:pPr>
        <w:pStyle w:val="Prrafodelista"/>
        <w:rPr>
          <w:rFonts w:ascii="Verdana" w:hAnsi="Verdana" w:cs="Arial"/>
        </w:rPr>
      </w:pPr>
    </w:p>
    <w:p w14:paraId="60F04C0B" w14:textId="31926849" w:rsidR="00F56684" w:rsidRPr="000B3D30" w:rsidRDefault="009D3010" w:rsidP="00E42FDE">
      <w:pPr>
        <w:pStyle w:val="Prrafodelista"/>
        <w:numPr>
          <w:ilvl w:val="0"/>
          <w:numId w:val="48"/>
        </w:numPr>
        <w:rPr>
          <w:rFonts w:ascii="Verdana" w:hAnsi="Verdana" w:cs="Arial"/>
        </w:rPr>
      </w:pPr>
      <w:r w:rsidRPr="000B3D30">
        <w:rPr>
          <w:rFonts w:ascii="Verdana" w:hAnsi="Verdana" w:cs="Arial"/>
        </w:rPr>
        <w:t xml:space="preserve">Se incluyen los aspectos relacionados con </w:t>
      </w:r>
      <w:r w:rsidR="004072A1" w:rsidRPr="000B3D30">
        <w:rPr>
          <w:rFonts w:ascii="Verdana" w:hAnsi="Verdana" w:cs="Arial"/>
        </w:rPr>
        <w:t xml:space="preserve">criterios habilitantes </w:t>
      </w:r>
      <w:r w:rsidR="00107476" w:rsidRPr="000B3D30">
        <w:rPr>
          <w:rFonts w:ascii="Verdana" w:hAnsi="Verdana" w:cs="Arial"/>
        </w:rPr>
        <w:t xml:space="preserve">diferenciales y puntaje adicional en favor de emprendimientos y empresas de personas con discapacidad, de conformidad con el Decreto 287 de 2026, que modificó el Decreto 1082 de 2015. </w:t>
      </w:r>
      <w:r w:rsidRPr="000B3D30">
        <w:rPr>
          <w:rFonts w:ascii="Verdana" w:hAnsi="Verdana" w:cs="Arial"/>
        </w:rPr>
        <w:t xml:space="preserve"> </w:t>
      </w:r>
    </w:p>
    <w:p w14:paraId="4C54FAD3" w14:textId="77777777" w:rsidR="00DD7989" w:rsidRPr="000B3D30" w:rsidRDefault="00DD7989" w:rsidP="00DD7989">
      <w:pPr>
        <w:jc w:val="both"/>
        <w:rPr>
          <w:rFonts w:ascii="Verdana" w:hAnsi="Verdana" w:cs="Arial"/>
          <w:sz w:val="22"/>
          <w:szCs w:val="22"/>
        </w:rPr>
      </w:pPr>
      <w:r w:rsidRPr="000B3D30">
        <w:rPr>
          <w:rFonts w:ascii="Verdana" w:hAnsi="Verdana" w:cs="Arial"/>
          <w:sz w:val="22"/>
          <w:szCs w:val="22"/>
        </w:rPr>
        <w:t> </w:t>
      </w:r>
    </w:p>
    <w:p w14:paraId="732745D8" w14:textId="77777777" w:rsidR="00DD7989" w:rsidRPr="000B3D30" w:rsidRDefault="00DD7989" w:rsidP="00DD7989">
      <w:pPr>
        <w:jc w:val="both"/>
        <w:rPr>
          <w:rFonts w:ascii="Verdana" w:hAnsi="Verdana" w:cs="Arial"/>
          <w:sz w:val="22"/>
          <w:szCs w:val="22"/>
        </w:rPr>
      </w:pPr>
      <w:r w:rsidRPr="000B3D30">
        <w:rPr>
          <w:rFonts w:ascii="Verdana" w:hAnsi="Verdana" w:cs="Arial"/>
          <w:sz w:val="22"/>
          <w:szCs w:val="22"/>
        </w:rPr>
        <w:lastRenderedPageBreak/>
        <w:t>Adicional a lo anterior, se realizan ajustes de redacción o de tipo jurídico, que, si bien no inciden de forma directa en la capacidad jurídica, si hacen parte del componente de evaluación legal, requisitos habilitantes y causales de rechazo, tales como:  </w:t>
      </w:r>
    </w:p>
    <w:p w14:paraId="44AF5D77" w14:textId="77777777" w:rsidR="00DD7989" w:rsidRPr="000B3D30" w:rsidRDefault="00DD7989" w:rsidP="00DD7989">
      <w:pPr>
        <w:rPr>
          <w:rFonts w:ascii="Verdana" w:hAnsi="Verdana" w:cs="Arial"/>
          <w:sz w:val="22"/>
          <w:szCs w:val="22"/>
        </w:rPr>
      </w:pPr>
      <w:r w:rsidRPr="000B3D30">
        <w:rPr>
          <w:rFonts w:ascii="Verdana" w:hAnsi="Verdana" w:cs="Arial"/>
          <w:sz w:val="22"/>
          <w:szCs w:val="22"/>
        </w:rPr>
        <w:t>  </w:t>
      </w:r>
    </w:p>
    <w:p w14:paraId="16A16A96" w14:textId="77777777" w:rsidR="00DD7989" w:rsidRPr="000B3D30" w:rsidRDefault="00DD7989" w:rsidP="00E42FDE">
      <w:pPr>
        <w:numPr>
          <w:ilvl w:val="0"/>
          <w:numId w:val="67"/>
        </w:numPr>
        <w:jc w:val="both"/>
        <w:rPr>
          <w:rFonts w:ascii="Verdana" w:hAnsi="Verdana" w:cs="Arial"/>
          <w:sz w:val="22"/>
          <w:szCs w:val="22"/>
        </w:rPr>
      </w:pPr>
      <w:r w:rsidRPr="000B3D30">
        <w:rPr>
          <w:rFonts w:ascii="Verdana" w:hAnsi="Verdana" w:cs="Arial"/>
          <w:sz w:val="22"/>
          <w:szCs w:val="22"/>
        </w:rPr>
        <w:t xml:space="preserve">Se incluye redacción del Decreto 142 de 2023, con el fin de poder realizar limitación de procesos a </w:t>
      </w:r>
      <w:proofErr w:type="spellStart"/>
      <w:r w:rsidRPr="000B3D30">
        <w:rPr>
          <w:rFonts w:ascii="Verdana" w:hAnsi="Verdana" w:cs="Arial"/>
          <w:sz w:val="22"/>
          <w:szCs w:val="22"/>
        </w:rPr>
        <w:t>Mipyme</w:t>
      </w:r>
      <w:proofErr w:type="spellEnd"/>
      <w:r w:rsidRPr="000B3D30">
        <w:rPr>
          <w:rFonts w:ascii="Verdana" w:hAnsi="Verdana" w:cs="Arial"/>
          <w:sz w:val="22"/>
          <w:szCs w:val="22"/>
        </w:rPr>
        <w:t xml:space="preserve"> respecto de los lotes o segmentos que conformen el proceso.  </w:t>
      </w:r>
    </w:p>
    <w:p w14:paraId="4982B37D" w14:textId="77777777" w:rsidR="00DD7989" w:rsidRPr="000B3D30" w:rsidRDefault="00DD7989" w:rsidP="00DD7989">
      <w:pPr>
        <w:rPr>
          <w:rFonts w:ascii="Verdana" w:hAnsi="Verdana" w:cs="Arial"/>
          <w:sz w:val="22"/>
          <w:szCs w:val="22"/>
        </w:rPr>
      </w:pPr>
      <w:r w:rsidRPr="000B3D30">
        <w:rPr>
          <w:rFonts w:ascii="Verdana" w:hAnsi="Verdana" w:cs="Arial"/>
          <w:sz w:val="22"/>
          <w:szCs w:val="22"/>
        </w:rPr>
        <w:t> </w:t>
      </w:r>
    </w:p>
    <w:p w14:paraId="362CA8B0" w14:textId="77777777" w:rsidR="00DD7989" w:rsidRPr="000B3D30" w:rsidRDefault="00DD7989" w:rsidP="00E42FDE">
      <w:pPr>
        <w:numPr>
          <w:ilvl w:val="0"/>
          <w:numId w:val="68"/>
        </w:numPr>
        <w:jc w:val="both"/>
        <w:rPr>
          <w:rFonts w:ascii="Verdana" w:hAnsi="Verdana" w:cs="Arial"/>
          <w:sz w:val="22"/>
          <w:szCs w:val="22"/>
        </w:rPr>
      </w:pPr>
      <w:r w:rsidRPr="000B3D30">
        <w:rPr>
          <w:rFonts w:ascii="Verdana" w:hAnsi="Verdana" w:cs="Arial"/>
          <w:sz w:val="22"/>
          <w:szCs w:val="22"/>
        </w:rPr>
        <w:t>Se amplía la posibilidad a las entidades estatales de solicitar garantías adicionales a las descritas en el Decreto 1082 de 2015, para la etapa contractual, según la necesidad que identifique en la estructuración del proceso  </w:t>
      </w:r>
    </w:p>
    <w:p w14:paraId="6A503F74" w14:textId="77777777" w:rsidR="00DD7989" w:rsidRPr="000B3D30" w:rsidRDefault="00DD7989" w:rsidP="00DD7989">
      <w:pPr>
        <w:rPr>
          <w:rFonts w:ascii="Verdana" w:hAnsi="Verdana" w:cs="Arial"/>
          <w:sz w:val="22"/>
          <w:szCs w:val="22"/>
        </w:rPr>
      </w:pPr>
      <w:r w:rsidRPr="000B3D30">
        <w:rPr>
          <w:rFonts w:ascii="Verdana" w:hAnsi="Verdana" w:cs="Arial"/>
          <w:sz w:val="22"/>
          <w:szCs w:val="22"/>
        </w:rPr>
        <w:t>  </w:t>
      </w:r>
    </w:p>
    <w:p w14:paraId="239F24FA" w14:textId="77777777" w:rsidR="00DD7989" w:rsidRPr="000B3D30" w:rsidRDefault="00DD7989" w:rsidP="00E42FDE">
      <w:pPr>
        <w:numPr>
          <w:ilvl w:val="0"/>
          <w:numId w:val="69"/>
        </w:numPr>
        <w:jc w:val="both"/>
        <w:rPr>
          <w:rFonts w:ascii="Verdana" w:hAnsi="Verdana" w:cs="Arial"/>
          <w:sz w:val="22"/>
          <w:szCs w:val="22"/>
        </w:rPr>
      </w:pPr>
      <w:r w:rsidRPr="000B3D30">
        <w:rPr>
          <w:rFonts w:ascii="Verdana" w:hAnsi="Verdana" w:cs="Arial"/>
          <w:sz w:val="22"/>
          <w:szCs w:val="22"/>
        </w:rPr>
        <w:t>Se ajustan las redacciones de causales de rechazo para su mejor aplicación, así mismo se incorporan causales de rechazo que corresponden al uso de la plataforma y que se encontraban en manuales y guías emitidas por la entidad, en específico se encontraran listadas las siguientes causales de rechazo:</w:t>
      </w:r>
    </w:p>
    <w:p w14:paraId="7773D06A" w14:textId="77777777" w:rsidR="005E706A" w:rsidRPr="000B3D30" w:rsidRDefault="005E706A" w:rsidP="005E706A">
      <w:pPr>
        <w:ind w:left="720"/>
        <w:jc w:val="both"/>
        <w:rPr>
          <w:rFonts w:ascii="Verdana" w:hAnsi="Verdana" w:cs="Arial"/>
          <w:sz w:val="22"/>
          <w:szCs w:val="22"/>
        </w:rPr>
      </w:pPr>
    </w:p>
    <w:p w14:paraId="31D6E423" w14:textId="3A245E33" w:rsidR="00DD7989" w:rsidRPr="000B3D30" w:rsidRDefault="00B4525C" w:rsidP="005E706A">
      <w:pPr>
        <w:pStyle w:val="Prrafodelista"/>
        <w:spacing w:line="259" w:lineRule="auto"/>
        <w:rPr>
          <w:rFonts w:ascii="Verdana" w:eastAsia="Times New Roman" w:hAnsi="Verdana" w:cs="Arial"/>
          <w:lang w:eastAsia="es-MX"/>
        </w:rPr>
      </w:pPr>
      <w:r w:rsidRPr="00B4525C">
        <w:rPr>
          <w:rFonts w:ascii="Verdana" w:eastAsia="Times New Roman" w:hAnsi="Verdana" w:cs="Arial"/>
          <w:lang w:eastAsia="es-MX"/>
        </w:rPr>
        <w:t>C.</w:t>
      </w:r>
      <w:r w:rsidRPr="00B4525C">
        <w:rPr>
          <w:rFonts w:ascii="Verdana" w:eastAsia="Times New Roman" w:hAnsi="Verdana" w:cs="Arial"/>
          <w:lang w:eastAsia="es-MX"/>
        </w:rPr>
        <w:tab/>
      </w:r>
      <w:r w:rsidR="005E706A" w:rsidRPr="000B3D30">
        <w:rPr>
          <w:rFonts w:ascii="Verdana" w:eastAsia="Times New Roman" w:hAnsi="Verdana" w:cs="Arial"/>
          <w:lang w:eastAsia="es-MX"/>
        </w:rPr>
        <w:t xml:space="preserve">Que al </w:t>
      </w:r>
      <w:r w:rsidRPr="00B4525C">
        <w:rPr>
          <w:rFonts w:ascii="Verdana" w:eastAsia="Times New Roman" w:hAnsi="Verdana" w:cs="Arial"/>
          <w:lang w:eastAsia="es-MX"/>
        </w:rPr>
        <w:t>Proponente</w:t>
      </w:r>
      <w:r w:rsidR="005E706A" w:rsidRPr="000B3D30">
        <w:rPr>
          <w:rFonts w:ascii="Verdana" w:eastAsia="Times New Roman" w:hAnsi="Verdana" w:cs="Arial"/>
          <w:lang w:eastAsia="es-MX"/>
        </w:rPr>
        <w:t xml:space="preserve"> se le haya requerido con el propósito de subsanar o aclarar o aportar un documento de la propuesta y no lo efectúe dentro del plazo indicado o no lo realice correctamente o de acuerdo con lo solicitado, siempre que la subsanación, aclaración o aporte requerido sea</w:t>
      </w:r>
      <w:r w:rsidR="005E706A" w:rsidRPr="00B4525C">
        <w:rPr>
          <w:rFonts w:ascii="Verdana" w:eastAsia="Times New Roman" w:hAnsi="Verdana" w:cs="Arial"/>
          <w:lang w:eastAsia="es-MX"/>
        </w:rPr>
        <w:t xml:space="preserve"> </w:t>
      </w:r>
      <w:r w:rsidR="005E706A" w:rsidRPr="000B3D30">
        <w:rPr>
          <w:rFonts w:ascii="Verdana" w:eastAsia="Times New Roman" w:hAnsi="Verdana" w:cs="Arial"/>
          <w:lang w:eastAsia="es-MX"/>
        </w:rPr>
        <w:t>necesario para cumplir con un requisito habilitante en los términos establecidos en la sección 1.6 del Documento Base.</w:t>
      </w:r>
    </w:p>
    <w:p w14:paraId="486E50DE" w14:textId="338CF190" w:rsidR="00793FE8" w:rsidRPr="000B3D30" w:rsidRDefault="0089571C" w:rsidP="005E706A">
      <w:pPr>
        <w:pStyle w:val="Prrafodelista"/>
        <w:spacing w:line="259" w:lineRule="auto"/>
        <w:rPr>
          <w:rFonts w:ascii="Verdana" w:eastAsia="Times New Roman" w:hAnsi="Verdana" w:cs="Arial"/>
          <w:lang w:eastAsia="es-MX"/>
        </w:rPr>
      </w:pPr>
      <w:r w:rsidRPr="000B3D30">
        <w:rPr>
          <w:rFonts w:ascii="Verdana" w:eastAsia="Times New Roman" w:hAnsi="Verdana" w:cs="Arial"/>
          <w:lang w:eastAsia="es-MX"/>
        </w:rPr>
        <w:t xml:space="preserve">U. </w:t>
      </w:r>
      <w:r w:rsidR="00D37BDB">
        <w:rPr>
          <w:rFonts w:ascii="Verdana" w:eastAsia="Times New Roman" w:hAnsi="Verdana" w:cs="Arial"/>
          <w:lang w:eastAsia="es-MX"/>
        </w:rPr>
        <w:t xml:space="preserve"> </w:t>
      </w:r>
      <w:r w:rsidRPr="000B3D30">
        <w:rPr>
          <w:rFonts w:ascii="Verdana" w:eastAsia="Times New Roman" w:hAnsi="Verdana" w:cs="Arial"/>
          <w:lang w:eastAsia="es-MX"/>
        </w:rPr>
        <w:t xml:space="preserve"> </w:t>
      </w:r>
      <w:r w:rsidR="00793FE8" w:rsidRPr="000B3D30">
        <w:rPr>
          <w:rFonts w:ascii="Verdana" w:eastAsia="Times New Roman" w:hAnsi="Verdana" w:cs="Arial"/>
          <w:lang w:eastAsia="es-MX"/>
        </w:rPr>
        <w:t>Presentar más de una oferta económica con valores distintos en el Sobre 2</w:t>
      </w:r>
      <w:r w:rsidR="00D071EF" w:rsidRPr="00D071EF">
        <w:rPr>
          <w:rFonts w:ascii="Verdana" w:eastAsia="Times New Roman" w:hAnsi="Verdana" w:cs="Arial"/>
          <w:lang w:eastAsia="es-MX"/>
        </w:rPr>
        <w:t xml:space="preserve"> o que no se presente conforme con las condiciones establecidas en el numeral 2.3.2 Sobre 2.</w:t>
      </w:r>
      <w:r w:rsidR="00793FE8" w:rsidRPr="000B3D30">
        <w:rPr>
          <w:rFonts w:ascii="Verdana" w:eastAsia="Times New Roman" w:hAnsi="Verdana" w:cs="Arial"/>
          <w:lang w:eastAsia="es-MX"/>
        </w:rPr>
        <w:t xml:space="preserve"> [Cuando el proceso se estructure por lotes o segmentos reemplazar el texto anterior por el siguiente: Presentar más de una oferta económica con valores distintos para el mismo lote o segmentos]</w:t>
      </w:r>
    </w:p>
    <w:p w14:paraId="4541C341" w14:textId="2C5A3610" w:rsidR="00DD7989" w:rsidRPr="000B3D30" w:rsidRDefault="006251BF" w:rsidP="006251BF">
      <w:pPr>
        <w:pStyle w:val="Prrafodelista"/>
        <w:spacing w:before="240" w:after="200"/>
        <w:rPr>
          <w:rFonts w:ascii="Verdana" w:eastAsia="Times New Roman" w:hAnsi="Verdana" w:cs="Arial"/>
          <w:lang w:eastAsia="es-MX"/>
        </w:rPr>
      </w:pPr>
      <w:r w:rsidRPr="000B3D30">
        <w:rPr>
          <w:rFonts w:ascii="Verdana" w:eastAsia="Times New Roman" w:hAnsi="Verdana" w:cs="Arial"/>
          <w:lang w:eastAsia="es-MX"/>
        </w:rPr>
        <w:t>B.B.</w:t>
      </w:r>
      <w:r w:rsidR="00D37BDB" w:rsidRPr="00D37BDB">
        <w:rPr>
          <w:rFonts w:ascii="Verdana" w:eastAsia="Times New Roman" w:hAnsi="Verdana" w:cs="Arial"/>
          <w:lang w:eastAsia="es-MX"/>
        </w:rPr>
        <w:tab/>
      </w:r>
      <w:r w:rsidR="00DD7989" w:rsidRPr="000B3D30">
        <w:rPr>
          <w:rFonts w:ascii="Verdana" w:eastAsia="Times New Roman" w:hAnsi="Verdana" w:cs="Arial"/>
          <w:lang w:eastAsia="es-MX"/>
        </w:rPr>
        <w:t xml:space="preserve">Cuando la Entidad </w:t>
      </w:r>
      <w:r w:rsidR="00D37BDB" w:rsidRPr="00D37BDB">
        <w:rPr>
          <w:rFonts w:ascii="Verdana" w:eastAsia="Times New Roman" w:hAnsi="Verdana" w:cs="Arial"/>
          <w:lang w:eastAsia="es-MX"/>
        </w:rPr>
        <w:t>encuentre</w:t>
      </w:r>
      <w:r w:rsidR="00DD7989" w:rsidRPr="000B3D30">
        <w:rPr>
          <w:rFonts w:ascii="Verdana" w:eastAsia="Times New Roman" w:hAnsi="Verdana" w:cs="Arial"/>
          <w:lang w:eastAsia="es-MX"/>
        </w:rPr>
        <w:t xml:space="preserve"> que la propuesta </w:t>
      </w:r>
      <w:r w:rsidR="00D37BDB" w:rsidRPr="00D37BDB">
        <w:rPr>
          <w:rFonts w:ascii="Verdana" w:eastAsia="Times New Roman" w:hAnsi="Verdana" w:cs="Arial"/>
          <w:lang w:eastAsia="es-MX"/>
        </w:rPr>
        <w:t>aportada</w:t>
      </w:r>
      <w:r w:rsidR="00DD7989" w:rsidRPr="000B3D30">
        <w:rPr>
          <w:rFonts w:ascii="Verdana" w:eastAsia="Times New Roman" w:hAnsi="Verdana" w:cs="Arial"/>
          <w:lang w:eastAsia="es-MX"/>
        </w:rPr>
        <w:t xml:space="preserve"> por un Proponente Plural </w:t>
      </w:r>
      <w:r w:rsidR="00D37BDB" w:rsidRPr="00D37BDB">
        <w:rPr>
          <w:rFonts w:ascii="Verdana" w:eastAsia="Times New Roman" w:hAnsi="Verdana" w:cs="Arial"/>
          <w:lang w:eastAsia="es-MX"/>
        </w:rPr>
        <w:t>se realice con una cuenta</w:t>
      </w:r>
      <w:r w:rsidR="00DD7989" w:rsidRPr="000B3D30">
        <w:rPr>
          <w:rFonts w:ascii="Verdana" w:eastAsia="Times New Roman" w:hAnsi="Verdana" w:cs="Arial"/>
          <w:lang w:eastAsia="es-MX"/>
        </w:rPr>
        <w:t xml:space="preserve"> del SECOP II diferente </w:t>
      </w:r>
      <w:r w:rsidR="00D37BDB" w:rsidRPr="00D37BDB">
        <w:rPr>
          <w:rFonts w:ascii="Verdana" w:eastAsia="Times New Roman" w:hAnsi="Verdana" w:cs="Arial"/>
          <w:lang w:eastAsia="es-MX"/>
        </w:rPr>
        <w:t>a la</w:t>
      </w:r>
      <w:r w:rsidR="00DD7989" w:rsidRPr="000B3D30">
        <w:rPr>
          <w:rFonts w:ascii="Verdana" w:eastAsia="Times New Roman" w:hAnsi="Verdana" w:cs="Arial"/>
          <w:lang w:eastAsia="es-MX"/>
        </w:rPr>
        <w:t xml:space="preserve"> de la unión temporal o consorcio</w:t>
      </w:r>
      <w:r w:rsidR="00D37BDB" w:rsidRPr="00D37BDB">
        <w:rPr>
          <w:rFonts w:ascii="Verdana" w:eastAsia="Times New Roman" w:hAnsi="Verdana" w:cs="Arial"/>
          <w:lang w:eastAsia="es-MX"/>
        </w:rPr>
        <w:t>.</w:t>
      </w:r>
    </w:p>
    <w:p w14:paraId="61B14CD1" w14:textId="79D4AD75" w:rsidR="00DD7989" w:rsidRPr="000B3D30" w:rsidRDefault="004E045D" w:rsidP="177792B3">
      <w:pPr>
        <w:numPr>
          <w:ilvl w:val="0"/>
          <w:numId w:val="70"/>
        </w:numPr>
        <w:jc w:val="both"/>
        <w:rPr>
          <w:rFonts w:ascii="Verdana" w:hAnsi="Verdana" w:cs="Arial"/>
          <w:i/>
          <w:iCs/>
          <w:sz w:val="22"/>
          <w:szCs w:val="22"/>
        </w:rPr>
      </w:pPr>
      <w:r w:rsidRPr="000B3D30">
        <w:rPr>
          <w:rFonts w:ascii="Verdana" w:hAnsi="Verdana" w:cs="Arial"/>
          <w:sz w:val="22"/>
          <w:szCs w:val="22"/>
        </w:rPr>
        <w:t>S</w:t>
      </w:r>
      <w:r w:rsidR="00DD7989" w:rsidRPr="000B3D30">
        <w:rPr>
          <w:rFonts w:ascii="Verdana" w:hAnsi="Verdana" w:cs="Arial"/>
          <w:sz w:val="22"/>
          <w:szCs w:val="22"/>
        </w:rPr>
        <w:t xml:space="preserve">e incluye la siguiente nota fin de que las entidades tengan claro que les asiste la posibilidad de solicitar garantías adicionales </w:t>
      </w:r>
      <w:r w:rsidR="701A50D9" w:rsidRPr="000B3D30">
        <w:rPr>
          <w:rFonts w:ascii="Verdana" w:hAnsi="Verdana" w:cs="Arial"/>
          <w:sz w:val="22"/>
          <w:szCs w:val="22"/>
        </w:rPr>
        <w:t>a las</w:t>
      </w:r>
      <w:r w:rsidR="00DD7989" w:rsidRPr="000B3D30">
        <w:rPr>
          <w:rFonts w:ascii="Verdana" w:hAnsi="Verdana" w:cs="Arial"/>
          <w:sz w:val="22"/>
          <w:szCs w:val="22"/>
        </w:rPr>
        <w:t xml:space="preserve"> exigidas en el Decreto 1082 de 2015, </w:t>
      </w:r>
      <w:r w:rsidR="00DD7989" w:rsidRPr="000B3D30">
        <w:rPr>
          <w:rFonts w:ascii="Verdana" w:hAnsi="Verdana" w:cs="Arial"/>
          <w:i/>
          <w:iCs/>
          <w:sz w:val="22"/>
          <w:szCs w:val="22"/>
          <w:lang w:val="es-MX"/>
        </w:rPr>
        <w:t xml:space="preserve">[La entidad podrá incluir garantías adicionales a las contempladas en este capítulo, siempre y cuando se justifique la necesidad de </w:t>
      </w:r>
      <w:proofErr w:type="gramStart"/>
      <w:r w:rsidR="00DD7989" w:rsidRPr="000B3D30">
        <w:rPr>
          <w:rFonts w:ascii="Verdana" w:hAnsi="Verdana" w:cs="Arial"/>
          <w:i/>
          <w:iCs/>
          <w:sz w:val="22"/>
          <w:szCs w:val="22"/>
          <w:lang w:val="es-MX"/>
        </w:rPr>
        <w:t>las mismas</w:t>
      </w:r>
      <w:proofErr w:type="gramEnd"/>
      <w:r w:rsidR="00DD7989" w:rsidRPr="000B3D30">
        <w:rPr>
          <w:rFonts w:ascii="Verdana" w:hAnsi="Verdana" w:cs="Arial"/>
          <w:i/>
          <w:iCs/>
          <w:sz w:val="22"/>
          <w:szCs w:val="22"/>
          <w:lang w:val="es-MX"/>
        </w:rPr>
        <w:t xml:space="preserve"> como forma de mitigar un riesgo del proceso]</w:t>
      </w:r>
      <w:r w:rsidR="00DD7989" w:rsidRPr="000B3D30">
        <w:rPr>
          <w:rFonts w:ascii="Verdana" w:hAnsi="Verdana" w:cs="Arial"/>
          <w:i/>
          <w:iCs/>
          <w:sz w:val="22"/>
          <w:szCs w:val="22"/>
        </w:rPr>
        <w:t> </w:t>
      </w:r>
    </w:p>
    <w:p w14:paraId="799F3238" w14:textId="6980E060" w:rsidR="00BA4E98" w:rsidRPr="000B3D30" w:rsidRDefault="00BA4E98" w:rsidP="00606743">
      <w:pPr>
        <w:pStyle w:val="Textoindependiente"/>
        <w:spacing w:line="276" w:lineRule="auto"/>
        <w:ind w:left="100" w:right="117"/>
        <w:jc w:val="both"/>
        <w:rPr>
          <w:rFonts w:ascii="Verdana" w:hAnsi="Verdana" w:cs="Arial"/>
          <w:sz w:val="22"/>
          <w:szCs w:val="22"/>
        </w:rPr>
      </w:pPr>
    </w:p>
    <w:p w14:paraId="4665F97F" w14:textId="2289615F" w:rsidR="00C373F9" w:rsidRDefault="00C373F9" w:rsidP="00EF041D">
      <w:pPr>
        <w:jc w:val="both"/>
        <w:rPr>
          <w:rFonts w:ascii="Verdana" w:hAnsi="Verdana" w:cs="Arial"/>
          <w:b/>
          <w:bCs/>
          <w:sz w:val="22"/>
          <w:szCs w:val="22"/>
          <w:u w:val="single"/>
        </w:rPr>
      </w:pPr>
      <w:r w:rsidRPr="00EF041D">
        <w:rPr>
          <w:rFonts w:ascii="Verdana" w:hAnsi="Verdana" w:cs="Arial"/>
          <w:b/>
          <w:bCs/>
          <w:sz w:val="22"/>
          <w:szCs w:val="22"/>
          <w:u w:val="single"/>
        </w:rPr>
        <w:lastRenderedPageBreak/>
        <w:t xml:space="preserve">Anexo Minuta del Contrato  </w:t>
      </w:r>
    </w:p>
    <w:p w14:paraId="1DA56044" w14:textId="77777777" w:rsidR="00EF041D" w:rsidRPr="00EF041D" w:rsidRDefault="00EF041D" w:rsidP="00EF041D">
      <w:pPr>
        <w:jc w:val="both"/>
        <w:rPr>
          <w:rFonts w:ascii="Verdana" w:hAnsi="Verdana" w:cs="Arial"/>
          <w:b/>
          <w:bCs/>
          <w:sz w:val="22"/>
          <w:szCs w:val="22"/>
          <w:u w:val="single"/>
        </w:rPr>
      </w:pPr>
    </w:p>
    <w:p w14:paraId="70B792EF" w14:textId="4C9F18A0" w:rsidR="001C1060" w:rsidRPr="000B3D30" w:rsidRDefault="006631AB" w:rsidP="00303AC1">
      <w:pPr>
        <w:pStyle w:val="Textoindependiente"/>
        <w:spacing w:after="0" w:line="276" w:lineRule="auto"/>
        <w:ind w:left="668" w:right="532"/>
        <w:jc w:val="both"/>
        <w:rPr>
          <w:rFonts w:ascii="Verdana" w:hAnsi="Verdana"/>
          <w:sz w:val="22"/>
          <w:szCs w:val="22"/>
        </w:rPr>
      </w:pPr>
      <w:r w:rsidRPr="000B3D30">
        <w:rPr>
          <w:rFonts w:ascii="Verdana" w:hAnsi="Verdana"/>
          <w:sz w:val="22"/>
          <w:szCs w:val="22"/>
        </w:rPr>
        <w:t xml:space="preserve">Se incluye en las obligaciones generales los relativo a que por parte del contratista se informe al estado sobre la consulta previa esto es en virtud </w:t>
      </w:r>
      <w:r w:rsidR="11254F66" w:rsidRPr="000B3D30">
        <w:rPr>
          <w:rFonts w:ascii="Verdana" w:hAnsi="Verdana"/>
          <w:sz w:val="22"/>
          <w:szCs w:val="22"/>
        </w:rPr>
        <w:t>de garantizar</w:t>
      </w:r>
      <w:r w:rsidR="001C1060" w:rsidRPr="000B3D30">
        <w:rPr>
          <w:rFonts w:ascii="Verdana" w:hAnsi="Verdana"/>
          <w:sz w:val="22"/>
          <w:szCs w:val="22"/>
        </w:rPr>
        <w:t xml:space="preserve"> el respeto a los derechos de los pueblos indígenas y tribales en todo el mundo. Su reconocimiento a nivel internacional se remonta al </w:t>
      </w:r>
      <w:r w:rsidR="001C1060" w:rsidRPr="000B3D30">
        <w:rPr>
          <w:rFonts w:ascii="Verdana" w:hAnsi="Verdana"/>
          <w:b/>
          <w:bCs/>
          <w:sz w:val="22"/>
          <w:szCs w:val="22"/>
        </w:rPr>
        <w:t>Convenio 169 de la Organización Internacional del Trabajo (OIT)</w:t>
      </w:r>
      <w:r w:rsidR="001C1060" w:rsidRPr="000B3D30">
        <w:rPr>
          <w:rFonts w:ascii="Verdana" w:hAnsi="Verdana"/>
          <w:sz w:val="22"/>
          <w:szCs w:val="22"/>
        </w:rPr>
        <w:t xml:space="preserve"> de 1989, que establece que los gobiernos deben consultar a estos pueblos antes de emprender actividades que puedan afectarles directa o indirectamente, tales como proyectos de desarrollo, explotación de recursos naturales o políticas públicas.</w:t>
      </w:r>
    </w:p>
    <w:p w14:paraId="4D5988FB" w14:textId="77777777" w:rsidR="005E7310" w:rsidRPr="000B3D30" w:rsidRDefault="005E7310" w:rsidP="00303AC1">
      <w:pPr>
        <w:pStyle w:val="Textoindependiente"/>
        <w:spacing w:after="0" w:line="276" w:lineRule="auto"/>
        <w:ind w:left="668" w:right="532"/>
        <w:jc w:val="both"/>
        <w:rPr>
          <w:rFonts w:ascii="Verdana" w:hAnsi="Verdana"/>
          <w:sz w:val="22"/>
          <w:szCs w:val="22"/>
        </w:rPr>
      </w:pPr>
    </w:p>
    <w:p w14:paraId="4D8CC24D" w14:textId="77777777" w:rsidR="001C1060" w:rsidRPr="000B3D30" w:rsidRDefault="001C1060" w:rsidP="001C1060">
      <w:pPr>
        <w:pStyle w:val="Textoindependiente"/>
        <w:spacing w:line="276" w:lineRule="auto"/>
        <w:ind w:left="668" w:right="532"/>
        <w:jc w:val="both"/>
        <w:rPr>
          <w:rFonts w:ascii="Verdana" w:hAnsi="Verdana"/>
          <w:sz w:val="22"/>
          <w:szCs w:val="22"/>
        </w:rPr>
      </w:pPr>
      <w:r w:rsidRPr="000B3D30">
        <w:rPr>
          <w:rFonts w:ascii="Verdana" w:hAnsi="Verdana"/>
          <w:sz w:val="22"/>
          <w:szCs w:val="22"/>
        </w:rPr>
        <w:t xml:space="preserve">En </w:t>
      </w:r>
      <w:r w:rsidRPr="000B3D30">
        <w:rPr>
          <w:rFonts w:ascii="Verdana" w:hAnsi="Verdana"/>
          <w:b/>
          <w:bCs/>
          <w:sz w:val="22"/>
          <w:szCs w:val="22"/>
        </w:rPr>
        <w:t>Colombia</w:t>
      </w:r>
      <w:r w:rsidRPr="000B3D30">
        <w:rPr>
          <w:rFonts w:ascii="Verdana" w:hAnsi="Verdana"/>
          <w:sz w:val="22"/>
          <w:szCs w:val="22"/>
        </w:rPr>
        <w:t xml:space="preserve">, este derecho fue incorporado a la legislación nacional a través de la </w:t>
      </w:r>
      <w:r w:rsidRPr="000B3D30">
        <w:rPr>
          <w:rFonts w:ascii="Verdana" w:hAnsi="Verdana"/>
          <w:b/>
          <w:bCs/>
          <w:sz w:val="22"/>
          <w:szCs w:val="22"/>
        </w:rPr>
        <w:t>Ley 21 de 1991</w:t>
      </w:r>
      <w:r w:rsidRPr="000B3D30">
        <w:rPr>
          <w:rFonts w:ascii="Verdana" w:hAnsi="Verdana"/>
          <w:sz w:val="22"/>
          <w:szCs w:val="22"/>
        </w:rPr>
        <w:t>, que ratifica el Convenio 169 de la OIT y lo adapta a la realidad del país. De acuerdo con esta ley, la Consulta Previa aplica a los grupos étnicos (indígenas, afrodescendientes, y comunidades tribales) y tiene como objetivo principal garantizar que sus derechos sean respetados, permitiéndoles participar activamente en las decisiones que afecten a sus territorios, recursos, y modos de vida.</w:t>
      </w:r>
    </w:p>
    <w:p w14:paraId="2C06D7F8" w14:textId="77777777" w:rsidR="001C1060" w:rsidRPr="000B3D30" w:rsidRDefault="001C1060" w:rsidP="001C1060">
      <w:pPr>
        <w:pStyle w:val="Textoindependiente"/>
        <w:spacing w:line="276" w:lineRule="auto"/>
        <w:ind w:left="668" w:right="532"/>
        <w:jc w:val="both"/>
        <w:rPr>
          <w:rFonts w:ascii="Verdana" w:hAnsi="Verdana"/>
          <w:sz w:val="22"/>
          <w:szCs w:val="22"/>
        </w:rPr>
      </w:pPr>
      <w:r w:rsidRPr="000B3D30">
        <w:rPr>
          <w:rFonts w:ascii="Verdana" w:hAnsi="Verdana"/>
          <w:sz w:val="22"/>
          <w:szCs w:val="22"/>
        </w:rPr>
        <w:t xml:space="preserve">Algunos de los aspectos más relevantes de la </w:t>
      </w:r>
      <w:r w:rsidRPr="000B3D30">
        <w:rPr>
          <w:rFonts w:ascii="Verdana" w:hAnsi="Verdana"/>
          <w:b/>
          <w:bCs/>
          <w:sz w:val="22"/>
          <w:szCs w:val="22"/>
        </w:rPr>
        <w:t>Consulta Previa</w:t>
      </w:r>
      <w:r w:rsidRPr="000B3D30">
        <w:rPr>
          <w:rFonts w:ascii="Verdana" w:hAnsi="Verdana"/>
          <w:sz w:val="22"/>
          <w:szCs w:val="22"/>
        </w:rPr>
        <w:t xml:space="preserve"> son:</w:t>
      </w:r>
    </w:p>
    <w:p w14:paraId="1D981053" w14:textId="77777777" w:rsidR="001C1060" w:rsidRPr="000B3D30" w:rsidRDefault="001C1060" w:rsidP="001C1060">
      <w:pPr>
        <w:pStyle w:val="Textoindependiente"/>
        <w:numPr>
          <w:ilvl w:val="0"/>
          <w:numId w:val="79"/>
        </w:numPr>
        <w:spacing w:line="276" w:lineRule="auto"/>
        <w:ind w:right="532"/>
        <w:jc w:val="both"/>
        <w:rPr>
          <w:rFonts w:ascii="Verdana" w:hAnsi="Verdana"/>
          <w:sz w:val="22"/>
          <w:szCs w:val="22"/>
        </w:rPr>
      </w:pPr>
      <w:r w:rsidRPr="000B3D30">
        <w:rPr>
          <w:rFonts w:ascii="Verdana" w:hAnsi="Verdana"/>
          <w:b/>
          <w:bCs/>
          <w:sz w:val="22"/>
          <w:szCs w:val="22"/>
        </w:rPr>
        <w:t>Protección de la Cultura y el Medio Ambiente</w:t>
      </w:r>
      <w:r w:rsidRPr="000B3D30">
        <w:rPr>
          <w:rFonts w:ascii="Verdana" w:hAnsi="Verdana"/>
          <w:sz w:val="22"/>
          <w:szCs w:val="22"/>
        </w:rPr>
        <w:t>: A través de la consulta, se busca evitar que las actividades propuestas pongan en riesgo la identidad cultural, el patrimonio, las tradiciones, o el entorno natural de los pueblos indígenas y tribales.</w:t>
      </w:r>
    </w:p>
    <w:p w14:paraId="6DB701B6" w14:textId="77777777" w:rsidR="001C1060" w:rsidRPr="000B3D30" w:rsidRDefault="001C1060" w:rsidP="001C1060">
      <w:pPr>
        <w:pStyle w:val="Textoindependiente"/>
        <w:numPr>
          <w:ilvl w:val="0"/>
          <w:numId w:val="79"/>
        </w:numPr>
        <w:spacing w:line="276" w:lineRule="auto"/>
        <w:ind w:right="532"/>
        <w:jc w:val="both"/>
        <w:rPr>
          <w:rFonts w:ascii="Verdana" w:hAnsi="Verdana"/>
          <w:sz w:val="22"/>
          <w:szCs w:val="22"/>
        </w:rPr>
      </w:pPr>
      <w:r w:rsidRPr="000B3D30">
        <w:rPr>
          <w:rFonts w:ascii="Verdana" w:hAnsi="Verdana"/>
          <w:b/>
          <w:bCs/>
          <w:sz w:val="22"/>
          <w:szCs w:val="22"/>
        </w:rPr>
        <w:t>Participación y Consentimiento</w:t>
      </w:r>
      <w:r w:rsidRPr="000B3D30">
        <w:rPr>
          <w:rFonts w:ascii="Verdana" w:hAnsi="Verdana"/>
          <w:sz w:val="22"/>
          <w:szCs w:val="22"/>
        </w:rPr>
        <w:t>: La consulta no se limita solo a informar a las comunidades, sino que también busca obtener su consentimiento, asegurando que las decisiones sean tomadas de manera conjunta y que se respete la autodeterminación de los pueblos.</w:t>
      </w:r>
    </w:p>
    <w:p w14:paraId="20C9A0D9" w14:textId="77777777" w:rsidR="001C1060" w:rsidRPr="000B3D30" w:rsidRDefault="001C1060" w:rsidP="001C1060">
      <w:pPr>
        <w:pStyle w:val="Textoindependiente"/>
        <w:numPr>
          <w:ilvl w:val="0"/>
          <w:numId w:val="79"/>
        </w:numPr>
        <w:spacing w:line="276" w:lineRule="auto"/>
        <w:ind w:right="532"/>
        <w:jc w:val="both"/>
        <w:rPr>
          <w:rFonts w:ascii="Verdana" w:hAnsi="Verdana"/>
          <w:sz w:val="22"/>
          <w:szCs w:val="22"/>
        </w:rPr>
      </w:pPr>
      <w:r w:rsidRPr="000B3D30">
        <w:rPr>
          <w:rFonts w:ascii="Verdana" w:hAnsi="Verdana"/>
          <w:b/>
          <w:bCs/>
          <w:sz w:val="22"/>
          <w:szCs w:val="22"/>
        </w:rPr>
        <w:t>Inclusión de Valores y Prácticas Sociales</w:t>
      </w:r>
      <w:r w:rsidRPr="000B3D30">
        <w:rPr>
          <w:rFonts w:ascii="Verdana" w:hAnsi="Verdana"/>
          <w:sz w:val="22"/>
          <w:szCs w:val="22"/>
        </w:rPr>
        <w:t>: La consulta también reconoce la importancia de las prácticas sociales, religiosas, espirituales e institucionales de estas comunidades, asegurando que se les dé un espacio para expresar sus necesidades y preocupaciones de manera libre y transparente.</w:t>
      </w:r>
    </w:p>
    <w:p w14:paraId="5177B982" w14:textId="7F453C89" w:rsidR="00CD3E44" w:rsidRPr="000B3D30" w:rsidRDefault="00CD3E44" w:rsidP="00303AC1">
      <w:pPr>
        <w:pStyle w:val="Textoindependiente"/>
        <w:spacing w:after="0" w:line="276" w:lineRule="auto"/>
        <w:ind w:right="532"/>
        <w:jc w:val="both"/>
        <w:rPr>
          <w:rFonts w:ascii="Verdana" w:hAnsi="Verdana"/>
          <w:b/>
          <w:bCs/>
          <w:i/>
          <w:iCs/>
          <w:sz w:val="22"/>
          <w:szCs w:val="22"/>
        </w:rPr>
      </w:pPr>
      <w:r w:rsidRPr="000B3D30">
        <w:rPr>
          <w:rFonts w:ascii="Verdana" w:hAnsi="Verdana"/>
          <w:sz w:val="22"/>
          <w:szCs w:val="22"/>
        </w:rPr>
        <w:lastRenderedPageBreak/>
        <w:t>El artículo 46 de la ley 1437 de 2011</w:t>
      </w:r>
      <w:r w:rsidRPr="000B3D30">
        <w:rPr>
          <w:rFonts w:ascii="Verdana" w:hAnsi="Verdana"/>
          <w:b/>
          <w:bCs/>
          <w:i/>
          <w:iCs/>
          <w:sz w:val="22"/>
          <w:szCs w:val="22"/>
        </w:rPr>
        <w:t xml:space="preserve"> </w:t>
      </w:r>
      <w:r w:rsidRPr="000B3D30">
        <w:rPr>
          <w:rFonts w:ascii="Verdana" w:hAnsi="Verdana"/>
          <w:b/>
          <w:bCs/>
          <w:sz w:val="22"/>
          <w:szCs w:val="22"/>
        </w:rPr>
        <w:t>establece:</w:t>
      </w:r>
      <w:r w:rsidRPr="000B3D30">
        <w:rPr>
          <w:rFonts w:ascii="Verdana" w:hAnsi="Verdana"/>
          <w:b/>
          <w:bCs/>
          <w:i/>
          <w:iCs/>
          <w:sz w:val="22"/>
          <w:szCs w:val="22"/>
        </w:rPr>
        <w:t xml:space="preserve"> </w:t>
      </w:r>
    </w:p>
    <w:p w14:paraId="227D714F" w14:textId="77777777" w:rsidR="00CD3E44" w:rsidRPr="000B3D30" w:rsidRDefault="00CD3E44" w:rsidP="00303AC1">
      <w:pPr>
        <w:pStyle w:val="Textoindependiente"/>
        <w:spacing w:after="0" w:line="276" w:lineRule="auto"/>
        <w:ind w:right="532"/>
        <w:jc w:val="both"/>
        <w:rPr>
          <w:rFonts w:ascii="Verdana" w:hAnsi="Verdana"/>
          <w:b/>
          <w:bCs/>
          <w:i/>
          <w:iCs/>
          <w:sz w:val="22"/>
          <w:szCs w:val="22"/>
        </w:rPr>
      </w:pPr>
    </w:p>
    <w:p w14:paraId="794FD3F9" w14:textId="7274A788" w:rsidR="00CD3E44" w:rsidRPr="000B3D30" w:rsidRDefault="00CD3E44" w:rsidP="00303AC1">
      <w:pPr>
        <w:pStyle w:val="Textoindependiente"/>
        <w:spacing w:after="0" w:line="276" w:lineRule="auto"/>
        <w:ind w:right="532"/>
        <w:jc w:val="both"/>
        <w:rPr>
          <w:rFonts w:ascii="Verdana" w:hAnsi="Verdana"/>
          <w:i/>
          <w:iCs/>
          <w:sz w:val="22"/>
          <w:szCs w:val="22"/>
        </w:rPr>
      </w:pPr>
      <w:r w:rsidRPr="000B3D30">
        <w:rPr>
          <w:rFonts w:ascii="Verdana" w:hAnsi="Verdana"/>
          <w:b/>
          <w:bCs/>
          <w:i/>
          <w:iCs/>
          <w:sz w:val="22"/>
          <w:szCs w:val="22"/>
        </w:rPr>
        <w:t>“</w:t>
      </w:r>
      <w:r w:rsidRPr="000B3D30">
        <w:rPr>
          <w:rFonts w:ascii="Verdana" w:hAnsi="Verdana"/>
          <w:i/>
          <w:iCs/>
          <w:sz w:val="22"/>
          <w:szCs w:val="22"/>
        </w:rPr>
        <w:t>Cuando la Constitución o la ley ordenen la realización de una consulta previa a la adopción de una decisión administrativa, dicha consulta deberá realizarse dentro de los términos señalados en las normas respectivas, so pena de nulidad de la decisión que se llegare a adoptar”</w:t>
      </w:r>
    </w:p>
    <w:p w14:paraId="571D019B" w14:textId="77777777" w:rsidR="00CD3E44" w:rsidRPr="000B3D30" w:rsidRDefault="00CD3E44" w:rsidP="0075361B">
      <w:pPr>
        <w:pStyle w:val="Textoindependiente"/>
        <w:spacing w:line="276" w:lineRule="auto"/>
        <w:ind w:right="532"/>
        <w:jc w:val="both"/>
        <w:rPr>
          <w:rFonts w:ascii="Verdana" w:hAnsi="Verdana"/>
          <w:sz w:val="22"/>
          <w:szCs w:val="22"/>
        </w:rPr>
      </w:pPr>
    </w:p>
    <w:p w14:paraId="4C5811CF" w14:textId="28A846EA" w:rsidR="00BA4E98" w:rsidRPr="000B3D30" w:rsidRDefault="00CD3E44" w:rsidP="00E52FE1">
      <w:pPr>
        <w:pStyle w:val="Textoindependiente"/>
        <w:spacing w:line="276" w:lineRule="auto"/>
        <w:ind w:right="532"/>
        <w:jc w:val="both"/>
        <w:rPr>
          <w:rFonts w:ascii="Verdana" w:hAnsi="Verdana"/>
          <w:sz w:val="22"/>
          <w:szCs w:val="22"/>
        </w:rPr>
      </w:pPr>
      <w:r w:rsidRPr="000B3D30">
        <w:rPr>
          <w:rFonts w:ascii="Verdana" w:hAnsi="Verdana"/>
          <w:sz w:val="22"/>
          <w:szCs w:val="22"/>
        </w:rPr>
        <w:t xml:space="preserve">Por su parte la </w:t>
      </w:r>
      <w:r w:rsidR="0075361B" w:rsidRPr="000B3D30">
        <w:rPr>
          <w:rFonts w:ascii="Verdana" w:hAnsi="Verdana"/>
          <w:sz w:val="22"/>
          <w:szCs w:val="22"/>
        </w:rPr>
        <w:t xml:space="preserve">Directiva Presidencial 01 de 2010 </w:t>
      </w:r>
      <w:r w:rsidR="00E52FE1" w:rsidRPr="000B3D30">
        <w:rPr>
          <w:rFonts w:ascii="Verdana" w:hAnsi="Verdana"/>
          <w:sz w:val="22"/>
          <w:szCs w:val="22"/>
        </w:rPr>
        <w:tab/>
        <w:t>por medio del cual se garantiza el derecho fundamental a la consulta previa de los grupos étnicos nacionales.</w:t>
      </w:r>
    </w:p>
    <w:p w14:paraId="08406647" w14:textId="5C56A72A" w:rsidR="00531AB6" w:rsidRPr="000B3D30" w:rsidRDefault="00531AB6" w:rsidP="00531AB6">
      <w:pPr>
        <w:numPr>
          <w:ilvl w:val="0"/>
          <w:numId w:val="70"/>
        </w:numPr>
        <w:jc w:val="both"/>
        <w:rPr>
          <w:rFonts w:ascii="Verdana" w:hAnsi="Verdana" w:cs="Arial"/>
          <w:sz w:val="22"/>
          <w:szCs w:val="22"/>
        </w:rPr>
      </w:pPr>
      <w:r w:rsidRPr="000B3D30">
        <w:rPr>
          <w:rFonts w:ascii="Verdana" w:hAnsi="Verdana" w:cs="Arial"/>
          <w:sz w:val="22"/>
          <w:szCs w:val="22"/>
        </w:rPr>
        <w:t xml:space="preserve">Se ajustan las obligaciones específicas del contratista en el Anexo </w:t>
      </w:r>
      <w:r w:rsidR="001C0112">
        <w:rPr>
          <w:rFonts w:ascii="Verdana" w:hAnsi="Verdana" w:cs="Arial"/>
          <w:sz w:val="22"/>
          <w:szCs w:val="22"/>
        </w:rPr>
        <w:t>5</w:t>
      </w:r>
      <w:r w:rsidRPr="000B3D30">
        <w:rPr>
          <w:rFonts w:ascii="Verdana" w:hAnsi="Verdana" w:cs="Arial"/>
          <w:sz w:val="22"/>
          <w:szCs w:val="22"/>
        </w:rPr>
        <w:t xml:space="preserve"> – Minuta del Contrato, a fin de incluir obligaciones contractuales relacionadas con el cumplimiento de los factores </w:t>
      </w:r>
      <w:r w:rsidR="004E045D" w:rsidRPr="000B3D30">
        <w:rPr>
          <w:rFonts w:ascii="Verdana" w:hAnsi="Verdana" w:cs="Arial"/>
          <w:sz w:val="22"/>
          <w:szCs w:val="22"/>
        </w:rPr>
        <w:t>sociales</w:t>
      </w:r>
      <w:r w:rsidRPr="000B3D30">
        <w:rPr>
          <w:rFonts w:ascii="Verdana" w:hAnsi="Verdana" w:cs="Arial"/>
          <w:sz w:val="22"/>
          <w:szCs w:val="22"/>
        </w:rPr>
        <w:t xml:space="preserve"> que se incluyen en el documento base.</w:t>
      </w:r>
      <w:r w:rsidR="004E045D" w:rsidRPr="000B3D30">
        <w:rPr>
          <w:rFonts w:ascii="Verdana" w:hAnsi="Verdana" w:cs="Arial"/>
          <w:sz w:val="22"/>
          <w:szCs w:val="22"/>
        </w:rPr>
        <w:br/>
      </w:r>
    </w:p>
    <w:p w14:paraId="5C3DE160" w14:textId="53D86213" w:rsidR="00126FA2" w:rsidRPr="000B3D30" w:rsidRDefault="004E045D" w:rsidP="000539AC">
      <w:pPr>
        <w:jc w:val="both"/>
        <w:rPr>
          <w:rFonts w:ascii="Verdana" w:hAnsi="Verdana" w:cs="Arial"/>
          <w:i/>
          <w:iCs/>
          <w:sz w:val="22"/>
          <w:szCs w:val="22"/>
        </w:rPr>
      </w:pPr>
      <w:r w:rsidRPr="000B3D30">
        <w:rPr>
          <w:rFonts w:ascii="Verdana" w:hAnsi="Verdana" w:cs="Arial"/>
          <w:sz w:val="22"/>
          <w:szCs w:val="22"/>
        </w:rPr>
        <w:t xml:space="preserve">Para los factores sociales es importante recordar que, </w:t>
      </w:r>
      <w:r w:rsidR="00126FA2" w:rsidRPr="000B3D30">
        <w:rPr>
          <w:rFonts w:ascii="Verdana" w:hAnsi="Verdana" w:cs="Arial"/>
          <w:sz w:val="22"/>
          <w:szCs w:val="22"/>
        </w:rPr>
        <w:t xml:space="preserve"> mediante la Ley 2294 de 2023</w:t>
      </w:r>
      <w:r w:rsidR="00126FA2" w:rsidRPr="000B3D30">
        <w:rPr>
          <w:rFonts w:ascii="Verdana" w:hAnsi="Verdana" w:cs="Arial"/>
          <w:i/>
          <w:iCs/>
          <w:sz w:val="22"/>
          <w:szCs w:val="22"/>
        </w:rPr>
        <w:t xml:space="preserve"> “Por el cual se expide el Plan Nacional de Desarrollo 2022-2026 "Colombia Potencia Mundial de la Vida” se modificó el artículo 4 del Decreto Ley 4138 de 2011, estableciendo que el objeto de la ARN es el de “gestionar, implementar, coordinar y evaluar, de forma articulada con las entidades e instancias competentes, las políticas de inclusión en la vida civil en el marco de los programas de reinserción, reintegración, reincorporación y de sometimiento o sujeción a la justicia de exintegrantes de grupos armados organizados, estructuras armadas organizadas de alto impacto, así como de las diseñadas para el acompañamiento a miembros activos y retirados de la Fuerza Pública que se encuentren sometidos y cumpliendo con las obligaciones derivadas del régimen de condicionalidad de la Jurisdicción Especial para la Paz, con el fin de promover la construcción de la paz, la seguridad humana y la reconciliación.”</w:t>
      </w:r>
    </w:p>
    <w:p w14:paraId="1C9EA761" w14:textId="77777777" w:rsidR="00AB2AFC" w:rsidRPr="000B3D30" w:rsidRDefault="00AB2AFC" w:rsidP="000539AC">
      <w:pPr>
        <w:jc w:val="both"/>
        <w:rPr>
          <w:rFonts w:ascii="Verdana" w:hAnsi="Verdana" w:cs="Arial"/>
          <w:i/>
          <w:iCs/>
          <w:sz w:val="22"/>
          <w:szCs w:val="22"/>
        </w:rPr>
      </w:pPr>
    </w:p>
    <w:p w14:paraId="0262AF0A" w14:textId="77777777" w:rsidR="008B23E2" w:rsidRPr="000B3D30" w:rsidRDefault="008B23E2" w:rsidP="000539AC">
      <w:pPr>
        <w:jc w:val="both"/>
        <w:rPr>
          <w:rFonts w:ascii="Verdana" w:hAnsi="Verdana" w:cs="Arial"/>
          <w:i/>
          <w:iCs/>
          <w:sz w:val="22"/>
          <w:szCs w:val="22"/>
        </w:rPr>
      </w:pPr>
    </w:p>
    <w:p w14:paraId="56FE2BE5" w14:textId="3635F096" w:rsidR="008B23E2" w:rsidRPr="000B3D30" w:rsidRDefault="008B23E2" w:rsidP="000539AC">
      <w:pPr>
        <w:jc w:val="both"/>
        <w:rPr>
          <w:rFonts w:ascii="Verdana" w:hAnsi="Verdana" w:cs="Arial"/>
          <w:i/>
          <w:iCs/>
          <w:sz w:val="22"/>
          <w:szCs w:val="22"/>
        </w:rPr>
      </w:pPr>
      <w:r w:rsidRPr="000B3D30">
        <w:rPr>
          <w:rFonts w:ascii="Verdana" w:hAnsi="Verdana" w:cs="Arial"/>
          <w:i/>
          <w:iCs/>
          <w:sz w:val="22"/>
          <w:szCs w:val="22"/>
        </w:rPr>
        <w:t>Que el artículo 2.3.2.6.1 del Decreto 1081 de 2015 señala que “De conformidad con el artículo 3 del Decreto Ley 897 de 2017, modificado por el artículo 20 de la Ley 2294 de 2023, el Programa de Reincorporación Integral está dirigido a generar capacidades en sujetos y colectivos en proceso de reincorporación social, económica y comunitaria, orientadas hacia el alcance del buen vivir y la construcción de paz, por medio del acceso y goce efectivo de derechos, la vinculación a la oferta pública y el impulso de sus iniciativas contando para el efecto con las líneas transversales definidas en el artículo 2.3.2.6.1.1. del presente decreto y los principios que rigen el Sistema Nacional de Reincorporación establecidos en el presente Capítulo”</w:t>
      </w:r>
    </w:p>
    <w:p w14:paraId="78E99FF0" w14:textId="77777777" w:rsidR="008B23E2" w:rsidRPr="000B3D30" w:rsidRDefault="008B23E2" w:rsidP="000539AC">
      <w:pPr>
        <w:jc w:val="both"/>
        <w:rPr>
          <w:rFonts w:ascii="Verdana" w:hAnsi="Verdana" w:cs="Arial"/>
          <w:i/>
          <w:iCs/>
          <w:sz w:val="22"/>
          <w:szCs w:val="22"/>
        </w:rPr>
      </w:pPr>
    </w:p>
    <w:p w14:paraId="4835C48B" w14:textId="77777777" w:rsidR="008B23E2" w:rsidRPr="000B3D30" w:rsidRDefault="008B23E2" w:rsidP="000539AC">
      <w:pPr>
        <w:jc w:val="both"/>
        <w:rPr>
          <w:rFonts w:ascii="Verdana" w:hAnsi="Verdana" w:cs="Arial"/>
          <w:i/>
          <w:iCs/>
          <w:sz w:val="22"/>
          <w:szCs w:val="22"/>
        </w:rPr>
      </w:pPr>
    </w:p>
    <w:p w14:paraId="7E02E134" w14:textId="49F549CA" w:rsidR="00055B4C" w:rsidRDefault="00055B4C" w:rsidP="000539AC">
      <w:pPr>
        <w:jc w:val="both"/>
        <w:rPr>
          <w:rFonts w:ascii="Verdana" w:hAnsi="Verdana" w:cs="Arial"/>
          <w:sz w:val="22"/>
          <w:szCs w:val="22"/>
        </w:rPr>
      </w:pPr>
      <w:r w:rsidRPr="000B3D30">
        <w:rPr>
          <w:rFonts w:ascii="Verdana" w:hAnsi="Verdana" w:cs="Arial"/>
          <w:sz w:val="22"/>
          <w:szCs w:val="22"/>
        </w:rPr>
        <w:t>“En Colombia, según la Agencia Colombiana para la Reintegración (ACR),</w:t>
      </w:r>
      <w:r w:rsidR="00433672" w:rsidRPr="000B3D30">
        <w:rPr>
          <w:rFonts w:ascii="Verdana" w:hAnsi="Verdana" w:cs="Arial"/>
          <w:sz w:val="22"/>
          <w:szCs w:val="22"/>
        </w:rPr>
        <w:t xml:space="preserve"> para el mes de octubre de 2024</w:t>
      </w:r>
      <w:r w:rsidRPr="000B3D30">
        <w:rPr>
          <w:rFonts w:ascii="Verdana" w:hAnsi="Verdana" w:cs="Arial"/>
          <w:sz w:val="22"/>
          <w:szCs w:val="22"/>
        </w:rPr>
        <w:t xml:space="preserve"> existen </w:t>
      </w:r>
      <w:r w:rsidR="001D0EA9" w:rsidRPr="000B3D30">
        <w:rPr>
          <w:rFonts w:ascii="Verdana" w:hAnsi="Verdana" w:cs="Arial"/>
          <w:sz w:val="22"/>
          <w:szCs w:val="22"/>
        </w:rPr>
        <w:t>27.995 han culminado</w:t>
      </w:r>
      <w:r w:rsidR="00433672" w:rsidRPr="000B3D30">
        <w:rPr>
          <w:rFonts w:ascii="Verdana" w:hAnsi="Verdana" w:cs="Arial"/>
          <w:sz w:val="22"/>
          <w:szCs w:val="22"/>
        </w:rPr>
        <w:t xml:space="preserve"> el proceso de reintegración</w:t>
      </w:r>
      <w:r w:rsidRPr="000B3D30">
        <w:rPr>
          <w:rFonts w:ascii="Verdana" w:hAnsi="Verdana" w:cs="Arial"/>
          <w:sz w:val="22"/>
          <w:szCs w:val="22"/>
        </w:rPr>
        <w:t>, de las cuales</w:t>
      </w:r>
      <w:r w:rsidR="00A97F8F" w:rsidRPr="000B3D30">
        <w:rPr>
          <w:rFonts w:ascii="Verdana" w:hAnsi="Verdana" w:cs="Arial"/>
          <w:sz w:val="22"/>
          <w:szCs w:val="22"/>
        </w:rPr>
        <w:t xml:space="preserve"> el 72% cuentan</w:t>
      </w:r>
      <w:r w:rsidR="00C633E6" w:rsidRPr="000B3D30">
        <w:rPr>
          <w:rFonts w:ascii="Verdana" w:hAnsi="Verdana" w:cs="Arial"/>
          <w:sz w:val="22"/>
          <w:szCs w:val="22"/>
        </w:rPr>
        <w:t xml:space="preserve"> con formación para el trabajo</w:t>
      </w:r>
      <w:r w:rsidRPr="000B3D30">
        <w:rPr>
          <w:rFonts w:ascii="Verdana" w:hAnsi="Verdana" w:cs="Arial"/>
          <w:sz w:val="22"/>
          <w:szCs w:val="22"/>
        </w:rPr>
        <w:t>. En cuanto a la participación empresarial, solo se han vinculado al proceso 115 empresas, en modalidades como empleo, capacitación y financiación de proyectos. Esta cifra no se acerca ni al 10 % de las 63.504 empresas constituidas en nuestro país ni a sectores como ~ 26 ~ la construcción (12,9 % del total de las empresas legalmente formadas), donde la mano de obra es vital.” (Subrayado fuera de texto) (J.A. M. Q.).</w:t>
      </w:r>
    </w:p>
    <w:p w14:paraId="7881E419" w14:textId="77777777" w:rsidR="00795A65" w:rsidRDefault="00795A65" w:rsidP="000539AC">
      <w:pPr>
        <w:jc w:val="both"/>
        <w:rPr>
          <w:rFonts w:ascii="Verdana" w:hAnsi="Verdana" w:cs="Arial"/>
          <w:sz w:val="22"/>
          <w:szCs w:val="22"/>
        </w:rPr>
      </w:pPr>
    </w:p>
    <w:p w14:paraId="679D50FD" w14:textId="6D270572" w:rsidR="00A0682A" w:rsidRPr="000B3D30" w:rsidRDefault="00795A65" w:rsidP="00795A65">
      <w:pPr>
        <w:pStyle w:val="Descripcin"/>
        <w:jc w:val="center"/>
        <w:rPr>
          <w:rFonts w:ascii="Verdana" w:hAnsi="Verdana" w:cs="Arial"/>
          <w:sz w:val="22"/>
          <w:szCs w:val="22"/>
        </w:rPr>
      </w:pPr>
      <w:bookmarkStart w:id="339" w:name="_Toc231368800"/>
      <w:r w:rsidRPr="00795A65">
        <w:rPr>
          <w:rFonts w:ascii="Verdana" w:hAnsi="Verdana"/>
          <w:sz w:val="22"/>
          <w:szCs w:val="22"/>
        </w:rPr>
        <w:t xml:space="preserve">Gráfica </w:t>
      </w:r>
      <w:r w:rsidRPr="00795A65">
        <w:rPr>
          <w:rFonts w:ascii="Verdana" w:hAnsi="Verdana"/>
          <w:sz w:val="22"/>
          <w:szCs w:val="22"/>
        </w:rPr>
        <w:fldChar w:fldCharType="begin"/>
      </w:r>
      <w:r w:rsidRPr="00795A65">
        <w:rPr>
          <w:rFonts w:ascii="Verdana" w:hAnsi="Verdana"/>
          <w:sz w:val="22"/>
          <w:szCs w:val="22"/>
        </w:rPr>
        <w:instrText xml:space="preserve"> SEQ Gráfica \* ARABIC </w:instrText>
      </w:r>
      <w:r w:rsidRPr="00795A65">
        <w:rPr>
          <w:rFonts w:ascii="Verdana" w:hAnsi="Verdana"/>
          <w:sz w:val="22"/>
          <w:szCs w:val="22"/>
        </w:rPr>
        <w:fldChar w:fldCharType="separate"/>
      </w:r>
      <w:r w:rsidR="00973CF5">
        <w:rPr>
          <w:rFonts w:ascii="Verdana" w:hAnsi="Verdana"/>
          <w:noProof/>
          <w:sz w:val="22"/>
          <w:szCs w:val="22"/>
        </w:rPr>
        <w:t>25</w:t>
      </w:r>
      <w:r w:rsidRPr="00795A65">
        <w:rPr>
          <w:rFonts w:ascii="Verdana" w:hAnsi="Verdana"/>
          <w:sz w:val="22"/>
          <w:szCs w:val="22"/>
        </w:rPr>
        <w:fldChar w:fldCharType="end"/>
      </w:r>
      <w:r w:rsidRPr="00795A65">
        <w:rPr>
          <w:rFonts w:ascii="Verdana" w:hAnsi="Verdana"/>
          <w:sz w:val="22"/>
          <w:szCs w:val="22"/>
        </w:rPr>
        <w:t>. ARN en Cifras</w:t>
      </w:r>
      <w:bookmarkEnd w:id="339"/>
    </w:p>
    <w:p w14:paraId="35764F08" w14:textId="4D56D283" w:rsidR="00A0682A" w:rsidRPr="000B3D30" w:rsidRDefault="00A0682A" w:rsidP="000539AC">
      <w:pPr>
        <w:jc w:val="both"/>
        <w:rPr>
          <w:rFonts w:ascii="Verdana" w:hAnsi="Verdana" w:cs="Arial"/>
          <w:sz w:val="22"/>
          <w:szCs w:val="22"/>
        </w:rPr>
      </w:pPr>
      <w:r w:rsidRPr="000B3D30">
        <w:rPr>
          <w:rFonts w:ascii="Verdana" w:hAnsi="Verdana" w:cs="Arial"/>
          <w:noProof/>
          <w:sz w:val="22"/>
          <w:szCs w:val="22"/>
        </w:rPr>
        <w:drawing>
          <wp:inline distT="0" distB="0" distL="0" distR="0" wp14:anchorId="16D6CAE7" wp14:editId="54382284">
            <wp:extent cx="5669065" cy="3171899"/>
            <wp:effectExtent l="0" t="0" r="8255" b="0"/>
            <wp:docPr id="856143633" name="Imagen 1" descr="Interfaz de usuario gráfica, Texto,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43633" name="Imagen 1" descr="Interfaz de usuario gráfica, Texto, Correo electrónico&#10;&#10;Descripción generada automáticamente"/>
                    <pic:cNvPicPr/>
                  </pic:nvPicPr>
                  <pic:blipFill rotWithShape="1">
                    <a:blip r:embed="rId39"/>
                    <a:srcRect l="15006" t="27624" r="16851" b="-947"/>
                    <a:stretch>
                      <a:fillRect/>
                    </a:stretch>
                  </pic:blipFill>
                  <pic:spPr bwMode="auto">
                    <a:xfrm>
                      <a:off x="0" y="0"/>
                      <a:ext cx="5709541" cy="3194546"/>
                    </a:xfrm>
                    <a:prstGeom prst="rect">
                      <a:avLst/>
                    </a:prstGeom>
                    <a:ln>
                      <a:noFill/>
                    </a:ln>
                    <a:extLst>
                      <a:ext uri="{53640926-AAD7-44D8-BBD7-CCE9431645EC}">
                        <a14:shadowObscured xmlns:a14="http://schemas.microsoft.com/office/drawing/2010/main"/>
                      </a:ext>
                    </a:extLst>
                  </pic:spPr>
                </pic:pic>
              </a:graphicData>
            </a:graphic>
          </wp:inline>
        </w:drawing>
      </w:r>
    </w:p>
    <w:p w14:paraId="585C1EF5" w14:textId="77777777" w:rsidR="00F315AD" w:rsidRPr="000B3D30" w:rsidRDefault="00F315AD" w:rsidP="000539AC">
      <w:pPr>
        <w:jc w:val="both"/>
        <w:rPr>
          <w:rFonts w:ascii="Verdana" w:hAnsi="Verdana" w:cs="Arial"/>
          <w:i/>
          <w:iCs/>
          <w:sz w:val="22"/>
          <w:szCs w:val="22"/>
        </w:rPr>
      </w:pPr>
    </w:p>
    <w:p w14:paraId="1F5807FE" w14:textId="56450FC8" w:rsidR="00F315AD" w:rsidRPr="00EF041D" w:rsidRDefault="00841CC0" w:rsidP="00EF041D">
      <w:pPr>
        <w:jc w:val="center"/>
        <w:rPr>
          <w:rFonts w:ascii="Verdana" w:hAnsi="Verdana" w:cs="Arial"/>
          <w:sz w:val="22"/>
          <w:szCs w:val="22"/>
        </w:rPr>
      </w:pPr>
      <w:r w:rsidRPr="00EF041D">
        <w:rPr>
          <w:rFonts w:ascii="Verdana" w:hAnsi="Verdana" w:cs="Arial"/>
          <w:sz w:val="22"/>
          <w:szCs w:val="22"/>
        </w:rPr>
        <w:t xml:space="preserve">Fuente </w:t>
      </w:r>
      <w:r w:rsidR="00DA662E" w:rsidRPr="00EF041D">
        <w:rPr>
          <w:rFonts w:ascii="Verdana" w:hAnsi="Verdana" w:cs="Arial"/>
          <w:sz w:val="22"/>
          <w:szCs w:val="22"/>
        </w:rPr>
        <w:t>página</w:t>
      </w:r>
      <w:r w:rsidRPr="00EF041D">
        <w:rPr>
          <w:rFonts w:ascii="Verdana" w:hAnsi="Verdana" w:cs="Arial"/>
          <w:sz w:val="22"/>
          <w:szCs w:val="22"/>
        </w:rPr>
        <w:t xml:space="preserve"> </w:t>
      </w:r>
      <w:hyperlink r:id="rId40" w:history="1">
        <w:r w:rsidR="008478AA" w:rsidRPr="00EF041D">
          <w:rPr>
            <w:rStyle w:val="Hipervnculo"/>
            <w:rFonts w:ascii="Verdana" w:hAnsi="Verdana" w:cs="Arial"/>
            <w:sz w:val="22"/>
            <w:szCs w:val="22"/>
          </w:rPr>
          <w:t>https://www.reincorporacion.gov.co/es</w:t>
        </w:r>
      </w:hyperlink>
    </w:p>
    <w:p w14:paraId="48F04DB6" w14:textId="77777777" w:rsidR="008478AA" w:rsidRPr="000B3D30" w:rsidRDefault="008478AA" w:rsidP="000539AC">
      <w:pPr>
        <w:jc w:val="both"/>
        <w:rPr>
          <w:rFonts w:ascii="Verdana" w:hAnsi="Verdana" w:cs="Arial"/>
          <w:i/>
          <w:iCs/>
          <w:sz w:val="22"/>
          <w:szCs w:val="22"/>
        </w:rPr>
      </w:pPr>
    </w:p>
    <w:p w14:paraId="2F9BC0F2" w14:textId="16313FA5" w:rsidR="001A7711" w:rsidRPr="000B3D30" w:rsidRDefault="007C404B" w:rsidP="001A7711">
      <w:pPr>
        <w:jc w:val="both"/>
        <w:rPr>
          <w:rFonts w:ascii="Verdana" w:hAnsi="Verdana" w:cs="Arial"/>
          <w:sz w:val="22"/>
          <w:szCs w:val="22"/>
        </w:rPr>
      </w:pPr>
      <w:r w:rsidRPr="000B3D30">
        <w:rPr>
          <w:rFonts w:ascii="Verdana" w:hAnsi="Verdana" w:cs="Arial"/>
          <w:b/>
          <w:bCs/>
          <w:sz w:val="22"/>
          <w:szCs w:val="22"/>
        </w:rPr>
        <w:t xml:space="preserve">Como se puede observar </w:t>
      </w:r>
      <w:r w:rsidRPr="000B3D30">
        <w:rPr>
          <w:rFonts w:ascii="Verdana" w:hAnsi="Verdana" w:cs="Arial"/>
          <w:sz w:val="22"/>
          <w:szCs w:val="22"/>
        </w:rPr>
        <w:t>e</w:t>
      </w:r>
      <w:r w:rsidR="00F315AD" w:rsidRPr="000B3D30">
        <w:rPr>
          <w:rFonts w:ascii="Verdana" w:hAnsi="Verdana" w:cs="Arial"/>
          <w:sz w:val="22"/>
          <w:szCs w:val="22"/>
        </w:rPr>
        <w:t xml:space="preserve">l proceso de reintegración a la vida civil de </w:t>
      </w:r>
      <w:r w:rsidR="00B33607" w:rsidRPr="000B3D30">
        <w:rPr>
          <w:rFonts w:ascii="Verdana" w:hAnsi="Verdana" w:cs="Arial"/>
          <w:sz w:val="22"/>
          <w:szCs w:val="22"/>
        </w:rPr>
        <w:t xml:space="preserve">dichas personas, </w:t>
      </w:r>
      <w:r w:rsidR="00B85FC8" w:rsidRPr="000B3D30">
        <w:rPr>
          <w:rFonts w:ascii="Verdana" w:hAnsi="Verdana" w:cs="Arial"/>
          <w:sz w:val="22"/>
          <w:szCs w:val="22"/>
        </w:rPr>
        <w:t xml:space="preserve">las cuales y de acuerdo con los reportes de la </w:t>
      </w:r>
      <w:r w:rsidR="001C1FD8" w:rsidRPr="000B3D30">
        <w:rPr>
          <w:rFonts w:ascii="Verdana" w:hAnsi="Verdana" w:cs="Arial"/>
          <w:sz w:val="22"/>
          <w:szCs w:val="22"/>
        </w:rPr>
        <w:t>ARN el</w:t>
      </w:r>
      <w:r w:rsidR="00B85FC8" w:rsidRPr="000B3D30">
        <w:rPr>
          <w:rFonts w:ascii="Verdana" w:hAnsi="Verdana" w:cs="Arial"/>
          <w:sz w:val="22"/>
          <w:szCs w:val="22"/>
        </w:rPr>
        <w:t xml:space="preserve"> 72 % de la población </w:t>
      </w:r>
      <w:r w:rsidR="001C1FD8" w:rsidRPr="000B3D30">
        <w:rPr>
          <w:rFonts w:ascii="Verdana" w:hAnsi="Verdana" w:cs="Arial"/>
          <w:sz w:val="22"/>
          <w:szCs w:val="22"/>
        </w:rPr>
        <w:t xml:space="preserve">cuanta con formación laboral de ahí la </w:t>
      </w:r>
      <w:r w:rsidR="00AB2AFC" w:rsidRPr="000B3D30">
        <w:rPr>
          <w:rFonts w:ascii="Verdana" w:hAnsi="Verdana" w:cs="Arial"/>
          <w:sz w:val="22"/>
          <w:szCs w:val="22"/>
        </w:rPr>
        <w:t>necesidad de</w:t>
      </w:r>
      <w:r w:rsidR="001C1FD8" w:rsidRPr="000B3D30">
        <w:rPr>
          <w:rFonts w:ascii="Verdana" w:hAnsi="Verdana" w:cs="Arial"/>
          <w:sz w:val="22"/>
          <w:szCs w:val="22"/>
        </w:rPr>
        <w:t xml:space="preserve"> reforzar,</w:t>
      </w:r>
      <w:r w:rsidR="001A7711" w:rsidRPr="000B3D30">
        <w:rPr>
          <w:rFonts w:ascii="Verdana" w:hAnsi="Verdana" w:cs="Arial"/>
          <w:sz w:val="22"/>
          <w:szCs w:val="22"/>
        </w:rPr>
        <w:t xml:space="preserve"> Este compromiso es esencial para mejorar las condiciones de vida y ofrecer mayores oportunidades laborales </w:t>
      </w:r>
      <w:r w:rsidR="001A7711" w:rsidRPr="000B3D30">
        <w:rPr>
          <w:rFonts w:ascii="Verdana" w:hAnsi="Verdana" w:cs="Arial"/>
          <w:sz w:val="22"/>
          <w:szCs w:val="22"/>
        </w:rPr>
        <w:lastRenderedPageBreak/>
        <w:t>a estas personas.</w:t>
      </w:r>
      <w:r w:rsidR="00934882" w:rsidRPr="000B3D30">
        <w:rPr>
          <w:rFonts w:ascii="Verdana" w:hAnsi="Verdana" w:cs="Arial"/>
          <w:sz w:val="22"/>
          <w:szCs w:val="22"/>
        </w:rPr>
        <w:t xml:space="preserve"> </w:t>
      </w:r>
      <w:r w:rsidR="001A7711" w:rsidRPr="000B3D30">
        <w:rPr>
          <w:rFonts w:ascii="Verdana" w:hAnsi="Verdana" w:cs="Arial"/>
          <w:sz w:val="22"/>
          <w:szCs w:val="22"/>
        </w:rPr>
        <w:t xml:space="preserve">más allá de una mera obligación contractual la participación de dicho personal en los entornos de empleabilidad en Colombia </w:t>
      </w:r>
    </w:p>
    <w:p w14:paraId="05078625" w14:textId="77777777" w:rsidR="001A7711" w:rsidRPr="000B3D30" w:rsidRDefault="001A7711" w:rsidP="001A7711">
      <w:pPr>
        <w:jc w:val="both"/>
        <w:rPr>
          <w:rFonts w:ascii="Verdana" w:hAnsi="Verdana" w:cs="Arial"/>
          <w:b/>
          <w:bCs/>
          <w:sz w:val="22"/>
          <w:szCs w:val="22"/>
        </w:rPr>
      </w:pPr>
    </w:p>
    <w:p w14:paraId="54D94E40" w14:textId="77777777" w:rsidR="001A7711" w:rsidRPr="000B3D30" w:rsidRDefault="001A7711" w:rsidP="00F315AD">
      <w:pPr>
        <w:jc w:val="both"/>
        <w:rPr>
          <w:rFonts w:ascii="Verdana" w:hAnsi="Verdana" w:cs="Arial"/>
          <w:sz w:val="22"/>
          <w:szCs w:val="22"/>
        </w:rPr>
      </w:pPr>
    </w:p>
    <w:p w14:paraId="560AE097" w14:textId="0362A95F" w:rsidR="00F315AD" w:rsidRPr="000B3D30" w:rsidRDefault="009D1666" w:rsidP="00F315AD">
      <w:pPr>
        <w:jc w:val="both"/>
        <w:rPr>
          <w:rFonts w:ascii="Verdana" w:hAnsi="Verdana" w:cs="Arial"/>
          <w:sz w:val="22"/>
          <w:szCs w:val="22"/>
        </w:rPr>
      </w:pPr>
      <w:r w:rsidRPr="000B3D30">
        <w:rPr>
          <w:rFonts w:ascii="Verdana" w:hAnsi="Verdana" w:cs="Arial"/>
          <w:sz w:val="22"/>
          <w:szCs w:val="22"/>
        </w:rPr>
        <w:t xml:space="preserve">De acuerdo con la Resolución </w:t>
      </w:r>
      <w:r w:rsidR="00275C12" w:rsidRPr="000B3D30">
        <w:rPr>
          <w:rFonts w:ascii="Verdana" w:hAnsi="Verdana" w:cs="Arial"/>
          <w:sz w:val="22"/>
          <w:szCs w:val="22"/>
        </w:rPr>
        <w:t>2319 del 2024</w:t>
      </w:r>
      <w:r w:rsidR="007B2A12" w:rsidRPr="000B3D30">
        <w:rPr>
          <w:rFonts w:ascii="Verdana" w:hAnsi="Verdana"/>
        </w:rPr>
        <w:t xml:space="preserve"> </w:t>
      </w:r>
      <w:r w:rsidR="007B2A12" w:rsidRPr="000B3D30">
        <w:rPr>
          <w:rFonts w:ascii="Verdana" w:hAnsi="Verdana" w:cs="Arial"/>
          <w:sz w:val="22"/>
          <w:szCs w:val="22"/>
        </w:rPr>
        <w:t xml:space="preserve">Por la cual se regula el Programa de Reincorporación Integral -PRI-, se establecen lineamientos necesarios para su implementación y se dictan otras disposiciones </w:t>
      </w:r>
      <w:r w:rsidR="00F315AD" w:rsidRPr="000B3D30">
        <w:rPr>
          <w:rFonts w:ascii="Verdana" w:hAnsi="Verdana" w:cs="Arial"/>
          <w:sz w:val="22"/>
          <w:szCs w:val="22"/>
        </w:rPr>
        <w:t>proteger los derechos fundamentales de las personas desmovilizadas. Estos retos requieren un esfuerzo conjunto del Estado, la sociedad y el sector privado.</w:t>
      </w:r>
      <w:r w:rsidR="001C1FD8" w:rsidRPr="000B3D30">
        <w:rPr>
          <w:rFonts w:ascii="Verdana" w:hAnsi="Verdana" w:cs="Arial"/>
          <w:sz w:val="22"/>
          <w:szCs w:val="22"/>
        </w:rPr>
        <w:t xml:space="preserve"> </w:t>
      </w:r>
      <w:r w:rsidR="00F315AD" w:rsidRPr="000B3D30">
        <w:rPr>
          <w:rFonts w:ascii="Verdana" w:hAnsi="Verdana" w:cs="Arial"/>
          <w:sz w:val="22"/>
          <w:szCs w:val="22"/>
        </w:rPr>
        <w:t xml:space="preserve"> Es crucial asegurar que los derechos de las personas desmovilizadas sean respetados y promovidos en su reintegración.</w:t>
      </w:r>
      <w:r w:rsidR="00944AB3" w:rsidRPr="000B3D30">
        <w:rPr>
          <w:rFonts w:ascii="Verdana" w:hAnsi="Verdana" w:cs="Arial"/>
          <w:sz w:val="22"/>
          <w:szCs w:val="22"/>
        </w:rPr>
        <w:t xml:space="preserve"> </w:t>
      </w:r>
      <w:r w:rsidR="00F315AD" w:rsidRPr="000B3D30">
        <w:rPr>
          <w:rFonts w:ascii="Verdana" w:hAnsi="Verdana" w:cs="Arial"/>
          <w:sz w:val="22"/>
          <w:szCs w:val="22"/>
        </w:rPr>
        <w:t xml:space="preserve">Para incrementar el involucramiento del sector privado, se proponen </w:t>
      </w:r>
      <w:r w:rsidR="00944AB3" w:rsidRPr="000B3D30">
        <w:rPr>
          <w:rFonts w:ascii="Verdana" w:hAnsi="Verdana" w:cs="Arial"/>
          <w:sz w:val="22"/>
          <w:szCs w:val="22"/>
        </w:rPr>
        <w:t xml:space="preserve">incentivar mediante un puntaje de 0.25 en los ponderables por personal contratado referido a los reintegrados, reinsertados y </w:t>
      </w:r>
      <w:proofErr w:type="spellStart"/>
      <w:r w:rsidR="00944AB3" w:rsidRPr="000B3D30">
        <w:rPr>
          <w:rFonts w:ascii="Verdana" w:hAnsi="Verdana" w:cs="Arial"/>
          <w:sz w:val="22"/>
          <w:szCs w:val="22"/>
        </w:rPr>
        <w:t>pospenados</w:t>
      </w:r>
      <w:proofErr w:type="spellEnd"/>
      <w:r w:rsidR="00944AB3" w:rsidRPr="000B3D30">
        <w:rPr>
          <w:rFonts w:ascii="Verdana" w:hAnsi="Verdana" w:cs="Arial"/>
          <w:sz w:val="22"/>
          <w:szCs w:val="22"/>
        </w:rPr>
        <w:t xml:space="preserve"> estos últimos los desarrollaremos más adelante </w:t>
      </w:r>
      <w:r w:rsidR="00F315AD" w:rsidRPr="000B3D30">
        <w:rPr>
          <w:rFonts w:ascii="Verdana" w:hAnsi="Verdana" w:cs="Arial"/>
          <w:sz w:val="22"/>
          <w:szCs w:val="22"/>
        </w:rPr>
        <w:t>medidas que podrían incentivar la participación y mejorar los resultados de los programas de reintegración.</w:t>
      </w:r>
    </w:p>
    <w:p w14:paraId="1A1FA484" w14:textId="602F695F" w:rsidR="00F315AD" w:rsidRPr="000B3D30" w:rsidRDefault="00F315AD" w:rsidP="00944AB3">
      <w:pPr>
        <w:jc w:val="both"/>
        <w:rPr>
          <w:rFonts w:ascii="Verdana" w:hAnsi="Verdana" w:cs="Arial"/>
          <w:sz w:val="22"/>
          <w:szCs w:val="22"/>
        </w:rPr>
      </w:pPr>
    </w:p>
    <w:p w14:paraId="4AF70A2F" w14:textId="77777777" w:rsidR="00F315AD" w:rsidRPr="000B3D30" w:rsidRDefault="00F315AD" w:rsidP="00F315AD">
      <w:pPr>
        <w:jc w:val="both"/>
        <w:rPr>
          <w:rFonts w:ascii="Verdana" w:hAnsi="Verdana" w:cs="Arial"/>
          <w:sz w:val="22"/>
          <w:szCs w:val="22"/>
        </w:rPr>
      </w:pPr>
      <w:r w:rsidRPr="000B3D30">
        <w:rPr>
          <w:rFonts w:ascii="Verdana" w:hAnsi="Verdana" w:cs="Arial"/>
          <w:sz w:val="22"/>
          <w:szCs w:val="22"/>
        </w:rPr>
        <w:t xml:space="preserve">El éxito de la reintegración de las personas desmovilizadas depende en gran medida del compromiso y la colaboración de todos los sectores de la sociedad, incluida la </w:t>
      </w:r>
      <w:proofErr w:type="gramStart"/>
      <w:r w:rsidRPr="000B3D30">
        <w:rPr>
          <w:rFonts w:ascii="Verdana" w:hAnsi="Verdana" w:cs="Arial"/>
          <w:sz w:val="22"/>
          <w:szCs w:val="22"/>
        </w:rPr>
        <w:t>participación activa</w:t>
      </w:r>
      <w:proofErr w:type="gramEnd"/>
      <w:r w:rsidRPr="000B3D30">
        <w:rPr>
          <w:rFonts w:ascii="Verdana" w:hAnsi="Verdana" w:cs="Arial"/>
          <w:sz w:val="22"/>
          <w:szCs w:val="22"/>
        </w:rPr>
        <w:t xml:space="preserve"> del sector privado.</w:t>
      </w:r>
    </w:p>
    <w:p w14:paraId="598CB9A2" w14:textId="77777777" w:rsidR="00F315AD" w:rsidRPr="000B3D30" w:rsidRDefault="00F315AD" w:rsidP="000539AC">
      <w:pPr>
        <w:jc w:val="both"/>
        <w:rPr>
          <w:rFonts w:ascii="Verdana" w:hAnsi="Verdana" w:cs="Arial"/>
          <w:sz w:val="22"/>
          <w:szCs w:val="22"/>
        </w:rPr>
      </w:pPr>
    </w:p>
    <w:p w14:paraId="4134911D" w14:textId="5A60D061" w:rsidR="00E513FE" w:rsidRPr="000B3D30" w:rsidRDefault="00FC27A2" w:rsidP="00E513FE">
      <w:pPr>
        <w:jc w:val="both"/>
        <w:rPr>
          <w:rFonts w:ascii="Verdana" w:hAnsi="Verdana" w:cs="Arial"/>
          <w:sz w:val="22"/>
          <w:szCs w:val="22"/>
        </w:rPr>
      </w:pPr>
      <w:r w:rsidRPr="000B3D30">
        <w:rPr>
          <w:rFonts w:ascii="Verdana" w:hAnsi="Verdana" w:cs="Arial"/>
          <w:sz w:val="22"/>
          <w:szCs w:val="22"/>
        </w:rPr>
        <w:t xml:space="preserve">Por ello </w:t>
      </w:r>
      <w:r w:rsidR="009428BB" w:rsidRPr="000B3D30">
        <w:rPr>
          <w:rFonts w:ascii="Verdana" w:hAnsi="Verdana" w:cs="Arial"/>
          <w:sz w:val="22"/>
          <w:szCs w:val="22"/>
        </w:rPr>
        <w:t xml:space="preserve">es indispensable comprender que, para una </w:t>
      </w:r>
      <w:r w:rsidR="00E513FE" w:rsidRPr="000B3D30">
        <w:rPr>
          <w:rFonts w:ascii="Verdana" w:hAnsi="Verdana" w:cs="Arial"/>
          <w:sz w:val="22"/>
          <w:szCs w:val="22"/>
        </w:rPr>
        <w:t>reintegración exitosa, es crucial ofrecer mayores posibilidades de trabajo a los desmovilizados. Sin embargo, el sector privado ha mostrado una participación limitada en este aspecto, lo que dificulta el proceso de inclusión social y económica de estas personas.</w:t>
      </w:r>
    </w:p>
    <w:p w14:paraId="50DEF261" w14:textId="77777777" w:rsidR="009428BB" w:rsidRPr="000B3D30" w:rsidRDefault="009428BB" w:rsidP="00E513FE">
      <w:pPr>
        <w:jc w:val="both"/>
        <w:rPr>
          <w:rFonts w:ascii="Verdana" w:hAnsi="Verdana" w:cs="Arial"/>
          <w:sz w:val="22"/>
          <w:szCs w:val="22"/>
        </w:rPr>
      </w:pPr>
    </w:p>
    <w:p w14:paraId="1D3165A4" w14:textId="5D7EDEE7" w:rsidR="00D06FAD" w:rsidRPr="000B3D30" w:rsidRDefault="001227DF" w:rsidP="000539AC">
      <w:pPr>
        <w:jc w:val="both"/>
        <w:rPr>
          <w:rFonts w:ascii="Verdana" w:hAnsi="Verdana" w:cs="Arial"/>
          <w:i/>
          <w:iCs/>
          <w:sz w:val="22"/>
          <w:szCs w:val="22"/>
        </w:rPr>
      </w:pPr>
      <w:r w:rsidRPr="000B3D30">
        <w:rPr>
          <w:rFonts w:ascii="Verdana" w:hAnsi="Verdana" w:cs="Arial"/>
          <w:sz w:val="22"/>
          <w:szCs w:val="22"/>
        </w:rPr>
        <w:t xml:space="preserve">De acuerdo con </w:t>
      </w:r>
      <w:r w:rsidR="00D8028D" w:rsidRPr="000B3D30">
        <w:rPr>
          <w:rFonts w:ascii="Verdana" w:hAnsi="Verdana" w:cs="Arial"/>
          <w:sz w:val="22"/>
          <w:szCs w:val="22"/>
        </w:rPr>
        <w:t>la SENTENCIA</w:t>
      </w:r>
      <w:r w:rsidRPr="000B3D30">
        <w:rPr>
          <w:rFonts w:ascii="Verdana" w:hAnsi="Verdana" w:cs="Arial"/>
          <w:sz w:val="22"/>
          <w:szCs w:val="22"/>
        </w:rPr>
        <w:t xml:space="preserve"> C-107/02 DERECHO AL TRABAJO-Nueva orientación constitucional TRABAJO EN EL ESTADO SOCIAL DE DERECHO</w:t>
      </w:r>
      <w:proofErr w:type="gramStart"/>
      <w:r w:rsidRPr="000B3D30">
        <w:rPr>
          <w:rFonts w:ascii="Verdana" w:hAnsi="Verdana" w:cs="Arial"/>
          <w:i/>
          <w:iCs/>
          <w:sz w:val="22"/>
          <w:szCs w:val="22"/>
        </w:rPr>
        <w:t>-</w:t>
      </w:r>
      <w:r w:rsidR="001970B1" w:rsidRPr="000B3D30">
        <w:rPr>
          <w:rFonts w:ascii="Verdana" w:hAnsi="Verdana" w:cs="Arial"/>
          <w:i/>
          <w:iCs/>
          <w:sz w:val="22"/>
          <w:szCs w:val="22"/>
        </w:rPr>
        <w:t>“</w:t>
      </w:r>
      <w:proofErr w:type="gramEnd"/>
      <w:r w:rsidR="001970B1" w:rsidRPr="000B3D30">
        <w:rPr>
          <w:rFonts w:ascii="Verdana" w:hAnsi="Verdana" w:cs="Arial"/>
          <w:i/>
          <w:iCs/>
          <w:sz w:val="22"/>
          <w:szCs w:val="22"/>
        </w:rPr>
        <w:t>Este derecho comporta la exigencia de su ejercicio en condiciones dignas y justas, es decir, su realización en un entorno sin características humillantes o degradantes o que desconozca los principios mínimos fundamentales establecidos por la Constitución, y además que permita su desarrollo en condiciones equitativas para el trabajador”</w:t>
      </w:r>
    </w:p>
    <w:p w14:paraId="726E9592" w14:textId="77777777" w:rsidR="001970B1" w:rsidRPr="000B3D30" w:rsidRDefault="001970B1" w:rsidP="000539AC">
      <w:pPr>
        <w:jc w:val="both"/>
        <w:rPr>
          <w:rFonts w:ascii="Verdana" w:hAnsi="Verdana" w:cs="Arial"/>
          <w:i/>
          <w:iCs/>
          <w:sz w:val="22"/>
          <w:szCs w:val="22"/>
        </w:rPr>
      </w:pPr>
    </w:p>
    <w:p w14:paraId="3F319B6F" w14:textId="28CF5ED6" w:rsidR="001970B1" w:rsidRPr="000B3D30" w:rsidRDefault="001970B1" w:rsidP="001970B1">
      <w:pPr>
        <w:jc w:val="both"/>
        <w:rPr>
          <w:rFonts w:ascii="Verdana" w:hAnsi="Verdana" w:cs="Arial"/>
          <w:sz w:val="22"/>
          <w:szCs w:val="22"/>
        </w:rPr>
      </w:pPr>
      <w:r w:rsidRPr="000B3D30">
        <w:rPr>
          <w:rFonts w:ascii="Verdana" w:hAnsi="Verdana" w:cs="Arial"/>
          <w:sz w:val="22"/>
          <w:szCs w:val="22"/>
        </w:rPr>
        <w:t xml:space="preserve">Teniendo en cuenta que el </w:t>
      </w:r>
      <w:r w:rsidR="00B6557E" w:rsidRPr="000B3D30">
        <w:rPr>
          <w:rFonts w:ascii="Verdana" w:hAnsi="Verdana" w:cs="Arial"/>
          <w:sz w:val="22"/>
          <w:szCs w:val="22"/>
        </w:rPr>
        <w:t>trabajo</w:t>
      </w:r>
      <w:r w:rsidRPr="000B3D30">
        <w:rPr>
          <w:rFonts w:ascii="Verdana" w:hAnsi="Verdana" w:cs="Arial"/>
          <w:sz w:val="22"/>
          <w:szCs w:val="22"/>
        </w:rPr>
        <w:t xml:space="preserve"> </w:t>
      </w:r>
      <w:r w:rsidR="00B6557E" w:rsidRPr="000B3D30">
        <w:rPr>
          <w:rFonts w:ascii="Verdana" w:hAnsi="Verdana" w:cs="Arial"/>
          <w:sz w:val="22"/>
          <w:szCs w:val="22"/>
        </w:rPr>
        <w:t xml:space="preserve">es un derecho, es vital ahondar en el desarrollo de este </w:t>
      </w:r>
      <w:r w:rsidR="00DD4DD4" w:rsidRPr="000B3D30">
        <w:rPr>
          <w:rFonts w:ascii="Verdana" w:hAnsi="Verdana" w:cs="Arial"/>
          <w:sz w:val="22"/>
          <w:szCs w:val="22"/>
        </w:rPr>
        <w:t>principio en</w:t>
      </w:r>
      <w:r w:rsidR="00B6557E" w:rsidRPr="000B3D30">
        <w:rPr>
          <w:rFonts w:ascii="Verdana" w:hAnsi="Verdana" w:cs="Arial"/>
          <w:sz w:val="22"/>
          <w:szCs w:val="22"/>
        </w:rPr>
        <w:t xml:space="preserve"> e</w:t>
      </w:r>
      <w:r w:rsidRPr="000B3D30">
        <w:rPr>
          <w:rFonts w:ascii="Verdana" w:hAnsi="Verdana" w:cs="Arial"/>
          <w:sz w:val="22"/>
          <w:szCs w:val="22"/>
        </w:rPr>
        <w:t>l camino hacia una sociedad más inclusiva y pacífica requiere un esfuerzo colaborativo. Tanto el Estado como la sociedad deben estar comprometidos en crear un entorno que no solo acepte, sino que también valore la diversidad y las experiencias de aquellos que buscan reconstruir sus vidas después del conflicto.</w:t>
      </w:r>
    </w:p>
    <w:p w14:paraId="6D24D31A" w14:textId="77777777" w:rsidR="001970B1" w:rsidRPr="000B3D30" w:rsidRDefault="001970B1" w:rsidP="001970B1">
      <w:pPr>
        <w:jc w:val="both"/>
        <w:rPr>
          <w:rFonts w:ascii="Verdana" w:hAnsi="Verdana" w:cs="Arial"/>
          <w:sz w:val="22"/>
          <w:szCs w:val="22"/>
        </w:rPr>
      </w:pPr>
    </w:p>
    <w:p w14:paraId="491ED72C" w14:textId="77777777" w:rsidR="001970B1" w:rsidRPr="000B3D30" w:rsidRDefault="001970B1" w:rsidP="008F5570">
      <w:pPr>
        <w:jc w:val="both"/>
        <w:rPr>
          <w:rFonts w:ascii="Verdana" w:hAnsi="Verdana" w:cs="Arial"/>
          <w:sz w:val="22"/>
          <w:szCs w:val="22"/>
        </w:rPr>
      </w:pPr>
    </w:p>
    <w:p w14:paraId="1CE098D5" w14:textId="77777777" w:rsidR="008F5570" w:rsidRPr="000B3D30" w:rsidRDefault="00D06FAD" w:rsidP="008F5570">
      <w:pPr>
        <w:jc w:val="both"/>
        <w:rPr>
          <w:rFonts w:ascii="Verdana" w:hAnsi="Verdana" w:cs="Arial"/>
          <w:sz w:val="22"/>
          <w:szCs w:val="22"/>
        </w:rPr>
      </w:pPr>
      <w:r w:rsidRPr="000B3D30">
        <w:rPr>
          <w:rFonts w:ascii="Verdana" w:hAnsi="Verdana" w:cs="Arial"/>
          <w:sz w:val="22"/>
          <w:szCs w:val="22"/>
        </w:rPr>
        <w:lastRenderedPageBreak/>
        <w:t xml:space="preserve">Aunado a lo anterior y partiendo del </w:t>
      </w:r>
      <w:r w:rsidR="007A491C" w:rsidRPr="000B3D30">
        <w:rPr>
          <w:rFonts w:ascii="Verdana" w:hAnsi="Verdana" w:cs="Arial"/>
          <w:sz w:val="22"/>
          <w:szCs w:val="22"/>
        </w:rPr>
        <w:t>principio</w:t>
      </w:r>
      <w:r w:rsidRPr="000B3D30">
        <w:rPr>
          <w:rFonts w:ascii="Verdana" w:hAnsi="Verdana" w:cs="Arial"/>
          <w:sz w:val="22"/>
          <w:szCs w:val="22"/>
        </w:rPr>
        <w:t xml:space="preserve"> básico del código penal </w:t>
      </w:r>
      <w:r w:rsidR="00310074" w:rsidRPr="000B3D30">
        <w:rPr>
          <w:rFonts w:ascii="Verdana" w:hAnsi="Verdana" w:cs="Arial"/>
          <w:sz w:val="22"/>
          <w:szCs w:val="22"/>
        </w:rPr>
        <w:t>colombiano, la</w:t>
      </w:r>
      <w:r w:rsidR="00512E9F" w:rsidRPr="000B3D30">
        <w:rPr>
          <w:rFonts w:ascii="Verdana" w:hAnsi="Verdana" w:cs="Arial"/>
          <w:sz w:val="22"/>
          <w:szCs w:val="22"/>
        </w:rPr>
        <w:t xml:space="preserve"> resocialización es un pilar fundamental del sistema penitenciario en Colombia, como lo establece la Ley 65 de 1993. Este enfoque busca transformar la vida de los internos y facilitar su reintegración en la sociedad. El </w:t>
      </w:r>
      <w:r w:rsidR="00512E9F" w:rsidRPr="000B3D30">
        <w:rPr>
          <w:rFonts w:ascii="Verdana" w:hAnsi="Verdana" w:cs="Arial"/>
          <w:bCs/>
          <w:sz w:val="22"/>
          <w:szCs w:val="22"/>
        </w:rPr>
        <w:t>Instituto Nacional Penitenciario y Carcelario (</w:t>
      </w:r>
      <w:proofErr w:type="spellStart"/>
      <w:r w:rsidR="00512E9F" w:rsidRPr="000B3D30">
        <w:rPr>
          <w:rFonts w:ascii="Verdana" w:hAnsi="Verdana" w:cs="Arial"/>
          <w:bCs/>
          <w:sz w:val="22"/>
          <w:szCs w:val="22"/>
        </w:rPr>
        <w:t>Inpec</w:t>
      </w:r>
      <w:proofErr w:type="spellEnd"/>
      <w:r w:rsidR="00512E9F" w:rsidRPr="000B3D30">
        <w:rPr>
          <w:rFonts w:ascii="Verdana" w:hAnsi="Verdana" w:cs="Arial"/>
          <w:bCs/>
          <w:sz w:val="22"/>
          <w:szCs w:val="22"/>
        </w:rPr>
        <w:t>)</w:t>
      </w:r>
      <w:r w:rsidR="00512E9F" w:rsidRPr="000B3D30">
        <w:rPr>
          <w:rFonts w:ascii="Verdana" w:hAnsi="Verdana" w:cs="Arial"/>
          <w:sz w:val="22"/>
          <w:szCs w:val="22"/>
        </w:rPr>
        <w:t xml:space="preserve"> desempeña un papel crucial en este proceso a través de diversas estrategias</w:t>
      </w:r>
      <w:r w:rsidR="00310074" w:rsidRPr="000B3D30">
        <w:rPr>
          <w:rFonts w:ascii="Verdana" w:hAnsi="Verdana" w:cs="Arial"/>
          <w:sz w:val="22"/>
          <w:szCs w:val="22"/>
        </w:rPr>
        <w:t xml:space="preserve"> con quienes se han realizado mesas de trabajo en pro de la inclusión del personal </w:t>
      </w:r>
      <w:proofErr w:type="spellStart"/>
      <w:r w:rsidR="00310074" w:rsidRPr="000B3D30">
        <w:rPr>
          <w:rFonts w:ascii="Verdana" w:hAnsi="Verdana" w:cs="Arial"/>
          <w:sz w:val="22"/>
          <w:szCs w:val="22"/>
        </w:rPr>
        <w:t>po</w:t>
      </w:r>
      <w:r w:rsidR="009879C2" w:rsidRPr="000B3D30">
        <w:rPr>
          <w:rFonts w:ascii="Verdana" w:hAnsi="Verdana" w:cs="Arial"/>
          <w:sz w:val="22"/>
          <w:szCs w:val="22"/>
        </w:rPr>
        <w:t>s</w:t>
      </w:r>
      <w:r w:rsidR="00310074" w:rsidRPr="000B3D30">
        <w:rPr>
          <w:rFonts w:ascii="Verdana" w:hAnsi="Verdana" w:cs="Arial"/>
          <w:sz w:val="22"/>
          <w:szCs w:val="22"/>
        </w:rPr>
        <w:t>penado</w:t>
      </w:r>
      <w:proofErr w:type="spellEnd"/>
      <w:r w:rsidR="009150F4" w:rsidRPr="000B3D30">
        <w:rPr>
          <w:rFonts w:ascii="Verdana" w:hAnsi="Verdana" w:cs="Arial"/>
          <w:sz w:val="22"/>
          <w:szCs w:val="22"/>
        </w:rPr>
        <w:t>, con suspensión condicional de pena</w:t>
      </w:r>
      <w:r w:rsidR="009879C2" w:rsidRPr="000B3D30">
        <w:rPr>
          <w:rFonts w:ascii="Verdana" w:hAnsi="Verdana" w:cs="Arial"/>
          <w:sz w:val="22"/>
          <w:szCs w:val="22"/>
        </w:rPr>
        <w:t xml:space="preserve">, libertad condicional, suspensión provisional de </w:t>
      </w:r>
      <w:r w:rsidR="00851899" w:rsidRPr="000B3D30">
        <w:rPr>
          <w:rFonts w:ascii="Verdana" w:hAnsi="Verdana" w:cs="Arial"/>
          <w:sz w:val="22"/>
          <w:szCs w:val="22"/>
        </w:rPr>
        <w:t>pena, para ello se expidió la resolución</w:t>
      </w:r>
      <w:r w:rsidR="00B91F4B" w:rsidRPr="000B3D30">
        <w:rPr>
          <w:rFonts w:ascii="Verdana" w:hAnsi="Verdana" w:cs="Arial"/>
          <w:sz w:val="22"/>
          <w:szCs w:val="22"/>
        </w:rPr>
        <w:t xml:space="preserve"> 4290 de 2024 </w:t>
      </w:r>
      <w:r w:rsidR="008F5570" w:rsidRPr="000B3D30">
        <w:rPr>
          <w:rFonts w:ascii="Verdana" w:hAnsi="Verdana" w:cs="Arial"/>
          <w:sz w:val="22"/>
          <w:szCs w:val="22"/>
        </w:rPr>
        <w:t xml:space="preserve">la cual establece lo siguiente: </w:t>
      </w:r>
    </w:p>
    <w:p w14:paraId="01BC1AD3" w14:textId="77777777" w:rsidR="008F5570" w:rsidRPr="000B3D30" w:rsidRDefault="008F5570" w:rsidP="008F5570">
      <w:pPr>
        <w:jc w:val="both"/>
        <w:rPr>
          <w:rFonts w:ascii="Verdana" w:hAnsi="Verdana" w:cs="Arial"/>
          <w:i/>
          <w:iCs/>
          <w:sz w:val="22"/>
          <w:szCs w:val="22"/>
        </w:rPr>
      </w:pPr>
    </w:p>
    <w:p w14:paraId="11A63A03" w14:textId="4B6B784F" w:rsidR="00536A53" w:rsidRPr="000B3D30" w:rsidRDefault="008F5570" w:rsidP="008F5570">
      <w:pPr>
        <w:jc w:val="both"/>
        <w:rPr>
          <w:rFonts w:ascii="Verdana" w:hAnsi="Verdana" w:cs="Arial"/>
          <w:i/>
          <w:iCs/>
          <w:sz w:val="22"/>
          <w:szCs w:val="22"/>
        </w:rPr>
      </w:pPr>
      <w:r w:rsidRPr="000B3D30">
        <w:rPr>
          <w:rFonts w:ascii="Verdana" w:hAnsi="Verdana" w:cs="Arial"/>
          <w:i/>
          <w:iCs/>
          <w:sz w:val="22"/>
          <w:szCs w:val="22"/>
        </w:rPr>
        <w:t xml:space="preserve">(…) “Que el 17 de mayo de 2022, el Congreso de Colombia expidió la Ley 2208 de 2022, “Por medio de la cual se establecen incentivos económicos para fortalecer el acceso y las oportunidades de empleo y formación para la población </w:t>
      </w:r>
      <w:proofErr w:type="spellStart"/>
      <w:r w:rsidRPr="000B3D30">
        <w:rPr>
          <w:rFonts w:ascii="Verdana" w:hAnsi="Verdana" w:cs="Arial"/>
          <w:i/>
          <w:iCs/>
          <w:sz w:val="22"/>
          <w:szCs w:val="22"/>
        </w:rPr>
        <w:t>pospenada</w:t>
      </w:r>
      <w:proofErr w:type="spellEnd"/>
      <w:r w:rsidRPr="000B3D30">
        <w:rPr>
          <w:rFonts w:ascii="Verdana" w:hAnsi="Verdana" w:cs="Arial"/>
          <w:i/>
          <w:iCs/>
          <w:sz w:val="22"/>
          <w:szCs w:val="22"/>
        </w:rPr>
        <w:t xml:space="preserve"> y se dictan otras disposiciones - Ley de Segundas Oportunidades”, cuyo objeto es crear mayores oportunidades de acceso al mercado laboral para la población </w:t>
      </w:r>
      <w:proofErr w:type="spellStart"/>
      <w:r w:rsidRPr="000B3D30">
        <w:rPr>
          <w:rFonts w:ascii="Verdana" w:hAnsi="Verdana" w:cs="Arial"/>
          <w:i/>
          <w:iCs/>
          <w:sz w:val="22"/>
          <w:szCs w:val="22"/>
        </w:rPr>
        <w:t>pospenada</w:t>
      </w:r>
      <w:proofErr w:type="spellEnd"/>
      <w:r w:rsidRPr="000B3D30">
        <w:rPr>
          <w:rFonts w:ascii="Verdana" w:hAnsi="Verdana" w:cs="Arial"/>
          <w:i/>
          <w:iCs/>
          <w:sz w:val="22"/>
          <w:szCs w:val="22"/>
        </w:rPr>
        <w:t xml:space="preserve">, así como para aquellas personas que se encuentren cumpliendo pena con permiso de trabajo, libertad condicional o suspensión provisional de pena con autorización de trabajo, mediante la creación de beneficios tributarios, económicos, corporativos y otros que impacten positivamente la estructura de costos de las empresas en la contratación de este tipo de talento humano. </w:t>
      </w:r>
      <w:r w:rsidR="00D91E3B" w:rsidRPr="000B3D30">
        <w:rPr>
          <w:rFonts w:ascii="Verdana" w:hAnsi="Verdana" w:cs="Arial"/>
          <w:i/>
          <w:iCs/>
          <w:sz w:val="22"/>
          <w:szCs w:val="22"/>
        </w:rPr>
        <w:t>Que,</w:t>
      </w:r>
      <w:r w:rsidRPr="000B3D30">
        <w:rPr>
          <w:rFonts w:ascii="Verdana" w:hAnsi="Verdana" w:cs="Arial"/>
          <w:i/>
          <w:iCs/>
          <w:sz w:val="22"/>
          <w:szCs w:val="22"/>
        </w:rPr>
        <w:t xml:space="preserve"> en el marco del objeto legal, el capítulo II “Responsabilidad Corporativa e Institucional” creó en el artículo 4 el sello “Segundas Oportunidades”, el cual tiene por finalidad identificar a las empresas que incorporen dentro de su planta laboral a por lo menos un (1) trabajador que haga parte de la población objeto contemplada en el artículo 2 de la citada Ley, con el fin de otorgar reconocimiento reputacional a estas personas jurídicas”. </w:t>
      </w:r>
    </w:p>
    <w:p w14:paraId="09016A9A" w14:textId="77777777" w:rsidR="00536A53" w:rsidRPr="000B3D30" w:rsidRDefault="00536A53" w:rsidP="008F5570">
      <w:pPr>
        <w:jc w:val="both"/>
        <w:rPr>
          <w:rFonts w:ascii="Verdana" w:hAnsi="Verdana" w:cs="Arial"/>
          <w:i/>
          <w:iCs/>
          <w:sz w:val="22"/>
          <w:szCs w:val="22"/>
        </w:rPr>
      </w:pPr>
    </w:p>
    <w:p w14:paraId="6E83F047" w14:textId="77777777" w:rsidR="00C349BB" w:rsidRPr="000B3D30" w:rsidRDefault="00536A53" w:rsidP="007361FC">
      <w:pPr>
        <w:jc w:val="both"/>
        <w:rPr>
          <w:rFonts w:ascii="Verdana" w:hAnsi="Verdana" w:cs="Arial"/>
          <w:sz w:val="22"/>
          <w:szCs w:val="22"/>
        </w:rPr>
      </w:pPr>
      <w:r w:rsidRPr="000B3D30">
        <w:rPr>
          <w:rFonts w:ascii="Verdana" w:hAnsi="Verdana" w:cs="Arial"/>
          <w:sz w:val="22"/>
          <w:szCs w:val="22"/>
        </w:rPr>
        <w:t xml:space="preserve">En virtud de lo anterior, y con el fin de </w:t>
      </w:r>
      <w:r w:rsidR="00BD5126" w:rsidRPr="000B3D30">
        <w:rPr>
          <w:rFonts w:ascii="Verdana" w:hAnsi="Verdana" w:cs="Arial"/>
          <w:sz w:val="22"/>
          <w:szCs w:val="22"/>
        </w:rPr>
        <w:t xml:space="preserve">promover la incorporación de la población </w:t>
      </w:r>
      <w:proofErr w:type="spellStart"/>
      <w:r w:rsidR="00BD5126" w:rsidRPr="000B3D30">
        <w:rPr>
          <w:rFonts w:ascii="Verdana" w:hAnsi="Verdana" w:cs="Arial"/>
          <w:sz w:val="22"/>
          <w:szCs w:val="22"/>
        </w:rPr>
        <w:t>pospenada</w:t>
      </w:r>
      <w:proofErr w:type="spellEnd"/>
      <w:r w:rsidR="00BD5126" w:rsidRPr="000B3D30">
        <w:rPr>
          <w:rFonts w:ascii="Verdana" w:hAnsi="Verdana" w:cs="Arial"/>
          <w:sz w:val="22"/>
          <w:szCs w:val="22"/>
        </w:rPr>
        <w:t xml:space="preserve">, reintegrados, reinsertados, </w:t>
      </w:r>
      <w:proofErr w:type="spellStart"/>
      <w:r w:rsidR="00BD5126" w:rsidRPr="000B3D30">
        <w:rPr>
          <w:rFonts w:ascii="Verdana" w:hAnsi="Verdana" w:cs="Arial"/>
          <w:sz w:val="22"/>
          <w:szCs w:val="22"/>
        </w:rPr>
        <w:t>etc</w:t>
      </w:r>
      <w:proofErr w:type="spellEnd"/>
      <w:r w:rsidR="00BD5126" w:rsidRPr="000B3D30">
        <w:rPr>
          <w:rFonts w:ascii="Verdana" w:hAnsi="Verdana" w:cs="Arial"/>
          <w:sz w:val="22"/>
          <w:szCs w:val="22"/>
        </w:rPr>
        <w:t>, de acuerdo con lo manifestado en est</w:t>
      </w:r>
      <w:r w:rsidR="00B70573" w:rsidRPr="000B3D30">
        <w:rPr>
          <w:rFonts w:ascii="Verdana" w:hAnsi="Verdana" w:cs="Arial"/>
          <w:sz w:val="22"/>
          <w:szCs w:val="22"/>
        </w:rPr>
        <w:t xml:space="preserve">e </w:t>
      </w:r>
      <w:r w:rsidR="00B06AEE" w:rsidRPr="000B3D30">
        <w:rPr>
          <w:rFonts w:ascii="Verdana" w:hAnsi="Verdana" w:cs="Arial"/>
          <w:sz w:val="22"/>
          <w:szCs w:val="22"/>
        </w:rPr>
        <w:t>análisis es</w:t>
      </w:r>
      <w:r w:rsidR="000E6D98" w:rsidRPr="000B3D30">
        <w:rPr>
          <w:rFonts w:ascii="Verdana" w:hAnsi="Verdana" w:cs="Arial"/>
          <w:sz w:val="22"/>
          <w:szCs w:val="22"/>
        </w:rPr>
        <w:t xml:space="preserve"> </w:t>
      </w:r>
      <w:r w:rsidR="0099049E" w:rsidRPr="000B3D30">
        <w:rPr>
          <w:rFonts w:ascii="Verdana" w:hAnsi="Verdana" w:cs="Arial"/>
          <w:sz w:val="22"/>
          <w:szCs w:val="22"/>
        </w:rPr>
        <w:t xml:space="preserve">indispensable velar por la generación de empleo en un estado social de derecho como es el </w:t>
      </w:r>
      <w:r w:rsidR="00B06AEE" w:rsidRPr="000B3D30">
        <w:rPr>
          <w:rFonts w:ascii="Verdana" w:hAnsi="Verdana" w:cs="Arial"/>
          <w:sz w:val="22"/>
          <w:szCs w:val="22"/>
        </w:rPr>
        <w:t>colombiano</w:t>
      </w:r>
      <w:r w:rsidR="0099049E" w:rsidRPr="000B3D30">
        <w:rPr>
          <w:rFonts w:ascii="Verdana" w:hAnsi="Verdana" w:cs="Arial"/>
          <w:sz w:val="22"/>
          <w:szCs w:val="22"/>
        </w:rPr>
        <w:t xml:space="preserve"> donde la </w:t>
      </w:r>
      <w:r w:rsidR="008D0E77" w:rsidRPr="000B3D30">
        <w:rPr>
          <w:rFonts w:ascii="Verdana" w:hAnsi="Verdana" w:cs="Arial"/>
          <w:sz w:val="22"/>
          <w:szCs w:val="22"/>
        </w:rPr>
        <w:t>resocialización es indispensable en el desarrollo de la sociedad</w:t>
      </w:r>
      <w:r w:rsidR="00C349BB" w:rsidRPr="000B3D30">
        <w:rPr>
          <w:rFonts w:ascii="Verdana" w:hAnsi="Verdana" w:cs="Arial"/>
          <w:sz w:val="22"/>
          <w:szCs w:val="22"/>
        </w:rPr>
        <w:t>. La reintegración de personas que han cumplido su condena es un tema crucial para el desarrollo de una sociedad justa y equitativa. En Colombia, como estado social de derecho, es imperativo facilitar la resocialización de esta población para asegurar una convivencia armónica y reducir la reincidencia delictiva.</w:t>
      </w:r>
    </w:p>
    <w:p w14:paraId="2E91CAC5" w14:textId="7531D5D4" w:rsidR="00635BA6" w:rsidRPr="000B3D30" w:rsidRDefault="008D0E77" w:rsidP="008F5570">
      <w:pPr>
        <w:jc w:val="both"/>
        <w:rPr>
          <w:rFonts w:ascii="Verdana" w:hAnsi="Verdana" w:cs="Arial"/>
          <w:sz w:val="22"/>
          <w:szCs w:val="22"/>
        </w:rPr>
      </w:pPr>
      <w:r w:rsidRPr="000B3D30">
        <w:rPr>
          <w:rFonts w:ascii="Verdana" w:hAnsi="Verdana" w:cs="Arial"/>
          <w:sz w:val="22"/>
          <w:szCs w:val="22"/>
        </w:rPr>
        <w:t xml:space="preserve"> </w:t>
      </w:r>
    </w:p>
    <w:p w14:paraId="076A9E5D" w14:textId="71356D4E" w:rsidR="00512E9F" w:rsidRPr="000B3D30" w:rsidRDefault="00635BA6" w:rsidP="00635BA6">
      <w:pPr>
        <w:jc w:val="both"/>
        <w:rPr>
          <w:rFonts w:ascii="Verdana" w:hAnsi="Verdana" w:cs="Arial"/>
          <w:sz w:val="22"/>
          <w:szCs w:val="22"/>
        </w:rPr>
      </w:pPr>
      <w:r w:rsidRPr="000B3D30">
        <w:rPr>
          <w:rFonts w:ascii="Verdana" w:hAnsi="Verdana" w:cs="Arial"/>
          <w:sz w:val="22"/>
          <w:szCs w:val="22"/>
        </w:rPr>
        <w:t xml:space="preserve">El empleo es un pilar fundamental para la reintegración social. Proporcionar oportunidades laborales no solo les otorga un medio de subsistencia, sino que también les permite reconstruir su identidad social y contribuir positivamente a la comunidad. </w:t>
      </w:r>
    </w:p>
    <w:p w14:paraId="05736A25" w14:textId="77777777" w:rsidR="004E045D" w:rsidRPr="000B3D30" w:rsidRDefault="004E045D" w:rsidP="00635BA6">
      <w:pPr>
        <w:jc w:val="both"/>
        <w:rPr>
          <w:rFonts w:ascii="Verdana" w:hAnsi="Verdana" w:cs="Arial"/>
          <w:sz w:val="22"/>
          <w:szCs w:val="22"/>
        </w:rPr>
      </w:pPr>
    </w:p>
    <w:p w14:paraId="2CC992DB" w14:textId="77777777" w:rsidR="00921B58" w:rsidRPr="000B3D30" w:rsidRDefault="00921B58" w:rsidP="007B79D8">
      <w:pPr>
        <w:rPr>
          <w:rFonts w:ascii="Verdana" w:hAnsi="Verdana" w:cs="Arial"/>
          <w:sz w:val="22"/>
          <w:szCs w:val="22"/>
        </w:rPr>
      </w:pPr>
    </w:p>
    <w:p w14:paraId="4D83DC24" w14:textId="0988686D" w:rsidR="00EA39B0" w:rsidRPr="000B3D30" w:rsidRDefault="00921B58" w:rsidP="00EA39B0">
      <w:pPr>
        <w:numPr>
          <w:ilvl w:val="0"/>
          <w:numId w:val="70"/>
        </w:numPr>
        <w:jc w:val="both"/>
        <w:rPr>
          <w:rFonts w:ascii="Verdana" w:hAnsi="Verdana" w:cs="Arial"/>
          <w:sz w:val="22"/>
          <w:szCs w:val="22"/>
        </w:rPr>
      </w:pPr>
      <w:r w:rsidRPr="000B3D30">
        <w:rPr>
          <w:rFonts w:ascii="Verdana" w:hAnsi="Verdana" w:cs="Arial"/>
          <w:sz w:val="22"/>
          <w:szCs w:val="22"/>
        </w:rPr>
        <w:t xml:space="preserve">En consonancia con los cambios realizados en el documento base, en el anexo </w:t>
      </w:r>
      <w:r w:rsidR="00575E9F">
        <w:rPr>
          <w:rFonts w:ascii="Verdana" w:hAnsi="Verdana" w:cs="Arial"/>
          <w:sz w:val="22"/>
          <w:szCs w:val="22"/>
        </w:rPr>
        <w:t>5</w:t>
      </w:r>
      <w:r w:rsidRPr="000B3D30">
        <w:rPr>
          <w:rFonts w:ascii="Verdana" w:hAnsi="Verdana" w:cs="Arial"/>
          <w:sz w:val="22"/>
          <w:szCs w:val="22"/>
        </w:rPr>
        <w:t xml:space="preserve"> – Se incluye la posibilidad de incluir garantías adicionales a las decreto 1082 siempre y cuando se encuentre debidamente justificada en los estudios de Riesgos de la</w:t>
      </w:r>
      <w:r w:rsidR="00831348" w:rsidRPr="000B3D30">
        <w:rPr>
          <w:rFonts w:ascii="Verdana" w:hAnsi="Verdana" w:cs="Arial"/>
          <w:sz w:val="22"/>
          <w:szCs w:val="22"/>
        </w:rPr>
        <w:t>s entidades</w:t>
      </w:r>
      <w:r w:rsidR="00642245" w:rsidRPr="000B3D30">
        <w:rPr>
          <w:rFonts w:ascii="Verdana" w:hAnsi="Verdana" w:cs="Arial"/>
          <w:sz w:val="22"/>
          <w:szCs w:val="22"/>
        </w:rPr>
        <w:t xml:space="preserve">, </w:t>
      </w:r>
      <w:r w:rsidR="00F25C2E" w:rsidRPr="000B3D30">
        <w:rPr>
          <w:rFonts w:ascii="Verdana" w:hAnsi="Verdana" w:cs="Arial"/>
          <w:sz w:val="22"/>
          <w:szCs w:val="22"/>
        </w:rPr>
        <w:t>La Agencia Nacional de Contratación Pública – Colombia Compra Eficiente expidió el “Manual para la identificación y cobertura del Riesgo en los Procesos de Contratación</w:t>
      </w:r>
      <w:r w:rsidR="00C13F91" w:rsidRPr="000B3D30">
        <w:rPr>
          <w:rStyle w:val="Refdenotaalpie"/>
          <w:rFonts w:ascii="Verdana" w:hAnsi="Verdana" w:cs="Arial"/>
          <w:sz w:val="22"/>
          <w:szCs w:val="22"/>
        </w:rPr>
        <w:footnoteReference w:id="25"/>
      </w:r>
      <w:r w:rsidR="00831348" w:rsidRPr="000B3D30">
        <w:rPr>
          <w:rFonts w:ascii="Verdana" w:hAnsi="Verdana" w:cs="Arial"/>
          <w:sz w:val="22"/>
          <w:szCs w:val="22"/>
        </w:rPr>
        <w:t xml:space="preserve"> </w:t>
      </w:r>
      <w:r w:rsidR="00642245" w:rsidRPr="000B3D30">
        <w:rPr>
          <w:rFonts w:ascii="Verdana" w:hAnsi="Verdana" w:cs="Arial"/>
          <w:sz w:val="22"/>
          <w:szCs w:val="22"/>
        </w:rPr>
        <w:t>recomendó a las entidades incluir una matriz de riesgos en los que se incluya todos los riesgos identificados en el proceso contractual y con ello reducir la exposición del Proceso de Contratación frente a los diferentes riesgos que se puedan presentar, por ejemplo, la identificación de: “(a) los eventos que impidan la adjudicación y firma del contrato como resultado del Proceso de Contratación; (b) los eventos que alteren la ejecución del contrato; (c) el equilibrio económico del contrato; (d) la eficacia del Proceso de Contratación, es decir, que la Entidad Estatal pueda satisfacer la necesidad que motivó el Proceso de Contratación; y (e) la reputación y legitimidad de la Entidad Estatal encargada de prestar el bien o servicio</w:t>
      </w:r>
      <w:r w:rsidR="00EA39B0" w:rsidRPr="000B3D30">
        <w:rPr>
          <w:rFonts w:ascii="Verdana" w:hAnsi="Verdana" w:cs="Arial"/>
          <w:sz w:val="22"/>
          <w:szCs w:val="22"/>
        </w:rPr>
        <w:t xml:space="preserve">.     </w:t>
      </w:r>
    </w:p>
    <w:p w14:paraId="4650F676" w14:textId="77777777" w:rsidR="00092854" w:rsidRPr="000B3D30" w:rsidRDefault="00092854" w:rsidP="00954F93">
      <w:pPr>
        <w:ind w:left="720"/>
        <w:jc w:val="both"/>
        <w:rPr>
          <w:rFonts w:ascii="Verdana" w:hAnsi="Verdana" w:cs="Arial"/>
          <w:sz w:val="22"/>
          <w:szCs w:val="22"/>
        </w:rPr>
      </w:pPr>
    </w:p>
    <w:p w14:paraId="5B99F186" w14:textId="13E9C949" w:rsidR="00602B11" w:rsidRPr="00954F93" w:rsidRDefault="00602B11" w:rsidP="00EA39B0">
      <w:pPr>
        <w:numPr>
          <w:ilvl w:val="0"/>
          <w:numId w:val="70"/>
        </w:numPr>
        <w:jc w:val="both"/>
        <w:rPr>
          <w:rFonts w:ascii="Verdana" w:hAnsi="Verdana" w:cs="Arial"/>
          <w:sz w:val="22"/>
          <w:szCs w:val="22"/>
        </w:rPr>
      </w:pPr>
      <w:r w:rsidRPr="00954F93">
        <w:rPr>
          <w:rFonts w:ascii="Verdana" w:hAnsi="Verdana" w:cs="Arial"/>
          <w:sz w:val="22"/>
          <w:szCs w:val="22"/>
        </w:rPr>
        <w:t xml:space="preserve">Se incluyen obligaciones para entidades y contratistas </w:t>
      </w:r>
      <w:r w:rsidR="005F0314" w:rsidRPr="00954F93">
        <w:rPr>
          <w:rFonts w:ascii="Verdana" w:hAnsi="Verdana" w:cs="Arial"/>
          <w:sz w:val="22"/>
          <w:szCs w:val="22"/>
        </w:rPr>
        <w:t xml:space="preserve">que corresponden a condiciones especiales de </w:t>
      </w:r>
      <w:r w:rsidR="00795A65" w:rsidRPr="00954F93">
        <w:rPr>
          <w:rFonts w:ascii="Verdana" w:hAnsi="Verdana" w:cs="Arial"/>
          <w:sz w:val="22"/>
          <w:szCs w:val="22"/>
        </w:rPr>
        <w:t>ejecución en</w:t>
      </w:r>
      <w:r w:rsidR="005910A1" w:rsidRPr="00954F93">
        <w:rPr>
          <w:rFonts w:ascii="Verdana" w:hAnsi="Verdana" w:cs="Arial"/>
          <w:sz w:val="22"/>
          <w:szCs w:val="22"/>
        </w:rPr>
        <w:t xml:space="preserve"> favor de personas con discapacidad, en virtud del Decreto 287 de 2026</w:t>
      </w:r>
      <w:r w:rsidR="005910DA" w:rsidRPr="00954F93">
        <w:rPr>
          <w:rFonts w:ascii="Verdana" w:hAnsi="Verdana" w:cs="Arial"/>
          <w:sz w:val="22"/>
          <w:szCs w:val="22"/>
        </w:rPr>
        <w:t xml:space="preserve">, así como el deber de </w:t>
      </w:r>
      <w:r w:rsidR="00CF1962" w:rsidRPr="00954F93">
        <w:rPr>
          <w:rFonts w:ascii="Verdana" w:hAnsi="Verdana" w:cs="Arial"/>
          <w:sz w:val="22"/>
          <w:szCs w:val="22"/>
        </w:rPr>
        <w:t>verificación</w:t>
      </w:r>
      <w:r w:rsidR="005910DA" w:rsidRPr="00954F93">
        <w:rPr>
          <w:rFonts w:ascii="Verdana" w:hAnsi="Verdana" w:cs="Arial"/>
          <w:sz w:val="22"/>
          <w:szCs w:val="22"/>
        </w:rPr>
        <w:t xml:space="preserve"> d</w:t>
      </w:r>
      <w:r w:rsidR="00CF1962" w:rsidRPr="00954F93">
        <w:rPr>
          <w:rFonts w:ascii="Verdana" w:hAnsi="Verdana" w:cs="Arial"/>
          <w:sz w:val="22"/>
          <w:szCs w:val="22"/>
        </w:rPr>
        <w:t xml:space="preserve">urante la ejecución contractual </w:t>
      </w:r>
      <w:r w:rsidR="008F19D4" w:rsidRPr="00954F93">
        <w:rPr>
          <w:rFonts w:ascii="Verdana" w:hAnsi="Verdana" w:cs="Arial"/>
          <w:sz w:val="22"/>
          <w:szCs w:val="22"/>
        </w:rPr>
        <w:t xml:space="preserve">del cumplimiento de estas condiciones. </w:t>
      </w:r>
    </w:p>
    <w:p w14:paraId="73F9FF3B" w14:textId="77777777" w:rsidR="00DE1028" w:rsidRPr="00954F93" w:rsidRDefault="00DE1028" w:rsidP="00DE1028">
      <w:pPr>
        <w:ind w:left="720"/>
        <w:jc w:val="both"/>
        <w:rPr>
          <w:rFonts w:ascii="Verdana" w:hAnsi="Verdana" w:cs="Arial"/>
          <w:sz w:val="22"/>
          <w:szCs w:val="22"/>
        </w:rPr>
      </w:pPr>
    </w:p>
    <w:p w14:paraId="0786D87E" w14:textId="577AB3B6" w:rsidR="00DE1028" w:rsidRPr="00954F93" w:rsidRDefault="00DE1028" w:rsidP="00954F93">
      <w:pPr>
        <w:ind w:left="720"/>
        <w:jc w:val="both"/>
        <w:rPr>
          <w:rFonts w:ascii="Verdana" w:hAnsi="Verdana" w:cs="Arial"/>
          <w:sz w:val="22"/>
          <w:szCs w:val="22"/>
        </w:rPr>
      </w:pPr>
      <w:r w:rsidRPr="00954F93">
        <w:rPr>
          <w:rFonts w:ascii="Verdana" w:hAnsi="Verdana" w:cs="Arial"/>
          <w:sz w:val="22"/>
          <w:szCs w:val="22"/>
        </w:rPr>
        <w:t>De igual forma, se establece</w:t>
      </w:r>
      <w:r w:rsidR="00092854" w:rsidRPr="00954F93">
        <w:rPr>
          <w:rFonts w:ascii="Verdana" w:hAnsi="Verdana" w:cs="Arial"/>
          <w:sz w:val="22"/>
          <w:szCs w:val="22"/>
        </w:rPr>
        <w:t xml:space="preserve"> </w:t>
      </w:r>
      <w:proofErr w:type="gramStart"/>
      <w:r w:rsidR="00092854" w:rsidRPr="00954F93">
        <w:rPr>
          <w:rFonts w:ascii="Verdana" w:hAnsi="Verdana" w:cs="Arial"/>
          <w:sz w:val="22"/>
          <w:szCs w:val="22"/>
        </w:rPr>
        <w:t>un cláusula</w:t>
      </w:r>
      <w:proofErr w:type="gramEnd"/>
      <w:r w:rsidR="00092854" w:rsidRPr="00954F93">
        <w:rPr>
          <w:rFonts w:ascii="Verdana" w:hAnsi="Verdana" w:cs="Arial"/>
          <w:sz w:val="22"/>
          <w:szCs w:val="22"/>
        </w:rPr>
        <w:t xml:space="preserve"> de multa,</w:t>
      </w:r>
      <w:r w:rsidRPr="00954F93">
        <w:rPr>
          <w:rFonts w:ascii="Verdana" w:hAnsi="Verdana" w:cs="Arial"/>
          <w:sz w:val="22"/>
          <w:szCs w:val="22"/>
        </w:rPr>
        <w:t xml:space="preserve"> en</w:t>
      </w:r>
      <w:r w:rsidRPr="00954F93">
        <w:rPr>
          <w:rFonts w:ascii="Verdana" w:eastAsia="Arial" w:hAnsi="Verdana" w:cs="Arial"/>
          <w:sz w:val="22"/>
        </w:rPr>
        <w:t xml:space="preserve"> caso de que el contratista haya obtenido puntos por emprendimientos y empresas de personas con discapacidad, y se presente la </w:t>
      </w:r>
      <w:r w:rsidRPr="00954F93">
        <w:rPr>
          <w:rFonts w:ascii="Verdana" w:hAnsi="Verdana" w:cstheme="minorHAnsi"/>
          <w:sz w:val="22"/>
        </w:rPr>
        <w:t xml:space="preserve">reducción injustificada del número de trabajadores con discapacidad de la planta de personal, </w:t>
      </w:r>
      <w:r w:rsidRPr="00954F93">
        <w:rPr>
          <w:rFonts w:ascii="Verdana" w:eastAsia="Arial" w:hAnsi="Verdana" w:cs="Arial"/>
          <w:sz w:val="22"/>
        </w:rPr>
        <w:t>por cada día de incumplimiento de la obligación de vincular a este grupo poblacional durante toda la ejecución del contrato</w:t>
      </w:r>
      <w:r w:rsidR="00092854" w:rsidRPr="00954F93">
        <w:rPr>
          <w:rFonts w:ascii="Verdana" w:eastAsia="Arial" w:hAnsi="Verdana" w:cs="Arial"/>
          <w:sz w:val="22"/>
        </w:rPr>
        <w:t>.</w:t>
      </w:r>
    </w:p>
    <w:p w14:paraId="04406D7D" w14:textId="77777777" w:rsidR="008960DF" w:rsidRPr="00611315" w:rsidRDefault="008960DF" w:rsidP="007B79D8">
      <w:pPr>
        <w:rPr>
          <w:rFonts w:ascii="Verdana" w:hAnsi="Verdana" w:cs="Arial"/>
          <w:sz w:val="22"/>
          <w:szCs w:val="22"/>
          <w:highlight w:val="yellow"/>
        </w:rPr>
      </w:pPr>
    </w:p>
    <w:p w14:paraId="09CA422B" w14:textId="2A67B695" w:rsidR="00D32D28" w:rsidRPr="00954F93" w:rsidRDefault="009D4FD4" w:rsidP="00954F93">
      <w:pPr>
        <w:widowControl w:val="0"/>
        <w:autoSpaceDE w:val="0"/>
        <w:autoSpaceDN w:val="0"/>
        <w:jc w:val="both"/>
        <w:rPr>
          <w:rFonts w:ascii="Verdana" w:eastAsia="Aptos" w:hAnsi="Verdana"/>
          <w:kern w:val="2"/>
          <w:sz w:val="22"/>
          <w:szCs w:val="22"/>
          <w14:ligatures w14:val="standardContextual"/>
        </w:rPr>
      </w:pPr>
      <w:r w:rsidRPr="00611315">
        <w:rPr>
          <w:rFonts w:ascii="Verdana" w:eastAsia="Aptos" w:hAnsi="Verdana"/>
          <w:kern w:val="2"/>
          <w:sz w:val="22"/>
          <w:szCs w:val="22"/>
          <w14:ligatures w14:val="standardContextual"/>
        </w:rPr>
        <w:t>Ahora bien, teniendo en cuenta los aspectos ajustados e incorpo</w:t>
      </w:r>
      <w:r w:rsidR="00D53995" w:rsidRPr="00611315">
        <w:rPr>
          <w:rFonts w:ascii="Verdana" w:eastAsia="Aptos" w:hAnsi="Verdana"/>
          <w:kern w:val="2"/>
          <w:sz w:val="22"/>
          <w:szCs w:val="22"/>
          <w14:ligatures w14:val="standardContextual"/>
        </w:rPr>
        <w:t xml:space="preserve">rados relacionados </w:t>
      </w:r>
      <w:r w:rsidR="00BB7535" w:rsidRPr="00611315">
        <w:rPr>
          <w:rFonts w:ascii="Verdana" w:eastAsia="Aptos" w:hAnsi="Verdana"/>
          <w:kern w:val="2"/>
          <w:sz w:val="22"/>
          <w:szCs w:val="22"/>
          <w14:ligatures w14:val="standardContextual"/>
        </w:rPr>
        <w:t>con</w:t>
      </w:r>
      <w:r w:rsidR="00DB1FF0" w:rsidRPr="00611315">
        <w:rPr>
          <w:rFonts w:ascii="Verdana" w:eastAsia="Aptos" w:hAnsi="Verdana"/>
          <w:kern w:val="2"/>
          <w:sz w:val="22"/>
          <w:szCs w:val="22"/>
          <w14:ligatures w14:val="standardContextual"/>
        </w:rPr>
        <w:t xml:space="preserve"> empleadores, emprendimientos y empresas de personas con discapacidad, conforme al Decreto 287 de 2026,</w:t>
      </w:r>
      <w:r w:rsidR="005F637E" w:rsidRPr="00611315">
        <w:rPr>
          <w:rFonts w:ascii="Verdana" w:eastAsia="Aptos" w:hAnsi="Verdana"/>
          <w:kern w:val="2"/>
          <w:sz w:val="22"/>
          <w:szCs w:val="22"/>
          <w14:ligatures w14:val="standardContextual"/>
        </w:rPr>
        <w:t xml:space="preserve"> conviene señalar que, de</w:t>
      </w:r>
      <w:r w:rsidR="00D32D28" w:rsidRPr="00954F93">
        <w:rPr>
          <w:rFonts w:ascii="Verdana" w:eastAsia="Aptos" w:hAnsi="Verdana"/>
          <w:kern w:val="2"/>
          <w:sz w:val="22"/>
          <w:szCs w:val="22"/>
          <w14:ligatures w14:val="standardContextual"/>
        </w:rPr>
        <w:t xml:space="preserve"> acuerdo con la memoria justificativa del Decreto 287 del 19 de marzo de 2026</w:t>
      </w:r>
      <w:r w:rsidR="00D32D28" w:rsidRPr="00954F93">
        <w:rPr>
          <w:rFonts w:ascii="Verdana" w:eastAsia="Aptos" w:hAnsi="Verdana"/>
          <w:kern w:val="2"/>
          <w:sz w:val="22"/>
          <w:szCs w:val="22"/>
          <w:vertAlign w:val="superscript"/>
          <w14:ligatures w14:val="standardContextual"/>
        </w:rPr>
        <w:footnoteReference w:id="26"/>
      </w:r>
      <w:r w:rsidR="00D32D28" w:rsidRPr="00954F93">
        <w:rPr>
          <w:rFonts w:ascii="Verdana" w:eastAsia="Aptos" w:hAnsi="Verdana"/>
          <w:kern w:val="2"/>
          <w:sz w:val="22"/>
          <w:szCs w:val="22"/>
          <w14:ligatures w14:val="standardContextual"/>
        </w:rPr>
        <w:t xml:space="preserve">, históricamente las Personas con Discapacidad han enfrentado mayores tasas de desempleo y barreras de acceso al mercado. Aunque leyes previas como la Ley 1618 de 2013, ordenaban un sistema de preferencias para </w:t>
      </w:r>
      <w:r w:rsidR="00D32D28" w:rsidRPr="00954F93">
        <w:rPr>
          <w:rFonts w:ascii="Verdana" w:eastAsia="Aptos" w:hAnsi="Verdana"/>
          <w:kern w:val="2"/>
          <w:sz w:val="22"/>
          <w:szCs w:val="22"/>
          <w14:ligatures w14:val="standardContextual"/>
        </w:rPr>
        <w:lastRenderedPageBreak/>
        <w:t>estas personas, la regulación anterior –el Decreto 392 de 2018–, se limitaba a medidas aisladas de puntaje que no garantizaban una participación equitativa desde el inicio de los procesos contractuales. Esto fue ratificado por el Consejo de Estado</w:t>
      </w:r>
      <w:r w:rsidR="00D32D28" w:rsidRPr="00954F93">
        <w:rPr>
          <w:rFonts w:ascii="Verdana" w:eastAsia="Aptos" w:hAnsi="Verdana"/>
          <w:kern w:val="2"/>
          <w:sz w:val="22"/>
          <w:szCs w:val="22"/>
          <w:vertAlign w:val="superscript"/>
          <w14:ligatures w14:val="standardContextual"/>
        </w:rPr>
        <w:footnoteReference w:id="27"/>
      </w:r>
      <w:r w:rsidR="00D32D28" w:rsidRPr="00954F93">
        <w:rPr>
          <w:rFonts w:ascii="Verdana" w:eastAsia="Aptos" w:hAnsi="Verdana"/>
          <w:kern w:val="2"/>
          <w:sz w:val="22"/>
          <w:szCs w:val="22"/>
          <w14:ligatures w14:val="standardContextual"/>
        </w:rPr>
        <w:t xml:space="preserve"> que mediante una acción de cumplimiento declaró el incumplimiento del deber de reglamentar integralmente el artículo 13 de la Ley 1618 de 2013 y ordenó al Gobierno Nacional expedir la regulación necesaria para hacer efectivo el sistema de preferencias en favor de las personas con discapacidad, sus emprendimientos y empresas que las contratan.</w:t>
      </w:r>
    </w:p>
    <w:p w14:paraId="664266BA" w14:textId="77777777" w:rsidR="0083621F" w:rsidRPr="00611315" w:rsidRDefault="0083621F" w:rsidP="00E07A6E">
      <w:pPr>
        <w:widowControl w:val="0"/>
        <w:autoSpaceDE w:val="0"/>
        <w:autoSpaceDN w:val="0"/>
        <w:jc w:val="both"/>
        <w:rPr>
          <w:rFonts w:ascii="Verdana" w:eastAsia="Aptos" w:hAnsi="Verdana"/>
          <w:kern w:val="2"/>
          <w:sz w:val="22"/>
          <w:szCs w:val="22"/>
          <w14:ligatures w14:val="standardContextual"/>
        </w:rPr>
      </w:pPr>
    </w:p>
    <w:p w14:paraId="2F592757" w14:textId="55457FBD" w:rsidR="00D32D28" w:rsidRPr="00611315" w:rsidRDefault="00D32D28" w:rsidP="00E07A6E">
      <w:pPr>
        <w:widowControl w:val="0"/>
        <w:autoSpaceDE w:val="0"/>
        <w:autoSpaceDN w:val="0"/>
        <w:jc w:val="both"/>
        <w:rPr>
          <w:rFonts w:ascii="Verdana" w:eastAsia="Aptos" w:hAnsi="Verdana"/>
          <w:i/>
          <w:iCs/>
          <w:kern w:val="2"/>
          <w:sz w:val="22"/>
          <w:szCs w:val="22"/>
          <w14:ligatures w14:val="standardContextual"/>
        </w:rPr>
      </w:pPr>
      <w:r w:rsidRPr="00954F93">
        <w:rPr>
          <w:rFonts w:ascii="Verdana" w:eastAsia="Aptos" w:hAnsi="Verdana"/>
          <w:kern w:val="2"/>
          <w:sz w:val="22"/>
          <w:szCs w:val="22"/>
          <w14:ligatures w14:val="standardContextual"/>
        </w:rPr>
        <w:t xml:space="preserve">En este sentido, la parte considerativa del Decreto 287 de 2026, indica que la Ley Estatutaria 1618 del 2013 establece un conjunto de medidas en favor de las personas con discapacidad, </w:t>
      </w:r>
      <w:r w:rsidRPr="00954F93">
        <w:rPr>
          <w:rFonts w:ascii="Verdana" w:eastAsia="Aptos" w:hAnsi="Verdana"/>
          <w:i/>
          <w:iCs/>
          <w:kern w:val="2"/>
          <w:sz w:val="22"/>
          <w:szCs w:val="22"/>
          <w14:ligatures w14:val="standardContextual"/>
        </w:rPr>
        <w:t xml:space="preserve">“(…) dentro de las que se destacan las contenidas en el numeral 1, que establece el deber del Gobierno Nacional de reglamentar una puntuación adicional en procesos de licitación pública, concurso de méritos y contratación directa para i) las empresas que tengan personas con discapacidad y para </w:t>
      </w:r>
      <w:proofErr w:type="spellStart"/>
      <w:r w:rsidRPr="00954F93">
        <w:rPr>
          <w:rFonts w:ascii="Verdana" w:eastAsia="Aptos" w:hAnsi="Verdana"/>
          <w:i/>
          <w:iCs/>
          <w:kern w:val="2"/>
          <w:sz w:val="22"/>
          <w:szCs w:val="22"/>
          <w14:ligatures w14:val="standardContextual"/>
        </w:rPr>
        <w:t>ii</w:t>
      </w:r>
      <w:proofErr w:type="spellEnd"/>
      <w:r w:rsidRPr="00954F93">
        <w:rPr>
          <w:rFonts w:ascii="Verdana" w:eastAsia="Aptos" w:hAnsi="Verdana"/>
          <w:i/>
          <w:iCs/>
          <w:kern w:val="2"/>
          <w:sz w:val="22"/>
          <w:szCs w:val="22"/>
          <w14:ligatures w14:val="standardContextual"/>
        </w:rPr>
        <w:t xml:space="preserve">) las empresas de personas con discapacidad, familiares y tutores, así como también la contenida en el numeral 7, que demanda del Gobierno Nacional reglamentar la implementación de un sistema de preferencias en favor de empleadores de personas con discapacidad aplicable a procesos de selección y celebración de contratos; y la consagrada en el numeral 8, que demanda de los gobiernos nacional, departamentales, distritales y municipales fijar mediante decreto reglamentario la implementación de un sistema de preferencias en favor de las personas con discapacidad aplicable a procesos de selección de contratistas (…)”. </w:t>
      </w:r>
    </w:p>
    <w:p w14:paraId="6F4BC3B2" w14:textId="77777777" w:rsidR="0083621F" w:rsidRPr="00954F93" w:rsidRDefault="0083621F" w:rsidP="00954F93">
      <w:pPr>
        <w:widowControl w:val="0"/>
        <w:autoSpaceDE w:val="0"/>
        <w:autoSpaceDN w:val="0"/>
        <w:jc w:val="both"/>
        <w:rPr>
          <w:rFonts w:ascii="Verdana" w:eastAsia="Aptos" w:hAnsi="Verdana"/>
          <w:kern w:val="2"/>
          <w:sz w:val="22"/>
          <w:szCs w:val="22"/>
          <w14:ligatures w14:val="standardContextual"/>
        </w:rPr>
      </w:pPr>
    </w:p>
    <w:p w14:paraId="0A470588" w14:textId="77777777" w:rsidR="00D32D28" w:rsidRPr="00611315" w:rsidRDefault="00D32D28" w:rsidP="00E07A6E">
      <w:pPr>
        <w:widowControl w:val="0"/>
        <w:autoSpaceDE w:val="0"/>
        <w:autoSpaceDN w:val="0"/>
        <w:jc w:val="both"/>
        <w:rPr>
          <w:rFonts w:ascii="Verdana" w:eastAsia="Aptos" w:hAnsi="Verdana"/>
          <w:i/>
          <w:iCs/>
          <w:kern w:val="2"/>
          <w:sz w:val="22"/>
          <w:szCs w:val="22"/>
          <w14:ligatures w14:val="standardContextual"/>
        </w:rPr>
      </w:pPr>
      <w:r w:rsidRPr="00954F93">
        <w:rPr>
          <w:rFonts w:ascii="Verdana" w:eastAsia="Aptos" w:hAnsi="Verdana"/>
          <w:kern w:val="2"/>
          <w:sz w:val="22"/>
          <w:szCs w:val="22"/>
          <w14:ligatures w14:val="standardContextual"/>
        </w:rPr>
        <w:t>En virtud de lo exigido por los numerales uno (1), siete (7) y ocho (8) del artículo 13 de la Ley Estatutaria 1618 del 2013, fue expedido el Decreto 392 del 26 de febrero de 2018</w:t>
      </w:r>
      <w:r w:rsidRPr="00954F93">
        <w:rPr>
          <w:rFonts w:ascii="Verdana" w:eastAsia="Aptos" w:hAnsi="Verdana"/>
          <w:kern w:val="2"/>
          <w:sz w:val="22"/>
          <w:szCs w:val="22"/>
          <w:vertAlign w:val="superscript"/>
          <w14:ligatures w14:val="standardContextual"/>
        </w:rPr>
        <w:footnoteReference w:id="28"/>
      </w:r>
      <w:r w:rsidRPr="00954F93">
        <w:rPr>
          <w:rFonts w:ascii="Verdana" w:eastAsia="Aptos" w:hAnsi="Verdana"/>
          <w:kern w:val="2"/>
          <w:sz w:val="22"/>
          <w:szCs w:val="22"/>
          <w14:ligatures w14:val="standardContextual"/>
        </w:rPr>
        <w:t xml:space="preserve">, mediante el cual se adicionan los artículos 2.2.1.2.4.2.6., 2.2.1.2.4.2.7. y 2.2.1.2.4.2.8. al Decreto 1082 de 2015. El primero de estos artículos, reglamenta parcialmente el numeral 1 del artículo 13 de la Ley Estatutaria 1618 del 2013, estableciendo que, las entidades estatales deberán otorgar el uno por ciento (1 %) del total de los puntos establecidos en el pliego de condiciones en los procesos de licitación pública y concurso de méritos, a los proponentes que acrediten la vinculación de trabajadores con discapacidad en su planta de personal. Sin embargo, de acuerdo con la parte considerativa del Decreto 287 de 2026 esta regulación favorece </w:t>
      </w:r>
      <w:r w:rsidRPr="00954F93">
        <w:rPr>
          <w:rFonts w:ascii="Verdana" w:eastAsia="Aptos" w:hAnsi="Verdana"/>
          <w:i/>
          <w:iCs/>
          <w:kern w:val="2"/>
          <w:sz w:val="22"/>
          <w:szCs w:val="22"/>
          <w14:ligatures w14:val="standardContextual"/>
        </w:rPr>
        <w:t xml:space="preserve">“(…) única y exclusivamente a las empresas que vinculan personas con discapacidad en su planta de personal, omitiendo el favorecimiento que debía reglamentarse en favor de las </w:t>
      </w:r>
      <w:r w:rsidRPr="00954F93">
        <w:rPr>
          <w:rFonts w:ascii="Verdana" w:eastAsia="Aptos" w:hAnsi="Verdana"/>
          <w:i/>
          <w:iCs/>
          <w:kern w:val="2"/>
          <w:sz w:val="22"/>
          <w:szCs w:val="22"/>
          <w14:ligatures w14:val="standardContextual"/>
        </w:rPr>
        <w:lastRenderedPageBreak/>
        <w:t>empresas de personas con discapacidad, familiares y tutores, tal y como lo dispuso el numeral 1 de la norma referida”.</w:t>
      </w:r>
    </w:p>
    <w:p w14:paraId="27EB7260" w14:textId="77777777" w:rsidR="0083621F" w:rsidRPr="00954F93" w:rsidRDefault="0083621F" w:rsidP="00954F93">
      <w:pPr>
        <w:widowControl w:val="0"/>
        <w:autoSpaceDE w:val="0"/>
        <w:autoSpaceDN w:val="0"/>
        <w:jc w:val="both"/>
        <w:rPr>
          <w:rFonts w:ascii="Verdana" w:eastAsia="Aptos" w:hAnsi="Verdana"/>
          <w:i/>
          <w:iCs/>
          <w:kern w:val="2"/>
          <w:sz w:val="22"/>
          <w:szCs w:val="22"/>
          <w14:ligatures w14:val="standardContextual"/>
        </w:rPr>
      </w:pPr>
    </w:p>
    <w:p w14:paraId="61ABEC79" w14:textId="5E9014ED" w:rsidR="00D32D28" w:rsidRPr="00611315" w:rsidRDefault="00D32D28" w:rsidP="00E07A6E">
      <w:pPr>
        <w:widowControl w:val="0"/>
        <w:autoSpaceDE w:val="0"/>
        <w:autoSpaceDN w:val="0"/>
        <w:jc w:val="both"/>
        <w:rPr>
          <w:rFonts w:ascii="Verdana" w:eastAsia="Aptos" w:hAnsi="Verdana"/>
          <w:i/>
          <w:iCs/>
          <w:kern w:val="2"/>
          <w:sz w:val="22"/>
          <w:szCs w:val="22"/>
          <w14:ligatures w14:val="standardContextual"/>
        </w:rPr>
      </w:pPr>
      <w:r w:rsidRPr="00954F93">
        <w:rPr>
          <w:rFonts w:ascii="Verdana" w:eastAsia="Aptos" w:hAnsi="Verdana"/>
          <w:kern w:val="2"/>
          <w:sz w:val="22"/>
          <w:szCs w:val="22"/>
          <w14:ligatures w14:val="standardContextual"/>
        </w:rPr>
        <w:t xml:space="preserve">Por su parte, el artículo 2.2.1.2.4.2.8. del Decreto 1082 de 2015, de acuerdo con su literalidad, reglamenta los numerales 7 y 8 del artículo 13 de la Ley Estatutaria 1618 del 2013, en la medida en que establece los sistemas de preferencias a los que hacen referencia dichos numerales, pero los reduce a la aplicación de la metodología de desempate consagrada en el artículo 2.2.1.2.4.2.8. de ese mismo Decreto. No obstante, de acuerdo con la parte motiva del Decreto 287 de 2026 </w:t>
      </w:r>
      <w:r w:rsidRPr="00954F93">
        <w:rPr>
          <w:rFonts w:ascii="Verdana" w:eastAsia="Aptos" w:hAnsi="Verdana"/>
          <w:i/>
          <w:iCs/>
          <w:kern w:val="2"/>
          <w:sz w:val="22"/>
          <w:szCs w:val="22"/>
          <w14:ligatures w14:val="standardContextual"/>
        </w:rPr>
        <w:t>“(…) se omite el favorecimiento de las propuestas presentadas por los oferentes que sean personas con discapacidad, como lo exige el numeral 8 del artículo 13 de la Ley Estatutaria 1618 del 2013</w:t>
      </w:r>
      <w:r w:rsidR="0044344B" w:rsidRPr="00611315">
        <w:rPr>
          <w:rFonts w:ascii="Verdana" w:eastAsia="Aptos" w:hAnsi="Verdana"/>
          <w:i/>
          <w:iCs/>
          <w:kern w:val="2"/>
          <w:sz w:val="22"/>
          <w:szCs w:val="22"/>
          <w14:ligatures w14:val="standardContextual"/>
        </w:rPr>
        <w:t>”</w:t>
      </w:r>
      <w:r w:rsidRPr="00954F93">
        <w:rPr>
          <w:rFonts w:ascii="Verdana" w:eastAsia="Aptos" w:hAnsi="Verdana"/>
          <w:i/>
          <w:iCs/>
          <w:kern w:val="2"/>
          <w:sz w:val="22"/>
          <w:szCs w:val="22"/>
          <w14:ligatures w14:val="standardContextual"/>
        </w:rPr>
        <w:t>.</w:t>
      </w:r>
    </w:p>
    <w:p w14:paraId="18CFF244" w14:textId="77777777" w:rsidR="0083621F" w:rsidRPr="00954F93" w:rsidRDefault="0083621F" w:rsidP="00954F93">
      <w:pPr>
        <w:widowControl w:val="0"/>
        <w:autoSpaceDE w:val="0"/>
        <w:autoSpaceDN w:val="0"/>
        <w:jc w:val="both"/>
        <w:rPr>
          <w:rFonts w:ascii="Verdana" w:eastAsia="Aptos" w:hAnsi="Verdana"/>
          <w:kern w:val="2"/>
          <w:sz w:val="22"/>
          <w:szCs w:val="22"/>
          <w14:ligatures w14:val="standardContextual"/>
        </w:rPr>
      </w:pPr>
    </w:p>
    <w:p w14:paraId="02B1CDE8" w14:textId="77777777" w:rsidR="00D32D28" w:rsidRPr="00954F93" w:rsidRDefault="00D32D28" w:rsidP="00954F93">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En consecuencia, de acuerdo con las consideraciones desarrolladas en el Decreto 287 de 2026, la Ley 1618 de 2013 carece de reglamentación concreta sobre los aspectos señalados, que no fueron cubiertos por las disposiciones que para el efecto desarrolló el Decreto 392 del 26 de febrero de 2018. Por lo tanto, mediante la expedición del mencionado decreto, en aplicación directa de la Constitución Política y para que exista una igualdad material para las personas con discapacidad, este pretende subsanar la falta de acciones afirmativas del Decreto 392 de 2018, modificando los artículos 2.2.1.2.4.2.6, 2.2.1.2.4.2.7. y 2.2.1.2.4.2.8. del Decreto 1082 de 2015. </w:t>
      </w:r>
    </w:p>
    <w:p w14:paraId="2DDB0028" w14:textId="77777777" w:rsidR="00D32D28" w:rsidRPr="00954F93" w:rsidRDefault="00D32D28" w:rsidP="00954F93">
      <w:pPr>
        <w:widowControl w:val="0"/>
        <w:autoSpaceDE w:val="0"/>
        <w:autoSpaceDN w:val="0"/>
        <w:ind w:firstLine="708"/>
        <w:jc w:val="both"/>
        <w:rPr>
          <w:rFonts w:ascii="Verdana" w:eastAsia="Aptos" w:hAnsi="Verdana"/>
          <w:kern w:val="2"/>
          <w:sz w:val="22"/>
          <w:szCs w:val="22"/>
          <w14:ligatures w14:val="standardContextual"/>
        </w:rPr>
      </w:pPr>
    </w:p>
    <w:p w14:paraId="45A1D692" w14:textId="44A6ADEC" w:rsidR="00D32D28" w:rsidRPr="00954F93" w:rsidRDefault="002F3FEC" w:rsidP="00954F93">
      <w:pPr>
        <w:widowControl w:val="0"/>
        <w:autoSpaceDE w:val="0"/>
        <w:autoSpaceDN w:val="0"/>
        <w:jc w:val="both"/>
        <w:rPr>
          <w:rFonts w:ascii="Verdana" w:eastAsia="Aptos" w:hAnsi="Verdana"/>
          <w:kern w:val="2"/>
          <w:sz w:val="22"/>
          <w:szCs w:val="22"/>
          <w14:ligatures w14:val="standardContextual"/>
        </w:rPr>
      </w:pPr>
      <w:r w:rsidRPr="00611315">
        <w:rPr>
          <w:rFonts w:ascii="Verdana" w:eastAsia="Aptos" w:hAnsi="Verdana"/>
          <w:kern w:val="2"/>
          <w:sz w:val="22"/>
          <w:szCs w:val="22"/>
          <w14:ligatures w14:val="standardContextual"/>
        </w:rPr>
        <w:t>En ese sentido</w:t>
      </w:r>
      <w:r w:rsidR="00D32D28" w:rsidRPr="00954F93">
        <w:rPr>
          <w:rFonts w:ascii="Verdana" w:eastAsia="Aptos" w:hAnsi="Verdana"/>
          <w:kern w:val="2"/>
          <w:sz w:val="22"/>
          <w:szCs w:val="22"/>
          <w14:ligatures w14:val="standardContextual"/>
        </w:rPr>
        <w:t xml:space="preserve">, </w:t>
      </w:r>
      <w:r w:rsidR="00D32D28" w:rsidRPr="00954F93">
        <w:rPr>
          <w:rFonts w:ascii="Verdana" w:eastAsia="Aptos" w:hAnsi="Verdana" w:cs="AppleSystemUIFont"/>
          <w:sz w:val="22"/>
          <w:szCs w:val="22"/>
          <w:lang w:val="es-MX"/>
          <w14:ligatures w14:val="standardContextual"/>
        </w:rPr>
        <w:t xml:space="preserve">la expedición del Decreto 287 de 2026 introduce un conjunto de prerrogativas dirigidas a garantizar la igualdad material de las personas con discapacidad, en desarrollo de la Ley 1618 de 2013 y del mandato constitucional de no discriminación, lo que impone la necesidad de una adecuación de los documentos tipo expedidos por la Agencia Nacional </w:t>
      </w:r>
      <w:r w:rsidR="00D32D28" w:rsidRPr="00954F93">
        <w:rPr>
          <w:rFonts w:ascii="Verdana" w:eastAsia="Aptos" w:hAnsi="Verdana"/>
          <w:kern w:val="2"/>
          <w:sz w:val="22"/>
          <w:szCs w:val="22"/>
          <w14:ligatures w14:val="standardContextual"/>
        </w:rPr>
        <w:t>de Contratación Pública – Colombia Compra Eficiente.</w:t>
      </w:r>
    </w:p>
    <w:p w14:paraId="6CB18949" w14:textId="77777777"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Esta situación resulta particularmente relevante teniendo en cuenta que, los documentos tipo, al fijar reglas uniformes para las entidades estatales sometidas al Estatuto General de Contratación de la Administración Pública y otros sujetos obligados a su aplicación, pueden convertirse en barreras estructurales de acceso cuando no incorporan enfoques diferenciales, afectando la participación de poblaciones históricamente excluidas. </w:t>
      </w:r>
    </w:p>
    <w:p w14:paraId="32F37FD9" w14:textId="77777777" w:rsidR="0083621F" w:rsidRPr="00954F93" w:rsidRDefault="0083621F" w:rsidP="00954F93">
      <w:pPr>
        <w:widowControl w:val="0"/>
        <w:autoSpaceDE w:val="0"/>
        <w:autoSpaceDN w:val="0"/>
        <w:jc w:val="both"/>
        <w:rPr>
          <w:rFonts w:ascii="Verdana" w:eastAsia="Aptos" w:hAnsi="Verdana"/>
          <w:kern w:val="2"/>
          <w:sz w:val="22"/>
          <w:szCs w:val="22"/>
          <w14:ligatures w14:val="standardContextual"/>
        </w:rPr>
      </w:pPr>
    </w:p>
    <w:p w14:paraId="71ECA516" w14:textId="77777777"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Desde el punto de vista jurídico, uno de los aspectos que exige la modificación de los documentos tipo de licitación pública, selección abreviada de menor cuantía y concurso de méritos en los sectores en los que estos han sido adoptados, corresponde a los requisitos habilitantes, los cuales han sido tradicionalmente diseñados bajo parámetros homogéneos que no consideran las condiciones particulares de los emprendimientos y empresas de personas con discapacidad. Tal como se señaló, el Decreto 287 de 2026 </w:t>
      </w:r>
      <w:r w:rsidRPr="00954F93">
        <w:rPr>
          <w:rFonts w:ascii="Verdana" w:eastAsia="Aptos" w:hAnsi="Verdana"/>
          <w:kern w:val="2"/>
          <w:sz w:val="22"/>
          <w:szCs w:val="22"/>
          <w14:ligatures w14:val="standardContextual"/>
        </w:rPr>
        <w:lastRenderedPageBreak/>
        <w:t xml:space="preserve">reconoce que la rigidez de estos requisitos puede impedir su participación efectiva, al punto de tornar inocuas otras medidas como el otorgamiento de puntajes adicionales. En consecuencia, los documentos tipo en las modalidades señaladas y en los sectores implementados, deben incorporar </w:t>
      </w:r>
      <w:r w:rsidRPr="00954F93">
        <w:rPr>
          <w:rFonts w:ascii="Verdana" w:eastAsia="Aptos" w:hAnsi="Verdana"/>
          <w:i/>
          <w:iCs/>
          <w:kern w:val="2"/>
          <w:sz w:val="22"/>
          <w:szCs w:val="22"/>
          <w14:ligatures w14:val="standardContextual"/>
        </w:rPr>
        <w:t>“(…) requisitos habilitantes diferenciales o ajustados en materia de experiencia, capacidad financiera u organizacional, o el valor de la garantía de seriedad de la oferta, con el fin de promover la participación de emprendimientos y empresas de personas con discapacidad con domicilio en el territorio nacional”</w:t>
      </w:r>
      <w:r w:rsidRPr="00954F93">
        <w:rPr>
          <w:rFonts w:ascii="Verdana" w:eastAsia="Aptos" w:hAnsi="Verdana"/>
          <w:i/>
          <w:iCs/>
          <w:kern w:val="2"/>
          <w:sz w:val="22"/>
          <w:szCs w:val="22"/>
          <w:vertAlign w:val="superscript"/>
          <w14:ligatures w14:val="standardContextual"/>
        </w:rPr>
        <w:footnoteReference w:id="29"/>
      </w:r>
      <w:r w:rsidRPr="00954F93">
        <w:rPr>
          <w:rFonts w:ascii="Verdana" w:eastAsia="Aptos" w:hAnsi="Verdana"/>
          <w:i/>
          <w:iCs/>
          <w:kern w:val="2"/>
          <w:sz w:val="22"/>
          <w:szCs w:val="22"/>
          <w14:ligatures w14:val="standardContextual"/>
        </w:rPr>
        <w:t>,</w:t>
      </w:r>
      <w:r w:rsidRPr="00954F93">
        <w:rPr>
          <w:rFonts w:ascii="Verdana" w:eastAsia="Aptos" w:hAnsi="Verdana"/>
          <w:kern w:val="2"/>
          <w:sz w:val="22"/>
          <w:szCs w:val="22"/>
          <w14:ligatures w14:val="standardContextual"/>
        </w:rPr>
        <w:t xml:space="preserve"> de tal manera que se eliminen barreras de entrada injustificadas sin comprometer la idoneidad del contratista, en aplicación del principio de igualdad material.</w:t>
      </w:r>
    </w:p>
    <w:p w14:paraId="20C1064E" w14:textId="77777777" w:rsidR="0038549A" w:rsidRPr="00954F93" w:rsidRDefault="0038549A" w:rsidP="00954F93">
      <w:pPr>
        <w:widowControl w:val="0"/>
        <w:autoSpaceDE w:val="0"/>
        <w:autoSpaceDN w:val="0"/>
        <w:jc w:val="both"/>
        <w:rPr>
          <w:rFonts w:ascii="Verdana" w:eastAsia="Aptos" w:hAnsi="Verdana"/>
          <w:kern w:val="2"/>
          <w:sz w:val="22"/>
          <w:szCs w:val="22"/>
          <w14:ligatures w14:val="standardContextual"/>
        </w:rPr>
      </w:pPr>
    </w:p>
    <w:p w14:paraId="1E8628AB" w14:textId="2B058CBF"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Así, los documentos tipo de licitación pública, selección abreviada de menor cuantía y concurso de méritos deben ser modificados por la Agencia Nacional de Contratación Pública – Colombia Compra Eficiente para incluir la reciente modificación al artículo 2.2.1.2.4.2.7.3 del Decreto 1082 de 2015. Lo anterior implica que, además de los requisitos habilitantes diferenciales previstos para </w:t>
      </w:r>
      <w:r w:rsidR="00795A65" w:rsidRPr="00954F93">
        <w:rPr>
          <w:rFonts w:ascii="Verdana" w:eastAsia="Aptos" w:hAnsi="Verdana"/>
          <w:kern w:val="2"/>
          <w:sz w:val="22"/>
          <w:szCs w:val="22"/>
          <w14:ligatures w14:val="standardContextual"/>
        </w:rPr>
        <w:t>MiPymes</w:t>
      </w:r>
      <w:r w:rsidRPr="00954F93">
        <w:rPr>
          <w:rFonts w:ascii="Verdana" w:eastAsia="Aptos" w:hAnsi="Verdana"/>
          <w:kern w:val="2"/>
          <w:sz w:val="22"/>
          <w:szCs w:val="22"/>
          <w14:ligatures w14:val="standardContextual"/>
        </w:rPr>
        <w:t xml:space="preserve"> y emprendimientos y empresas de mujeres, se incluyan los dispuestos en el Decreto 287 de 2026 en favor de los emprendimientos y empresas de personas con discapacidad.</w:t>
      </w:r>
    </w:p>
    <w:p w14:paraId="6912D879" w14:textId="77777777" w:rsidR="0038549A" w:rsidRPr="00954F93" w:rsidRDefault="0038549A" w:rsidP="00954F93">
      <w:pPr>
        <w:widowControl w:val="0"/>
        <w:autoSpaceDE w:val="0"/>
        <w:autoSpaceDN w:val="0"/>
        <w:jc w:val="both"/>
        <w:rPr>
          <w:rFonts w:ascii="Verdana" w:eastAsia="Aptos" w:hAnsi="Verdana"/>
          <w:kern w:val="2"/>
          <w:sz w:val="22"/>
          <w:szCs w:val="22"/>
          <w14:ligatures w14:val="standardContextual"/>
        </w:rPr>
      </w:pPr>
    </w:p>
    <w:p w14:paraId="1BD2DC59" w14:textId="77777777"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De igual forma, resulta necesario ajustar los factores de evaluación para incluir el puntaje adicional previsto en el Decreto 287 de 2026, en favor de los empleadores de personas con discapacidad y de los emprendimientos y empresas conformados por esta población. Esto, considerando que el artículo 2.2.1.2.4.2.7.4 del Decreto 1082 de 2015, modificado por el artículo 1 del Decreto 287 de 2026, establece que </w:t>
      </w:r>
      <w:r w:rsidRPr="00954F93">
        <w:rPr>
          <w:rFonts w:ascii="Verdana" w:eastAsia="Aptos" w:hAnsi="Verdana"/>
          <w:i/>
          <w:iCs/>
          <w:kern w:val="2"/>
          <w:sz w:val="22"/>
          <w:szCs w:val="22"/>
          <w14:ligatures w14:val="standardContextual"/>
        </w:rPr>
        <w:t>“(…) en los procedimientos de licitación pública y concurso de méritos, las Entidades Estatales otorgaran un puntaje adicional máximo del dos por cuento (2%) del valor total de los puntos establecidos en los Pliegos de condiciones o documentos equivalentes”</w:t>
      </w:r>
      <w:r w:rsidRPr="00954F93">
        <w:rPr>
          <w:rFonts w:ascii="Verdana" w:eastAsia="Aptos" w:hAnsi="Verdana"/>
          <w:kern w:val="2"/>
          <w:sz w:val="22"/>
          <w:szCs w:val="22"/>
          <w14:ligatures w14:val="standardContextual"/>
        </w:rPr>
        <w:t xml:space="preserve"> cuando se configuren las situaciones que allí se establecen, pero que </w:t>
      </w:r>
      <w:r w:rsidRPr="00954F93">
        <w:rPr>
          <w:rFonts w:ascii="Verdana" w:eastAsia="Aptos" w:hAnsi="Verdana"/>
          <w:i/>
          <w:iCs/>
          <w:kern w:val="2"/>
          <w:sz w:val="22"/>
          <w:szCs w:val="22"/>
          <w14:ligatures w14:val="standardContextual"/>
        </w:rPr>
        <w:t>“(…) en todo caso el puntaje adicional total y único a otorgar por este criterio será del dos por ciento (2%), sin que sean acumulables a afecto de la evaluación de la oferta (…)”.</w:t>
      </w:r>
      <w:r w:rsidRPr="00954F93">
        <w:rPr>
          <w:rFonts w:ascii="Verdana" w:eastAsia="Aptos" w:hAnsi="Verdana"/>
          <w:kern w:val="2"/>
          <w:sz w:val="22"/>
          <w:szCs w:val="22"/>
          <w14:ligatures w14:val="standardContextual"/>
        </w:rPr>
        <w:t xml:space="preserve"> </w:t>
      </w:r>
    </w:p>
    <w:p w14:paraId="0A0E709D" w14:textId="77777777" w:rsidR="0038549A" w:rsidRPr="00954F93" w:rsidRDefault="0038549A" w:rsidP="00954F93">
      <w:pPr>
        <w:widowControl w:val="0"/>
        <w:autoSpaceDE w:val="0"/>
        <w:autoSpaceDN w:val="0"/>
        <w:jc w:val="both"/>
        <w:rPr>
          <w:rFonts w:ascii="Verdana" w:eastAsia="Aptos" w:hAnsi="Verdana"/>
          <w:kern w:val="2"/>
          <w:sz w:val="22"/>
          <w:szCs w:val="22"/>
          <w14:ligatures w14:val="standardContextual"/>
        </w:rPr>
      </w:pPr>
    </w:p>
    <w:p w14:paraId="035C0CF7" w14:textId="6E5322CF"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Esta incorporación </w:t>
      </w:r>
      <w:r w:rsidR="00175390" w:rsidRPr="00611315">
        <w:rPr>
          <w:rFonts w:ascii="Verdana" w:eastAsia="Aptos" w:hAnsi="Verdana"/>
          <w:kern w:val="2"/>
          <w:sz w:val="22"/>
          <w:szCs w:val="22"/>
          <w14:ligatures w14:val="standardContextual"/>
        </w:rPr>
        <w:t xml:space="preserve">se realiza de </w:t>
      </w:r>
      <w:r w:rsidRPr="00954F93">
        <w:rPr>
          <w:rFonts w:ascii="Verdana" w:eastAsia="Aptos" w:hAnsi="Verdana"/>
          <w:kern w:val="2"/>
          <w:sz w:val="22"/>
          <w:szCs w:val="22"/>
          <w14:ligatures w14:val="standardContextual"/>
        </w:rPr>
        <w:t xml:space="preserve">manera estandarizada en los documentos tipo de licitación pública y concurso de méritos en los sectores en los que estos han sido adoptados por parte de la Agencia Nacional de Contratación Pública – Colombia Compra Eficiente, considerando que, actualmente en estos se señala como factor de ponderación un puntaje máximo de un (1) punto por la vinculación de personas con discapacidad, evento este que, con la modificación realizada por el Decreto 287 de 2026, debe ajustarse. </w:t>
      </w:r>
    </w:p>
    <w:p w14:paraId="6BE9E764" w14:textId="77777777" w:rsidR="0038549A" w:rsidRPr="00954F93" w:rsidRDefault="0038549A" w:rsidP="00954F93">
      <w:pPr>
        <w:widowControl w:val="0"/>
        <w:autoSpaceDE w:val="0"/>
        <w:autoSpaceDN w:val="0"/>
        <w:jc w:val="both"/>
        <w:rPr>
          <w:rFonts w:ascii="Verdana" w:eastAsia="Aptos" w:hAnsi="Verdana"/>
          <w:kern w:val="2"/>
          <w:sz w:val="22"/>
          <w:szCs w:val="22"/>
          <w14:ligatures w14:val="standardContextual"/>
        </w:rPr>
      </w:pPr>
    </w:p>
    <w:p w14:paraId="7D6A0FE8" w14:textId="77777777" w:rsidR="00D32D28" w:rsidRPr="00611315" w:rsidRDefault="00D32D28" w:rsidP="00E07A6E">
      <w:pPr>
        <w:widowControl w:val="0"/>
        <w:autoSpaceDE w:val="0"/>
        <w:autoSpaceDN w:val="0"/>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 xml:space="preserve">De esta forma, la modificación del artículo 1 del Decreto 287 de 2026 al artículo 2.2.1.2.4.2.7.4 del Decreto 1082 de 2015, incide en el ajuste del puntaje que se otorga en los documentos tipo de licitación pública y concurso de méritos por la incorporación de personas con discapacidad, en donde, además, se amplía el ámbito de aplicación a emprendimientos y empresas de personas con discapacidad. A su vez, la modificación señalada incide en el formato que actualmente se encuentra previsto en los documentos tipo para acreditar esta condición, por lo que se debe definir con claridad los mecanismos de acreditación y verificación, con el fin de evitar discrecionalidades y garantizar la transparencia del proceso. </w:t>
      </w:r>
    </w:p>
    <w:p w14:paraId="60D6BBB8" w14:textId="77777777" w:rsidR="00E07A6E" w:rsidRPr="00954F93" w:rsidRDefault="00E07A6E" w:rsidP="00954F93">
      <w:pPr>
        <w:widowControl w:val="0"/>
        <w:autoSpaceDE w:val="0"/>
        <w:autoSpaceDN w:val="0"/>
        <w:jc w:val="both"/>
        <w:rPr>
          <w:rFonts w:ascii="Verdana" w:eastAsia="Aptos" w:hAnsi="Verdana"/>
          <w:kern w:val="2"/>
          <w:sz w:val="22"/>
          <w:szCs w:val="22"/>
          <w14:ligatures w14:val="standardContextual"/>
        </w:rPr>
      </w:pPr>
    </w:p>
    <w:p w14:paraId="3D0789A1" w14:textId="77777777" w:rsidR="00175390" w:rsidRPr="00611315" w:rsidRDefault="00D32D28" w:rsidP="00954F93">
      <w:pPr>
        <w:jc w:val="both"/>
        <w:rPr>
          <w:rFonts w:ascii="Verdana" w:eastAsia="Aptos" w:hAnsi="Verdana"/>
          <w:kern w:val="2"/>
          <w:sz w:val="22"/>
          <w:szCs w:val="22"/>
          <w14:ligatures w14:val="standardContextual"/>
        </w:rPr>
      </w:pPr>
      <w:r w:rsidRPr="00954F93">
        <w:rPr>
          <w:rFonts w:ascii="Verdana" w:eastAsia="Aptos" w:hAnsi="Verdana"/>
          <w:kern w:val="2"/>
          <w:sz w:val="22"/>
          <w:szCs w:val="22"/>
          <w14:ligatures w14:val="standardContextual"/>
        </w:rPr>
        <w:t>Adicionalmente, en cuanto a la ejecución contractual, el artículo 2.2.1.2.4.2.7.5 del Decreto 1082 de 2015, modificado por el artículo 1 del Decreto 287 de 2026, prevé la incorporación de condiciones especiales de sujeción orientadas a promover la inclusión laboral y la participación de personas con discapacidad y/o emprendimientos y empresas de estas personas. En consecuencia, los documentos tipo deben contemplar cláusulas contractuales específicas que desarrollen estas obligaciones, previa evaluación de oportunidad y conveniencia, permitiendo que la política pública de inclusión se materialice durante la ejecución del contrato.</w:t>
      </w:r>
    </w:p>
    <w:p w14:paraId="69C11A2A" w14:textId="77777777" w:rsidR="00175390" w:rsidRPr="00611315" w:rsidRDefault="00175390" w:rsidP="00954F93">
      <w:pPr>
        <w:jc w:val="both"/>
        <w:rPr>
          <w:rFonts w:ascii="Verdana" w:eastAsia="Aptos" w:hAnsi="Verdana"/>
          <w:kern w:val="2"/>
          <w:sz w:val="22"/>
          <w:szCs w:val="22"/>
          <w14:ligatures w14:val="standardContextual"/>
        </w:rPr>
      </w:pPr>
    </w:p>
    <w:p w14:paraId="093F882D" w14:textId="52448F21" w:rsidR="00175390" w:rsidRPr="00611315" w:rsidRDefault="00D32D28" w:rsidP="00954F93">
      <w:pPr>
        <w:jc w:val="both"/>
        <w:rPr>
          <w:rFonts w:ascii="Verdana" w:eastAsia="Aptos" w:hAnsi="Verdana"/>
        </w:rPr>
      </w:pPr>
      <w:r w:rsidRPr="00954F93">
        <w:rPr>
          <w:rFonts w:ascii="Verdana" w:eastAsia="Aptos" w:hAnsi="Verdana"/>
          <w:kern w:val="2"/>
          <w:sz w:val="22"/>
          <w:szCs w:val="22"/>
          <w14:ligatures w14:val="standardContextual"/>
        </w:rPr>
        <w:t>Conforme con lo anterior, la implementación efectiva del Decreto 287 de 2026 depende de la incorporación integral y coherente de sus disposiciones en los documentos tipo por parte de la Agencia Nacional de Contratación Pública – Colombia Compra Eficiente, de manera que las acciones afirmativas previstas se traduzcan en transformaciones reales en el sistema de contratación pública y en la garantía del derecho a la igualdad material de las personas con discapacidad.</w:t>
      </w:r>
    </w:p>
    <w:p w14:paraId="53310BFF" w14:textId="77777777" w:rsidR="00175390" w:rsidRPr="00611315" w:rsidRDefault="00175390" w:rsidP="00954F93">
      <w:pPr>
        <w:pStyle w:val="Prrafodelista"/>
        <w:widowControl w:val="0"/>
        <w:autoSpaceDE w:val="0"/>
        <w:autoSpaceDN w:val="0"/>
        <w:spacing w:after="0"/>
        <w:ind w:firstLine="708"/>
        <w:rPr>
          <w:rFonts w:ascii="Verdana" w:eastAsia="Aptos" w:hAnsi="Verdana"/>
          <w:kern w:val="2"/>
          <w:lang w:eastAsia="es-MX"/>
          <w14:ligatures w14:val="standardContextual"/>
        </w:rPr>
      </w:pPr>
    </w:p>
    <w:p w14:paraId="25BF83E1" w14:textId="2E92169D" w:rsidR="00175390" w:rsidRPr="00954F93" w:rsidRDefault="00240E94" w:rsidP="00954F93">
      <w:pPr>
        <w:widowControl w:val="0"/>
        <w:autoSpaceDE w:val="0"/>
        <w:autoSpaceDN w:val="0"/>
        <w:jc w:val="both"/>
        <w:rPr>
          <w:rFonts w:ascii="Verdana" w:eastAsia="Aptos" w:hAnsi="Verdana"/>
          <w:kern w:val="2"/>
          <w14:ligatures w14:val="standardContextual"/>
        </w:rPr>
      </w:pPr>
      <w:r w:rsidRPr="00954F93">
        <w:rPr>
          <w:rFonts w:ascii="Verdana" w:eastAsia="Aptos" w:hAnsi="Verdana"/>
          <w:kern w:val="2"/>
          <w:sz w:val="22"/>
          <w:szCs w:val="22"/>
          <w14:ligatures w14:val="standardContextual"/>
        </w:rPr>
        <w:t xml:space="preserve">En ese sentido, se realizan las modificaciones sobre los aspectos relacionados en los párrafos precedentes, </w:t>
      </w:r>
      <w:r w:rsidR="00B60104" w:rsidRPr="00954F93">
        <w:rPr>
          <w:rFonts w:ascii="Verdana" w:eastAsia="Aptos" w:hAnsi="Verdana"/>
          <w:kern w:val="2"/>
          <w:sz w:val="22"/>
          <w:szCs w:val="22"/>
          <w14:ligatures w14:val="standardContextual"/>
        </w:rPr>
        <w:t>en los documentos tipo de licitación pública</w:t>
      </w:r>
      <w:r w:rsidR="00B60104">
        <w:rPr>
          <w:rFonts w:ascii="Verdana" w:eastAsia="Aptos" w:hAnsi="Verdana"/>
          <w:kern w:val="2"/>
          <w:sz w:val="22"/>
          <w:szCs w:val="22"/>
          <w14:ligatures w14:val="standardContextual"/>
        </w:rPr>
        <w:t xml:space="preserve"> de infraestructura de agua potable y saneamiento básico.</w:t>
      </w:r>
      <w:r w:rsidR="00B60104" w:rsidRPr="00954F93">
        <w:rPr>
          <w:rFonts w:ascii="Verdana" w:eastAsia="Aptos" w:hAnsi="Verdana"/>
          <w:color w:val="EE0000"/>
          <w:kern w:val="2"/>
          <w:sz w:val="22"/>
          <w:szCs w:val="22"/>
          <w14:ligatures w14:val="standardContextual"/>
        </w:rPr>
        <w:t xml:space="preserve"> </w:t>
      </w:r>
    </w:p>
    <w:p w14:paraId="367AC4D9" w14:textId="77777777" w:rsidR="004E045D" w:rsidRPr="00611315" w:rsidRDefault="004E045D" w:rsidP="00635BA6">
      <w:pPr>
        <w:jc w:val="both"/>
        <w:rPr>
          <w:rFonts w:ascii="Verdana" w:hAnsi="Verdana" w:cs="Arial"/>
          <w:i/>
          <w:iCs/>
          <w:sz w:val="22"/>
          <w:szCs w:val="22"/>
          <w:highlight w:val="yellow"/>
        </w:rPr>
      </w:pPr>
    </w:p>
    <w:p w14:paraId="7BBC63ED" w14:textId="37743C86" w:rsidR="009029AF" w:rsidRPr="00294EDD" w:rsidRDefault="00795A65" w:rsidP="00CA4176">
      <w:pPr>
        <w:pStyle w:val="Ttulo2"/>
        <w:numPr>
          <w:ilvl w:val="0"/>
          <w:numId w:val="82"/>
        </w:numPr>
        <w:rPr>
          <w:rFonts w:ascii="Verdana" w:hAnsi="Verdana" w:cs="Arial"/>
          <w:color w:val="auto"/>
        </w:rPr>
      </w:pPr>
      <w:bookmarkStart w:id="340" w:name="_Toc231368614"/>
      <w:r w:rsidRPr="00294EDD">
        <w:rPr>
          <w:rFonts w:ascii="Verdana" w:hAnsi="Verdana" w:cs="Arial"/>
          <w:color w:val="auto"/>
        </w:rPr>
        <w:lastRenderedPageBreak/>
        <w:t>CAPACIDAD TÉCNICA</w:t>
      </w:r>
      <w:bookmarkEnd w:id="340"/>
    </w:p>
    <w:p w14:paraId="4ECFC9C3" w14:textId="77777777" w:rsidR="003D0FDF" w:rsidRPr="00294EDD" w:rsidRDefault="003D0FDF" w:rsidP="4B6F30B9">
      <w:pPr>
        <w:rPr>
          <w:rFonts w:ascii="Verdana" w:hAnsi="Verdana" w:cs="Arial"/>
          <w:sz w:val="22"/>
          <w:szCs w:val="22"/>
        </w:rPr>
      </w:pPr>
    </w:p>
    <w:p w14:paraId="628588D1" w14:textId="5CD17D5A" w:rsidR="00E7045E" w:rsidRPr="00294EDD" w:rsidRDefault="00E7045E" w:rsidP="4B6F30B9">
      <w:pPr>
        <w:jc w:val="both"/>
        <w:rPr>
          <w:rFonts w:ascii="Verdana" w:hAnsi="Verdana" w:cs="Arial"/>
          <w:b/>
          <w:bCs/>
          <w:sz w:val="22"/>
          <w:szCs w:val="22"/>
          <w:u w:val="single"/>
        </w:rPr>
      </w:pPr>
      <w:r w:rsidRPr="00294EDD">
        <w:rPr>
          <w:rFonts w:ascii="Verdana" w:eastAsia="Arial" w:hAnsi="Verdana" w:cs="Arial"/>
          <w:b/>
          <w:bCs/>
          <w:sz w:val="22"/>
          <w:szCs w:val="22"/>
        </w:rPr>
        <w:t>Experiencia</w:t>
      </w:r>
    </w:p>
    <w:p w14:paraId="37DE94D1" w14:textId="77777777" w:rsidR="00E7045E" w:rsidRPr="00294EDD" w:rsidRDefault="00E7045E" w:rsidP="4B6F30B9">
      <w:pPr>
        <w:jc w:val="both"/>
        <w:rPr>
          <w:rFonts w:ascii="Verdana" w:hAnsi="Verdana" w:cs="Arial"/>
          <w:sz w:val="22"/>
          <w:szCs w:val="22"/>
        </w:rPr>
      </w:pPr>
    </w:p>
    <w:p w14:paraId="169ECC3A" w14:textId="46189F1A" w:rsidR="002B2495" w:rsidRPr="00611315" w:rsidRDefault="00CC26C5" w:rsidP="00310F7B">
      <w:pPr>
        <w:jc w:val="both"/>
        <w:rPr>
          <w:rFonts w:ascii="Verdana" w:hAnsi="Verdana" w:cs="Arial"/>
          <w:sz w:val="22"/>
          <w:szCs w:val="22"/>
        </w:rPr>
      </w:pPr>
      <w:r w:rsidRPr="00611315">
        <w:rPr>
          <w:rFonts w:ascii="Verdana" w:hAnsi="Verdana" w:cs="Arial"/>
          <w:sz w:val="22"/>
          <w:szCs w:val="22"/>
        </w:rPr>
        <w:t xml:space="preserve">El Documento base de licitación pública </w:t>
      </w:r>
      <w:r w:rsidR="00D727F8" w:rsidRPr="00611315">
        <w:rPr>
          <w:rFonts w:ascii="Verdana" w:hAnsi="Verdana" w:cs="Arial"/>
          <w:sz w:val="22"/>
          <w:szCs w:val="22"/>
        </w:rPr>
        <w:t xml:space="preserve">y </w:t>
      </w:r>
      <w:proofErr w:type="spellStart"/>
      <w:r w:rsidR="003146F3" w:rsidRPr="00611315">
        <w:rPr>
          <w:rFonts w:ascii="Verdana" w:hAnsi="Verdana" w:cs="Arial"/>
          <w:sz w:val="22"/>
          <w:szCs w:val="22"/>
        </w:rPr>
        <w:t>Lp</w:t>
      </w:r>
      <w:proofErr w:type="spellEnd"/>
      <w:r w:rsidR="003146F3" w:rsidRPr="00611315">
        <w:rPr>
          <w:rFonts w:ascii="Verdana" w:hAnsi="Verdana" w:cs="Arial"/>
          <w:sz w:val="22"/>
          <w:szCs w:val="22"/>
        </w:rPr>
        <w:t xml:space="preserve"> - </w:t>
      </w:r>
      <w:r w:rsidR="00D727F8" w:rsidRPr="00611315">
        <w:rPr>
          <w:rFonts w:ascii="Verdana" w:hAnsi="Verdana" w:cs="Arial"/>
          <w:sz w:val="22"/>
          <w:szCs w:val="22"/>
        </w:rPr>
        <w:t xml:space="preserve">Llave en mano </w:t>
      </w:r>
      <w:r w:rsidRPr="00611315">
        <w:rPr>
          <w:rFonts w:ascii="Verdana" w:hAnsi="Verdana" w:cs="Arial"/>
          <w:sz w:val="22"/>
          <w:szCs w:val="22"/>
        </w:rPr>
        <w:t>de infraestructura de Agua Potable y Saneamiento Básico vigente</w:t>
      </w:r>
      <w:r w:rsidR="00D727F8" w:rsidRPr="00611315">
        <w:rPr>
          <w:rFonts w:ascii="Verdana" w:hAnsi="Verdana" w:cs="Arial"/>
          <w:sz w:val="22"/>
          <w:szCs w:val="22"/>
        </w:rPr>
        <w:t>s</w:t>
      </w:r>
      <w:r w:rsidRPr="00611315">
        <w:rPr>
          <w:rFonts w:ascii="Verdana" w:hAnsi="Verdana" w:cs="Arial"/>
          <w:sz w:val="22"/>
          <w:szCs w:val="22"/>
        </w:rPr>
        <w:t>, establece</w:t>
      </w:r>
      <w:r w:rsidR="003146F3" w:rsidRPr="00611315">
        <w:rPr>
          <w:rFonts w:ascii="Verdana" w:hAnsi="Verdana" w:cs="Arial"/>
          <w:sz w:val="22"/>
          <w:szCs w:val="22"/>
        </w:rPr>
        <w:t>n</w:t>
      </w:r>
      <w:r w:rsidRPr="00611315">
        <w:rPr>
          <w:rFonts w:ascii="Verdana" w:hAnsi="Verdana" w:cs="Arial"/>
          <w:sz w:val="22"/>
          <w:szCs w:val="22"/>
        </w:rPr>
        <w:t xml:space="preserve"> en el capítulo III los requisitos habilitantes que deben cumplir los proponentes</w:t>
      </w:r>
      <w:r w:rsidR="0051616A" w:rsidRPr="00611315">
        <w:rPr>
          <w:rFonts w:ascii="Verdana" w:hAnsi="Verdana" w:cs="Arial"/>
          <w:sz w:val="22"/>
          <w:szCs w:val="22"/>
        </w:rPr>
        <w:t xml:space="preserve">, </w:t>
      </w:r>
      <w:r w:rsidR="0062380D" w:rsidRPr="00611315">
        <w:rPr>
          <w:rFonts w:ascii="Verdana" w:hAnsi="Verdana" w:cs="Arial"/>
          <w:sz w:val="22"/>
          <w:szCs w:val="22"/>
        </w:rPr>
        <w:t xml:space="preserve">y </w:t>
      </w:r>
      <w:r w:rsidR="003146F3" w:rsidRPr="00611315">
        <w:rPr>
          <w:rFonts w:ascii="Verdana" w:hAnsi="Verdana" w:cs="Arial"/>
          <w:sz w:val="22"/>
          <w:szCs w:val="22"/>
        </w:rPr>
        <w:t xml:space="preserve">en </w:t>
      </w:r>
      <w:r w:rsidR="00616CB6" w:rsidRPr="00611315">
        <w:rPr>
          <w:rFonts w:ascii="Verdana" w:hAnsi="Verdana" w:cs="Arial"/>
          <w:sz w:val="22"/>
          <w:szCs w:val="22"/>
        </w:rPr>
        <w:t>consideración</w:t>
      </w:r>
      <w:r w:rsidR="003146F3" w:rsidRPr="00611315">
        <w:rPr>
          <w:rFonts w:ascii="Verdana" w:hAnsi="Verdana" w:cs="Arial"/>
          <w:sz w:val="22"/>
          <w:szCs w:val="22"/>
        </w:rPr>
        <w:t xml:space="preserve"> con</w:t>
      </w:r>
      <w:r w:rsidR="0051616A" w:rsidRPr="00611315">
        <w:rPr>
          <w:rFonts w:ascii="Verdana" w:hAnsi="Verdana" w:cs="Arial"/>
          <w:sz w:val="22"/>
          <w:szCs w:val="22"/>
        </w:rPr>
        <w:t xml:space="preserve"> la presente modificación se ajustaron </w:t>
      </w:r>
      <w:r w:rsidR="00726563" w:rsidRPr="00611315">
        <w:rPr>
          <w:rFonts w:ascii="Verdana" w:hAnsi="Verdana" w:cs="Arial"/>
          <w:sz w:val="22"/>
          <w:szCs w:val="22"/>
        </w:rPr>
        <w:t>los</w:t>
      </w:r>
      <w:r w:rsidR="004239DC" w:rsidRPr="00611315">
        <w:rPr>
          <w:rFonts w:ascii="Verdana" w:hAnsi="Verdana" w:cs="Arial"/>
          <w:sz w:val="22"/>
          <w:szCs w:val="22"/>
        </w:rPr>
        <w:t xml:space="preserve"> siguientes aspectos: </w:t>
      </w:r>
    </w:p>
    <w:p w14:paraId="76FE3AB7" w14:textId="77777777" w:rsidR="002B2495" w:rsidRPr="00611315" w:rsidRDefault="002B2495" w:rsidP="00310F7B">
      <w:pPr>
        <w:jc w:val="both"/>
        <w:rPr>
          <w:rFonts w:ascii="Verdana" w:hAnsi="Verdana" w:cs="Arial"/>
          <w:sz w:val="22"/>
          <w:szCs w:val="22"/>
        </w:rPr>
      </w:pPr>
    </w:p>
    <w:p w14:paraId="0F14215D" w14:textId="4404914A" w:rsidR="0051616A" w:rsidRPr="00611315" w:rsidRDefault="004239DC" w:rsidP="00310F7B">
      <w:pPr>
        <w:jc w:val="both"/>
        <w:rPr>
          <w:rFonts w:ascii="Verdana" w:hAnsi="Verdana" w:cs="Arial"/>
          <w:sz w:val="22"/>
          <w:szCs w:val="22"/>
        </w:rPr>
      </w:pPr>
      <w:r w:rsidRPr="00611315">
        <w:rPr>
          <w:rFonts w:ascii="Verdana" w:hAnsi="Verdana" w:cs="Arial"/>
          <w:sz w:val="22"/>
          <w:szCs w:val="22"/>
        </w:rPr>
        <w:t>a) L</w:t>
      </w:r>
      <w:r w:rsidR="004B2AF8" w:rsidRPr="00611315">
        <w:rPr>
          <w:rFonts w:ascii="Verdana" w:hAnsi="Verdana" w:cs="Arial"/>
          <w:sz w:val="22"/>
          <w:szCs w:val="22"/>
        </w:rPr>
        <w:t>iteral C del numeral 3.5.</w:t>
      </w:r>
      <w:r w:rsidR="00FC709C" w:rsidRPr="00611315">
        <w:rPr>
          <w:rFonts w:ascii="Verdana" w:hAnsi="Verdana" w:cs="Arial"/>
          <w:sz w:val="22"/>
          <w:szCs w:val="22"/>
        </w:rPr>
        <w:t>2</w:t>
      </w:r>
      <w:r w:rsidR="004B2AF8" w:rsidRPr="00611315">
        <w:rPr>
          <w:rFonts w:ascii="Verdana" w:hAnsi="Verdana" w:cs="Arial"/>
          <w:sz w:val="22"/>
          <w:szCs w:val="22"/>
        </w:rPr>
        <w:t xml:space="preserve">. </w:t>
      </w:r>
      <w:r w:rsidR="00B8566A" w:rsidRPr="00611315">
        <w:rPr>
          <w:rFonts w:ascii="Verdana" w:hAnsi="Verdana" w:cs="Arial"/>
          <w:sz w:val="22"/>
          <w:szCs w:val="22"/>
        </w:rPr>
        <w:t>Características</w:t>
      </w:r>
      <w:r w:rsidR="004B2AF8" w:rsidRPr="00611315">
        <w:rPr>
          <w:rFonts w:ascii="Verdana" w:hAnsi="Verdana" w:cs="Arial"/>
          <w:sz w:val="22"/>
          <w:szCs w:val="22"/>
        </w:rPr>
        <w:t xml:space="preserve"> de los contratos presentados para acreditar la experiencia exigida</w:t>
      </w:r>
      <w:r w:rsidR="009C291C" w:rsidRPr="00611315">
        <w:rPr>
          <w:rFonts w:ascii="Verdana" w:hAnsi="Verdana" w:cs="Arial"/>
          <w:sz w:val="22"/>
          <w:szCs w:val="22"/>
        </w:rPr>
        <w:t>,</w:t>
      </w:r>
      <w:r w:rsidR="004B2AF8" w:rsidRPr="00611315">
        <w:rPr>
          <w:rFonts w:ascii="Verdana" w:hAnsi="Verdana" w:cs="Arial"/>
          <w:sz w:val="22"/>
          <w:szCs w:val="22"/>
        </w:rPr>
        <w:t xml:space="preserve"> </w:t>
      </w:r>
      <w:r w:rsidRPr="00611315">
        <w:rPr>
          <w:rFonts w:ascii="Verdana" w:hAnsi="Verdana" w:cs="Arial"/>
          <w:sz w:val="22"/>
          <w:szCs w:val="22"/>
        </w:rPr>
        <w:t xml:space="preserve">en donde </w:t>
      </w:r>
      <w:r w:rsidR="00ED7FB0" w:rsidRPr="00611315">
        <w:rPr>
          <w:rFonts w:ascii="Verdana" w:hAnsi="Verdana" w:cs="Arial"/>
          <w:sz w:val="22"/>
          <w:szCs w:val="22"/>
        </w:rPr>
        <w:t xml:space="preserve">se establecen las </w:t>
      </w:r>
      <w:r w:rsidR="00A10E0E" w:rsidRPr="00611315">
        <w:rPr>
          <w:rFonts w:ascii="Verdana" w:hAnsi="Verdana" w:cs="Arial"/>
          <w:sz w:val="22"/>
          <w:szCs w:val="22"/>
        </w:rPr>
        <w:t>generalidades</w:t>
      </w:r>
      <w:r w:rsidR="00ED7FB0" w:rsidRPr="00611315">
        <w:rPr>
          <w:rFonts w:ascii="Verdana" w:hAnsi="Verdana" w:cs="Arial"/>
          <w:sz w:val="22"/>
          <w:szCs w:val="22"/>
        </w:rPr>
        <w:t xml:space="preserve"> </w:t>
      </w:r>
      <w:r w:rsidR="00AD6FCC" w:rsidRPr="00611315">
        <w:rPr>
          <w:rFonts w:ascii="Verdana" w:hAnsi="Verdana" w:cs="Arial"/>
          <w:sz w:val="22"/>
          <w:szCs w:val="22"/>
        </w:rPr>
        <w:t>sobre las cuales los proponentes podrán acreditar la experiencia solicitada y en función de lo determinado en el decreto 287 de 2026</w:t>
      </w:r>
      <w:r w:rsidR="00310F7B" w:rsidRPr="00611315">
        <w:rPr>
          <w:rFonts w:ascii="Verdana" w:hAnsi="Verdana" w:cs="Arial"/>
          <w:sz w:val="22"/>
          <w:szCs w:val="22"/>
        </w:rPr>
        <w:t>, que determina la modificación de los documentos tipo de licitación pública, selección abreviada de menor cuantía y concurso de méritos</w:t>
      </w:r>
      <w:r w:rsidR="00747BB6" w:rsidRPr="00611315">
        <w:rPr>
          <w:rFonts w:ascii="Verdana" w:hAnsi="Verdana" w:cs="Arial"/>
          <w:sz w:val="22"/>
          <w:szCs w:val="22"/>
        </w:rPr>
        <w:t xml:space="preserve">, </w:t>
      </w:r>
      <w:r w:rsidR="00312103" w:rsidRPr="00611315">
        <w:rPr>
          <w:rFonts w:ascii="Verdana" w:hAnsi="Verdana" w:cs="Arial"/>
          <w:sz w:val="22"/>
          <w:szCs w:val="22"/>
        </w:rPr>
        <w:t>en cuanto aspectos de</w:t>
      </w:r>
      <w:r w:rsidR="00310F7B" w:rsidRPr="00611315">
        <w:rPr>
          <w:rFonts w:ascii="Verdana" w:hAnsi="Verdana" w:cs="Arial"/>
          <w:sz w:val="22"/>
          <w:szCs w:val="22"/>
        </w:rPr>
        <w:t xml:space="preserve"> los requisitos habilitantes, </w:t>
      </w:r>
      <w:r w:rsidR="00747BB6" w:rsidRPr="00611315">
        <w:rPr>
          <w:rFonts w:ascii="Verdana" w:hAnsi="Verdana" w:cs="Arial"/>
          <w:sz w:val="22"/>
          <w:szCs w:val="22"/>
        </w:rPr>
        <w:t>relacionados con</w:t>
      </w:r>
      <w:r w:rsidR="00310F7B" w:rsidRPr="00611315">
        <w:rPr>
          <w:rFonts w:ascii="Verdana" w:hAnsi="Verdana" w:cs="Arial"/>
          <w:sz w:val="22"/>
          <w:szCs w:val="22"/>
        </w:rPr>
        <w:t xml:space="preserve"> las condiciones particulares de los emprendimientos y empresas de personas con discapacidad. </w:t>
      </w:r>
    </w:p>
    <w:p w14:paraId="448925F4" w14:textId="77777777" w:rsidR="0051616A" w:rsidRPr="00611315" w:rsidRDefault="0051616A" w:rsidP="00310F7B">
      <w:pPr>
        <w:jc w:val="both"/>
        <w:rPr>
          <w:rFonts w:ascii="Verdana" w:hAnsi="Verdana" w:cs="Arial"/>
          <w:sz w:val="22"/>
          <w:szCs w:val="22"/>
        </w:rPr>
      </w:pPr>
    </w:p>
    <w:p w14:paraId="322DBC86" w14:textId="6806FC63" w:rsidR="00310F7B" w:rsidRPr="00611315" w:rsidRDefault="00E21062" w:rsidP="00310F7B">
      <w:pPr>
        <w:jc w:val="both"/>
        <w:rPr>
          <w:rFonts w:ascii="Verdana" w:hAnsi="Verdana" w:cs="Arial"/>
          <w:sz w:val="22"/>
          <w:szCs w:val="22"/>
        </w:rPr>
      </w:pPr>
      <w:r w:rsidRPr="00611315">
        <w:rPr>
          <w:rFonts w:ascii="Verdana" w:hAnsi="Verdana" w:cs="Arial"/>
          <w:sz w:val="22"/>
          <w:szCs w:val="22"/>
        </w:rPr>
        <w:t xml:space="preserve">En tal sentido, </w:t>
      </w:r>
      <w:r w:rsidR="00310F7B" w:rsidRPr="00611315">
        <w:rPr>
          <w:rFonts w:ascii="Verdana" w:hAnsi="Verdana" w:cs="Arial"/>
          <w:sz w:val="22"/>
          <w:szCs w:val="22"/>
        </w:rPr>
        <w:t>el Decreto 287 de 2026</w:t>
      </w:r>
      <w:r w:rsidR="00210E83" w:rsidRPr="00611315">
        <w:rPr>
          <w:rFonts w:ascii="Verdana" w:hAnsi="Verdana" w:cs="Arial"/>
          <w:sz w:val="22"/>
          <w:szCs w:val="22"/>
        </w:rPr>
        <w:t xml:space="preserve"> establece que</w:t>
      </w:r>
      <w:r w:rsidR="00310F7B" w:rsidRPr="00611315">
        <w:rPr>
          <w:rFonts w:ascii="Verdana" w:hAnsi="Verdana" w:cs="Arial"/>
          <w:sz w:val="22"/>
          <w:szCs w:val="22"/>
        </w:rPr>
        <w:t xml:space="preserve"> los documentos tipo en las modalidades señaladas y en los sectores implementados, deben incorporar “(…) requisitos habilitantes diferenciales o ajustados en materia de experiencia, capacidad financiera u organizacional, o el valor de la garantía de seriedad de la oferta, con el fin de promover la participación de emprendimientos y empresas de personas con discapacidad con domicilio en el territorio nacional”, de tal manera que se eliminen barreras de entrada injustificadas sin comprometer la idoneidad del contratista, en aplicación del principio de igualdad material.</w:t>
      </w:r>
    </w:p>
    <w:p w14:paraId="2F530AAA" w14:textId="77777777" w:rsidR="00DE552D" w:rsidRPr="00611315" w:rsidRDefault="00DE552D" w:rsidP="00CC26C5">
      <w:pPr>
        <w:jc w:val="both"/>
        <w:rPr>
          <w:rFonts w:ascii="Verdana" w:hAnsi="Verdana" w:cs="Arial"/>
          <w:sz w:val="22"/>
          <w:szCs w:val="22"/>
        </w:rPr>
      </w:pPr>
    </w:p>
    <w:p w14:paraId="68ABF5A3" w14:textId="4E2EF4CB" w:rsidR="00A41A0B" w:rsidRPr="00611315" w:rsidRDefault="004D3763" w:rsidP="00CC26C5">
      <w:pPr>
        <w:jc w:val="both"/>
        <w:rPr>
          <w:rFonts w:ascii="Verdana" w:hAnsi="Verdana" w:cs="Arial"/>
          <w:sz w:val="22"/>
          <w:szCs w:val="22"/>
        </w:rPr>
      </w:pPr>
      <w:r w:rsidRPr="00611315">
        <w:rPr>
          <w:rFonts w:ascii="Verdana" w:hAnsi="Verdana" w:cs="Arial"/>
          <w:sz w:val="22"/>
          <w:szCs w:val="22"/>
        </w:rPr>
        <w:t xml:space="preserve">En </w:t>
      </w:r>
      <w:proofErr w:type="gramStart"/>
      <w:r w:rsidRPr="00611315">
        <w:rPr>
          <w:rFonts w:ascii="Verdana" w:hAnsi="Verdana" w:cs="Arial"/>
          <w:sz w:val="22"/>
          <w:szCs w:val="22"/>
        </w:rPr>
        <w:t>consecuencia</w:t>
      </w:r>
      <w:proofErr w:type="gramEnd"/>
      <w:r w:rsidRPr="00611315">
        <w:rPr>
          <w:rFonts w:ascii="Verdana" w:hAnsi="Verdana" w:cs="Arial"/>
          <w:sz w:val="22"/>
          <w:szCs w:val="22"/>
        </w:rPr>
        <w:t xml:space="preserve"> de lo anterior, para este literal, </w:t>
      </w:r>
      <w:r w:rsidR="00AD6FCC" w:rsidRPr="00611315">
        <w:rPr>
          <w:rFonts w:ascii="Verdana" w:hAnsi="Verdana" w:cs="Arial"/>
          <w:sz w:val="22"/>
          <w:szCs w:val="22"/>
        </w:rPr>
        <w:t>se incorporan las siguientes consideraciones:</w:t>
      </w:r>
    </w:p>
    <w:p w14:paraId="12FDD0BD" w14:textId="77777777" w:rsidR="00470C34" w:rsidRPr="00611315" w:rsidRDefault="00470C34" w:rsidP="00CC26C5">
      <w:pPr>
        <w:jc w:val="both"/>
        <w:rPr>
          <w:rFonts w:ascii="Verdana" w:hAnsi="Verdana" w:cs="Arial"/>
          <w:sz w:val="22"/>
          <w:szCs w:val="22"/>
        </w:rPr>
      </w:pPr>
    </w:p>
    <w:p w14:paraId="2C27E9E4" w14:textId="77777777" w:rsidR="00E91CF1" w:rsidRPr="00954F93" w:rsidRDefault="00E91CF1" w:rsidP="00E91CF1">
      <w:pPr>
        <w:ind w:left="1070"/>
        <w:jc w:val="both"/>
        <w:rPr>
          <w:rFonts w:ascii="Verdana" w:hAnsi="Verdana" w:cs="Arial"/>
          <w:i/>
          <w:iCs/>
          <w:sz w:val="22"/>
          <w:szCs w:val="22"/>
          <w:lang w:val="es-MX"/>
        </w:rPr>
      </w:pPr>
      <w:proofErr w:type="gramStart"/>
      <w:r w:rsidRPr="00954F93">
        <w:rPr>
          <w:rFonts w:ascii="Verdana" w:hAnsi="Verdana" w:cs="Arial"/>
          <w:i/>
          <w:iCs/>
          <w:sz w:val="22"/>
          <w:szCs w:val="22"/>
          <w:lang w:val="es-MX"/>
        </w:rPr>
        <w:t xml:space="preserve">“ </w:t>
      </w:r>
      <w:r w:rsidR="00470C34" w:rsidRPr="00954F93">
        <w:rPr>
          <w:rFonts w:ascii="Verdana" w:hAnsi="Verdana" w:cs="Arial"/>
          <w:i/>
          <w:iCs/>
          <w:sz w:val="22"/>
          <w:szCs w:val="22"/>
          <w:lang w:val="es-MX"/>
        </w:rPr>
        <w:t>El</w:t>
      </w:r>
      <w:proofErr w:type="gramEnd"/>
      <w:r w:rsidR="00470C34" w:rsidRPr="00954F93">
        <w:rPr>
          <w:rFonts w:ascii="Verdana" w:hAnsi="Verdana" w:cs="Arial"/>
          <w:i/>
          <w:iCs/>
          <w:sz w:val="22"/>
          <w:szCs w:val="22"/>
          <w:lang w:val="es-MX"/>
        </w:rPr>
        <w:t xml:space="preserve"> Proponente podrá acreditar la experiencia solicitada con mínimo uno (1) y máximo cinco (5) contratos, los cuales serán evaluados teniendo en cuenta la tabla del numeral 3.5.9 del Pliego de Condiciones, así como el contenido de la Matriz 1 – Experiencia. [En los procesos estructurados por lotes o por segmentos, el Proponente podrá aportar mínimo uno (1) y máximo cinco (5) contratos para cada uno de los lotes o segmentos o podrá allegar los mismos para todos los lotes o segmentos]. </w:t>
      </w:r>
    </w:p>
    <w:p w14:paraId="67D51E9B" w14:textId="77777777" w:rsidR="00E91CF1" w:rsidRPr="00954F93" w:rsidRDefault="00E91CF1" w:rsidP="00E91CF1">
      <w:pPr>
        <w:ind w:left="1070"/>
        <w:jc w:val="both"/>
        <w:rPr>
          <w:rFonts w:ascii="Verdana" w:hAnsi="Verdana" w:cs="Arial"/>
          <w:i/>
          <w:iCs/>
          <w:sz w:val="22"/>
          <w:szCs w:val="22"/>
          <w:lang w:val="es-MX"/>
        </w:rPr>
      </w:pPr>
    </w:p>
    <w:p w14:paraId="4B55DE1A" w14:textId="77777777" w:rsidR="00E91CF1" w:rsidRPr="00954F93" w:rsidRDefault="00470C34" w:rsidP="00E91CF1">
      <w:pPr>
        <w:ind w:left="1070"/>
        <w:jc w:val="both"/>
        <w:rPr>
          <w:rFonts w:ascii="Verdana" w:hAnsi="Verdana" w:cs="Arial"/>
          <w:i/>
          <w:iCs/>
          <w:sz w:val="22"/>
          <w:szCs w:val="22"/>
          <w:lang w:val="es-MX"/>
        </w:rPr>
      </w:pPr>
      <w:r w:rsidRPr="00954F93">
        <w:rPr>
          <w:rFonts w:ascii="Verdana" w:hAnsi="Verdana" w:cs="Arial"/>
          <w:i/>
          <w:iCs/>
          <w:sz w:val="22"/>
          <w:szCs w:val="22"/>
          <w:lang w:val="es-MX"/>
        </w:rPr>
        <w:lastRenderedPageBreak/>
        <w:t xml:space="preserve">El Proponente persona natural o jurídica que acredite la calidad de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xml:space="preserve"> o de emprendimiento y empresa de mujer con domicilio en el territorio nacional o de emprendimiento y empresa de personas con discapacidad, de conformidad con lo previsto en el artículo 2.2.1.13.2.2 del Decreto 1074 de 2015 y los artículos 2.2.1.2.4.2.4., 2.2.1.2.4.2.14 y 2.2.1.2.4.2.7 del Decreto 1082 de 2015, o las normas que los modifiquen, sustituyan o complementen, podrá probar la experiencia solicitada con un (1) contrato adicional a los cinco (5) inicialmente previstos, para un máximo de seis (6) contratos</w:t>
      </w:r>
      <w:r w:rsidR="00E91CF1" w:rsidRPr="00954F93">
        <w:rPr>
          <w:rFonts w:ascii="Verdana" w:hAnsi="Verdana" w:cs="Arial"/>
          <w:i/>
          <w:iCs/>
          <w:sz w:val="22"/>
          <w:szCs w:val="22"/>
          <w:lang w:val="es-MX"/>
        </w:rPr>
        <w:t>.</w:t>
      </w:r>
    </w:p>
    <w:p w14:paraId="70295440" w14:textId="77777777" w:rsidR="00E91CF1" w:rsidRPr="00954F93" w:rsidRDefault="00E91CF1" w:rsidP="00E91CF1">
      <w:pPr>
        <w:ind w:left="1070"/>
        <w:jc w:val="both"/>
        <w:rPr>
          <w:rFonts w:ascii="Verdana" w:hAnsi="Verdana" w:cs="Arial"/>
          <w:i/>
          <w:iCs/>
          <w:sz w:val="22"/>
          <w:szCs w:val="22"/>
          <w:lang w:val="es-MX"/>
        </w:rPr>
      </w:pPr>
    </w:p>
    <w:p w14:paraId="2F088D58" w14:textId="77777777" w:rsidR="00E91CF1" w:rsidRPr="00954F93" w:rsidRDefault="00470C34" w:rsidP="00E91CF1">
      <w:pPr>
        <w:ind w:left="1070"/>
        <w:jc w:val="both"/>
        <w:rPr>
          <w:rFonts w:ascii="Verdana" w:hAnsi="Verdana" w:cs="Arial"/>
          <w:i/>
          <w:iCs/>
          <w:sz w:val="22"/>
          <w:szCs w:val="22"/>
          <w:lang w:val="es-MX"/>
        </w:rPr>
      </w:pPr>
      <w:r w:rsidRPr="00954F93">
        <w:rPr>
          <w:rFonts w:ascii="Verdana" w:hAnsi="Verdana" w:cs="Arial"/>
          <w:i/>
          <w:iCs/>
          <w:sz w:val="22"/>
          <w:szCs w:val="22"/>
        </w:rPr>
        <w:t xml:space="preserve">En caso de que el Proponente, persona natural o jurídica, acredite al menos dos (2) de las siguientes condiciones: (i) calidad de </w:t>
      </w:r>
      <w:proofErr w:type="spellStart"/>
      <w:r w:rsidRPr="00954F93">
        <w:rPr>
          <w:rFonts w:ascii="Verdana" w:hAnsi="Verdana" w:cs="Arial"/>
          <w:i/>
          <w:iCs/>
          <w:sz w:val="22"/>
          <w:szCs w:val="22"/>
        </w:rPr>
        <w:t>Mipyme</w:t>
      </w:r>
      <w:proofErr w:type="spellEnd"/>
      <w:r w:rsidRPr="00954F93">
        <w:rPr>
          <w:rFonts w:ascii="Verdana" w:hAnsi="Verdana" w:cs="Arial"/>
          <w:i/>
          <w:iCs/>
          <w:sz w:val="22"/>
          <w:szCs w:val="22"/>
        </w:rPr>
        <w:t xml:space="preserve"> con domicilio en el territorio nacional, (</w:t>
      </w:r>
      <w:proofErr w:type="spellStart"/>
      <w:r w:rsidRPr="00954F93">
        <w:rPr>
          <w:rFonts w:ascii="Verdana" w:hAnsi="Verdana" w:cs="Arial"/>
          <w:i/>
          <w:iCs/>
          <w:sz w:val="22"/>
          <w:szCs w:val="22"/>
        </w:rPr>
        <w:t>ii</w:t>
      </w:r>
      <w:proofErr w:type="spellEnd"/>
      <w:r w:rsidRPr="00954F93">
        <w:rPr>
          <w:rFonts w:ascii="Verdana" w:hAnsi="Verdana" w:cs="Arial"/>
          <w:i/>
          <w:iCs/>
          <w:sz w:val="22"/>
          <w:szCs w:val="22"/>
        </w:rPr>
        <w:t>) emprendimiento y empresa de mujer con domicilio en el territorio nacional, (</w:t>
      </w:r>
      <w:proofErr w:type="spellStart"/>
      <w:r w:rsidRPr="00954F93">
        <w:rPr>
          <w:rFonts w:ascii="Verdana" w:hAnsi="Verdana" w:cs="Arial"/>
          <w:i/>
          <w:iCs/>
          <w:sz w:val="22"/>
          <w:szCs w:val="22"/>
        </w:rPr>
        <w:t>iii</w:t>
      </w:r>
      <w:proofErr w:type="spellEnd"/>
      <w:r w:rsidRPr="00954F93">
        <w:rPr>
          <w:rFonts w:ascii="Verdana" w:hAnsi="Verdana" w:cs="Arial"/>
          <w:i/>
          <w:iCs/>
          <w:sz w:val="22"/>
          <w:szCs w:val="22"/>
        </w:rPr>
        <w:t>) emprendimiento y empresa de personas con discapacidad, podrá demostrar la experiencia solicitada con dos (2) contratos adicionales a los cinco (5) inicialmente previstos, para un máximo de siete (7).</w:t>
      </w:r>
    </w:p>
    <w:p w14:paraId="0CD6BB3B" w14:textId="77777777" w:rsidR="00E91CF1" w:rsidRPr="00954F93" w:rsidRDefault="00E91CF1" w:rsidP="00E91CF1">
      <w:pPr>
        <w:ind w:left="1070"/>
        <w:jc w:val="both"/>
        <w:rPr>
          <w:rFonts w:ascii="Verdana" w:hAnsi="Verdana" w:cs="Arial"/>
          <w:i/>
          <w:iCs/>
          <w:sz w:val="22"/>
          <w:szCs w:val="22"/>
          <w:lang w:val="es-MX"/>
        </w:rPr>
      </w:pPr>
    </w:p>
    <w:p w14:paraId="5F66EE2A" w14:textId="77777777" w:rsidR="00E91CF1" w:rsidRPr="00954F93" w:rsidRDefault="00470C34" w:rsidP="00E91CF1">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En caso de que el Proponente persona natural o jurídica acredite la calidad de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xml:space="preserve"> y de emprendimiento y empresa de mujer con domicilio en el territorio nacional y de emprendimiento y empresa de personas con discapacidad, de manera conjunta, podrá demostrar la experiencia solicitada con tres (3) contratos adicionales a los cinco (5) inicialmente previstos, para un máximo de ocho (8).</w:t>
      </w:r>
    </w:p>
    <w:p w14:paraId="6CCEFDAC" w14:textId="77777777" w:rsidR="00E91CF1" w:rsidRPr="00954F93" w:rsidRDefault="00E91CF1" w:rsidP="00E91CF1">
      <w:pPr>
        <w:ind w:left="1070"/>
        <w:jc w:val="both"/>
        <w:rPr>
          <w:rFonts w:ascii="Verdana" w:hAnsi="Verdana" w:cs="Arial"/>
          <w:i/>
          <w:iCs/>
          <w:sz w:val="22"/>
          <w:szCs w:val="22"/>
          <w:lang w:val="es-MX"/>
        </w:rPr>
      </w:pPr>
    </w:p>
    <w:p w14:paraId="240CC01B" w14:textId="77777777" w:rsidR="00E91CF1" w:rsidRPr="00954F93" w:rsidRDefault="00470C34" w:rsidP="00E91CF1">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Para el caso de Proponentes Plurales bastará con que uno de sus integrantes tenga una participación igual o superior al diez por ciento (10 %) en el Consorcio o en la Unión Temporal y acredite la calidad de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xml:space="preserve"> o emprendimiento y empresa de mujer o de emprendimiento y empresa de personas con discapacidad, de conformidad con lo previsto en el artículo 2.2.1.13.2.2 del Decreto 1074 de 2015 y los artículos 2.2.1.2.4.2.4., 2.2.1.2.4.2.14 y 2.2.1.2.4.2.7 del Decreto 1082 de 2015, o las normas que los modifiquen, sustituyan o complementen, para probar la experiencia solicitada con un (1) contrato adicional a los cinco (5) inicialmente contemplados, para un máximo de seis (6) contratos. </w:t>
      </w:r>
    </w:p>
    <w:p w14:paraId="203EAE77" w14:textId="77777777" w:rsidR="00E91CF1" w:rsidRPr="00954F93" w:rsidRDefault="00E91CF1" w:rsidP="00E91CF1">
      <w:pPr>
        <w:ind w:left="1070"/>
        <w:jc w:val="both"/>
        <w:rPr>
          <w:rFonts w:ascii="Verdana" w:hAnsi="Verdana" w:cs="Arial"/>
          <w:i/>
          <w:iCs/>
          <w:sz w:val="22"/>
          <w:szCs w:val="22"/>
          <w:lang w:val="es-MX"/>
        </w:rPr>
      </w:pPr>
    </w:p>
    <w:p w14:paraId="0BD16B87" w14:textId="77777777" w:rsidR="00E91CF1" w:rsidRPr="00954F93" w:rsidRDefault="00470C34" w:rsidP="00E91CF1">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En caso de que el mismo integrante u otro que haga parte del Proponente Plural tenga una participación igual o superior al diez por ciento (10 %) en el Consorcio o en la Unión Temporal y </w:t>
      </w:r>
      <w:r w:rsidRPr="00954F93">
        <w:rPr>
          <w:rFonts w:ascii="Verdana" w:hAnsi="Verdana" w:cs="Arial"/>
          <w:i/>
          <w:iCs/>
          <w:sz w:val="22"/>
          <w:szCs w:val="22"/>
        </w:rPr>
        <w:t xml:space="preserve">acredite al menos dos (2) de las siguientes condiciones: (i) calidad de </w:t>
      </w:r>
      <w:proofErr w:type="spellStart"/>
      <w:r w:rsidRPr="00954F93">
        <w:rPr>
          <w:rFonts w:ascii="Verdana" w:hAnsi="Verdana" w:cs="Arial"/>
          <w:i/>
          <w:iCs/>
          <w:sz w:val="22"/>
          <w:szCs w:val="22"/>
        </w:rPr>
        <w:t>Mipyme</w:t>
      </w:r>
      <w:proofErr w:type="spellEnd"/>
      <w:r w:rsidRPr="00954F93">
        <w:rPr>
          <w:rFonts w:ascii="Verdana" w:hAnsi="Verdana" w:cs="Arial"/>
          <w:i/>
          <w:iCs/>
          <w:sz w:val="22"/>
          <w:szCs w:val="22"/>
        </w:rPr>
        <w:t xml:space="preserve"> con domicilio en el territorio nacional, (</w:t>
      </w:r>
      <w:proofErr w:type="spellStart"/>
      <w:r w:rsidRPr="00954F93">
        <w:rPr>
          <w:rFonts w:ascii="Verdana" w:hAnsi="Verdana" w:cs="Arial"/>
          <w:i/>
          <w:iCs/>
          <w:sz w:val="22"/>
          <w:szCs w:val="22"/>
        </w:rPr>
        <w:t>ii</w:t>
      </w:r>
      <w:proofErr w:type="spellEnd"/>
      <w:r w:rsidRPr="00954F93">
        <w:rPr>
          <w:rFonts w:ascii="Verdana" w:hAnsi="Verdana" w:cs="Arial"/>
          <w:i/>
          <w:iCs/>
          <w:sz w:val="22"/>
          <w:szCs w:val="22"/>
        </w:rPr>
        <w:t xml:space="preserve">) </w:t>
      </w:r>
      <w:r w:rsidRPr="00954F93">
        <w:rPr>
          <w:rFonts w:ascii="Verdana" w:hAnsi="Verdana" w:cs="Arial"/>
          <w:i/>
          <w:iCs/>
          <w:sz w:val="22"/>
          <w:szCs w:val="22"/>
        </w:rPr>
        <w:lastRenderedPageBreak/>
        <w:t>emprendimiento y empresa de mujer con domicilio en el territorio nacional, (</w:t>
      </w:r>
      <w:proofErr w:type="spellStart"/>
      <w:r w:rsidRPr="00954F93">
        <w:rPr>
          <w:rFonts w:ascii="Verdana" w:hAnsi="Verdana" w:cs="Arial"/>
          <w:i/>
          <w:iCs/>
          <w:sz w:val="22"/>
          <w:szCs w:val="22"/>
        </w:rPr>
        <w:t>iii</w:t>
      </w:r>
      <w:proofErr w:type="spellEnd"/>
      <w:r w:rsidRPr="00954F93">
        <w:rPr>
          <w:rFonts w:ascii="Verdana" w:hAnsi="Verdana" w:cs="Arial"/>
          <w:i/>
          <w:iCs/>
          <w:sz w:val="22"/>
          <w:szCs w:val="22"/>
        </w:rPr>
        <w:t>) emprendimiento y empresa de personas con discapacidad,</w:t>
      </w:r>
      <w:r w:rsidRPr="00954F93">
        <w:rPr>
          <w:rFonts w:ascii="Verdana" w:hAnsi="Verdana" w:cs="Arial"/>
          <w:i/>
          <w:iCs/>
          <w:sz w:val="22"/>
          <w:szCs w:val="22"/>
          <w:lang w:val="es-MX"/>
        </w:rPr>
        <w:t xml:space="preserve"> manera conjunta o separada, podrá demostrar la experiencia solicitada con dos (2) contratos adicionales a los cinco (5) inicialmente previstos, para un máximo de siete (7) contratos. </w:t>
      </w:r>
    </w:p>
    <w:p w14:paraId="36AA4AAF" w14:textId="77777777" w:rsidR="00E91CF1" w:rsidRPr="00954F93" w:rsidRDefault="00E91CF1" w:rsidP="00E91CF1">
      <w:pPr>
        <w:ind w:left="1070"/>
        <w:jc w:val="both"/>
        <w:rPr>
          <w:rFonts w:ascii="Verdana" w:hAnsi="Verdana" w:cs="Arial"/>
          <w:i/>
          <w:iCs/>
          <w:sz w:val="22"/>
          <w:szCs w:val="22"/>
          <w:lang w:val="es-MX"/>
        </w:rPr>
      </w:pPr>
    </w:p>
    <w:p w14:paraId="6EEA2FF1" w14:textId="77777777" w:rsidR="00E13CFA" w:rsidRPr="00954F93" w:rsidRDefault="00470C34" w:rsidP="00E13CFA">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En caso de que el mismo integrante u otro que haga parte del Proponente Plural tenga una participación igual o superior al diez por ciento (10 %) en el Consorcio o en la Unión Temporal y acredite la calidad de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xml:space="preserve"> y de emprendimiento y empresa de mujer con domicilio en el territorio nacional y de emprendimiento y empresa de personas con discapacidad, de manera conjunta o separada, podrá demostrar la experiencia solicitada con tres (3) contratos adicionales a los cinco (5) inicialmente previstos, para un máximo de ocho (8) contratos. En todo caso no será posible aportar más de tres (3) contratos adicionales aun cuando otros integrantes del Proponente Plural también cumplan las condiciones previamente definidas.</w:t>
      </w:r>
    </w:p>
    <w:p w14:paraId="63101784" w14:textId="77777777" w:rsidR="00E13CFA" w:rsidRPr="00954F93" w:rsidRDefault="00E13CFA" w:rsidP="00E13CFA">
      <w:pPr>
        <w:ind w:left="1070"/>
        <w:jc w:val="both"/>
        <w:rPr>
          <w:rFonts w:ascii="Verdana" w:hAnsi="Verdana" w:cs="Arial"/>
          <w:i/>
          <w:iCs/>
          <w:sz w:val="22"/>
          <w:szCs w:val="22"/>
          <w:lang w:val="es-MX"/>
        </w:rPr>
      </w:pPr>
    </w:p>
    <w:p w14:paraId="3A27F402" w14:textId="77777777" w:rsidR="00E13CFA" w:rsidRPr="00954F93" w:rsidRDefault="00470C34" w:rsidP="00E13CFA">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Para acreditar la condición de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el Proponente entregará copia del certificado del Registro Único de Proponentes, el cual deberá encontrarse vigente y en firme al momento de su presentación. Por su parte, la condición de emprendimientos y/o empresas de mujeres se probará mediante el diligenciamiento del Formato 12 – Acreditación de emprendimientos y empresas de mujeres, el cual deberá aportarse con la documentación requerida en el artículo 2.2.1.2.4.2.14 del Decreto 1082 de 2015, o la norma que lo modifique, complemente o sustituya.</w:t>
      </w:r>
    </w:p>
    <w:p w14:paraId="39FB1062" w14:textId="77777777" w:rsidR="00E13CFA" w:rsidRPr="00954F93" w:rsidRDefault="00E13CFA" w:rsidP="00E13CFA">
      <w:pPr>
        <w:ind w:left="1070"/>
        <w:jc w:val="both"/>
        <w:rPr>
          <w:rFonts w:ascii="Verdana" w:hAnsi="Verdana" w:cs="Arial"/>
          <w:i/>
          <w:iCs/>
          <w:sz w:val="22"/>
          <w:szCs w:val="22"/>
          <w:lang w:val="es-MX"/>
        </w:rPr>
      </w:pPr>
    </w:p>
    <w:p w14:paraId="7A34FB05" w14:textId="77777777" w:rsidR="00470C34" w:rsidRPr="00954F93" w:rsidRDefault="00470C34" w:rsidP="00954F93">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A su turno, la condición de emprendimientos y empresas de personas con discapacidad se acreditará mediante el diligenciamiento del Formato 8 – Emprendimientos y empresas de personas con discapacidad, y la documentación señalada en el artículo 2.2.1.2.4.2.6 del Decreto 1082 de 2015. Lo anterior, salvo cuando se trate de la opción 3 del Formato 8, caso en el cual dicho formato no hará las veces de certificación, y deberán aportarse todos los documentos señalados en el artículo 2.2.1.2.4.2.6, de acuerdo con las condiciones allí referidas. </w:t>
      </w:r>
    </w:p>
    <w:p w14:paraId="206CC8F7" w14:textId="77777777" w:rsidR="00470C34" w:rsidRPr="00954F93" w:rsidRDefault="00470C34" w:rsidP="00954F93">
      <w:pPr>
        <w:ind w:left="1070"/>
        <w:jc w:val="both"/>
        <w:rPr>
          <w:rFonts w:ascii="Verdana" w:hAnsi="Verdana" w:cs="Arial"/>
          <w:i/>
          <w:iCs/>
          <w:sz w:val="22"/>
          <w:szCs w:val="22"/>
          <w:lang w:val="es-MX"/>
        </w:rPr>
      </w:pPr>
    </w:p>
    <w:p w14:paraId="08666A13" w14:textId="720AB20D" w:rsidR="00470C34" w:rsidRPr="00954F93" w:rsidRDefault="00470C34" w:rsidP="00954F93">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Para los efectos de este literal entiéndase por experiencia solicitada la general y la específica requerida en la actividad principal, al igual que la exigida para la actividad secundaria en atención a las combinaciones de experiencia </w:t>
      </w:r>
      <w:r w:rsidRPr="00954F93">
        <w:rPr>
          <w:rFonts w:ascii="Verdana" w:hAnsi="Verdana" w:cs="Arial"/>
          <w:i/>
          <w:iCs/>
          <w:sz w:val="22"/>
          <w:szCs w:val="22"/>
          <w:lang w:val="es-MX"/>
        </w:rPr>
        <w:lastRenderedPageBreak/>
        <w:t xml:space="preserve">aplicables y la experiencia adicional respecto de los bienes y servicios ajenos a la obra pública de infraestructura de </w:t>
      </w:r>
      <w:r w:rsidR="00041ECD" w:rsidRPr="00611315">
        <w:rPr>
          <w:rFonts w:ascii="Verdana" w:hAnsi="Verdana" w:cs="Arial"/>
          <w:sz w:val="22"/>
          <w:szCs w:val="22"/>
        </w:rPr>
        <w:t>Agua Potable y Saneamiento Básico</w:t>
      </w:r>
      <w:r w:rsidRPr="00954F93">
        <w:rPr>
          <w:rFonts w:ascii="Verdana" w:hAnsi="Verdana" w:cs="Arial"/>
          <w:i/>
          <w:iCs/>
          <w:sz w:val="22"/>
          <w:szCs w:val="22"/>
          <w:lang w:val="es-MX"/>
        </w:rPr>
        <w:t>.</w:t>
      </w:r>
    </w:p>
    <w:p w14:paraId="5C00132C" w14:textId="77777777" w:rsidR="00470C34" w:rsidRPr="00954F93" w:rsidRDefault="00470C34" w:rsidP="00954F93">
      <w:pPr>
        <w:ind w:left="1070"/>
        <w:jc w:val="both"/>
        <w:rPr>
          <w:rFonts w:ascii="Verdana" w:hAnsi="Verdana" w:cs="Arial"/>
          <w:i/>
          <w:iCs/>
          <w:sz w:val="22"/>
          <w:szCs w:val="22"/>
          <w:lang w:val="es-MX"/>
        </w:rPr>
      </w:pPr>
    </w:p>
    <w:p w14:paraId="09EC68A3" w14:textId="35163FB9" w:rsidR="00470C34" w:rsidRPr="00954F93" w:rsidRDefault="00470C34" w:rsidP="00954F93">
      <w:pPr>
        <w:ind w:left="1070"/>
        <w:jc w:val="both"/>
        <w:rPr>
          <w:rFonts w:ascii="Verdana" w:hAnsi="Verdana" w:cs="Arial"/>
          <w:i/>
          <w:iCs/>
          <w:sz w:val="22"/>
          <w:szCs w:val="22"/>
          <w:lang w:val="es-MX"/>
        </w:rPr>
      </w:pPr>
      <w:r w:rsidRPr="00954F93">
        <w:rPr>
          <w:rFonts w:ascii="Verdana" w:hAnsi="Verdana" w:cs="Arial"/>
          <w:i/>
          <w:iCs/>
          <w:sz w:val="22"/>
          <w:szCs w:val="22"/>
          <w:lang w:val="es-MX"/>
        </w:rPr>
        <w:t xml:space="preserve">[En las convocatorias limitadas a </w:t>
      </w:r>
      <w:proofErr w:type="spellStart"/>
      <w:r w:rsidRPr="00954F93">
        <w:rPr>
          <w:rFonts w:ascii="Verdana" w:hAnsi="Verdana" w:cs="Arial"/>
          <w:i/>
          <w:iCs/>
          <w:sz w:val="22"/>
          <w:szCs w:val="22"/>
          <w:lang w:val="es-MX"/>
        </w:rPr>
        <w:t>Mipyme</w:t>
      </w:r>
      <w:proofErr w:type="spellEnd"/>
      <w:r w:rsidRPr="00954F93">
        <w:rPr>
          <w:rFonts w:ascii="Verdana" w:hAnsi="Verdana" w:cs="Arial"/>
          <w:i/>
          <w:iCs/>
          <w:sz w:val="22"/>
          <w:szCs w:val="22"/>
          <w:lang w:val="es-MX"/>
        </w:rPr>
        <w:t>, únicamente se aplicará este criterio diferencial respecto de los emprendimientos y empresas de mujeres].</w:t>
      </w:r>
      <w:r w:rsidR="00373828" w:rsidRPr="00954F93">
        <w:rPr>
          <w:rFonts w:ascii="Verdana" w:hAnsi="Verdana" w:cs="Arial"/>
          <w:i/>
          <w:iCs/>
          <w:sz w:val="22"/>
          <w:szCs w:val="22"/>
          <w:lang w:val="es-MX"/>
        </w:rPr>
        <w:t>”</w:t>
      </w:r>
    </w:p>
    <w:p w14:paraId="75BA01BD" w14:textId="77777777" w:rsidR="00470C34" w:rsidRPr="00611315" w:rsidRDefault="00470C34" w:rsidP="00CC26C5">
      <w:pPr>
        <w:jc w:val="both"/>
        <w:rPr>
          <w:rFonts w:ascii="Verdana" w:hAnsi="Verdana" w:cs="Arial"/>
          <w:sz w:val="22"/>
          <w:szCs w:val="22"/>
        </w:rPr>
      </w:pPr>
    </w:p>
    <w:p w14:paraId="1AE683AF" w14:textId="77777777" w:rsidR="00A41A0B" w:rsidRPr="00611315" w:rsidRDefault="00A41A0B" w:rsidP="00CC26C5">
      <w:pPr>
        <w:jc w:val="both"/>
        <w:rPr>
          <w:rFonts w:ascii="Verdana" w:hAnsi="Verdana" w:cs="Arial"/>
          <w:sz w:val="22"/>
          <w:szCs w:val="22"/>
        </w:rPr>
      </w:pPr>
    </w:p>
    <w:p w14:paraId="2B8749EE" w14:textId="4F519FFD" w:rsidR="00CC26C5" w:rsidRPr="00611315" w:rsidRDefault="00132ABB" w:rsidP="00CC26C5">
      <w:pPr>
        <w:jc w:val="both"/>
        <w:rPr>
          <w:rFonts w:ascii="Verdana" w:hAnsi="Verdana" w:cs="Arial"/>
          <w:sz w:val="22"/>
          <w:szCs w:val="22"/>
        </w:rPr>
      </w:pPr>
      <w:r w:rsidRPr="00611315">
        <w:rPr>
          <w:rFonts w:ascii="Verdana" w:hAnsi="Verdana" w:cs="Arial"/>
          <w:sz w:val="22"/>
          <w:szCs w:val="22"/>
        </w:rPr>
        <w:t xml:space="preserve">b) </w:t>
      </w:r>
      <w:r w:rsidR="00B92FC7" w:rsidRPr="00611315">
        <w:rPr>
          <w:rFonts w:ascii="Verdana" w:hAnsi="Verdana" w:cs="Arial"/>
          <w:sz w:val="22"/>
          <w:szCs w:val="22"/>
        </w:rPr>
        <w:t>P</w:t>
      </w:r>
      <w:r w:rsidRPr="00611315">
        <w:rPr>
          <w:rFonts w:ascii="Verdana" w:hAnsi="Verdana" w:cs="Arial"/>
          <w:sz w:val="22"/>
          <w:szCs w:val="22"/>
        </w:rPr>
        <w:t>or su parte</w:t>
      </w:r>
      <w:r w:rsidR="00DD7C1C" w:rsidRPr="00611315">
        <w:rPr>
          <w:rFonts w:ascii="Verdana" w:hAnsi="Verdana" w:cs="Arial"/>
          <w:sz w:val="22"/>
          <w:szCs w:val="22"/>
        </w:rPr>
        <w:t>,</w:t>
      </w:r>
      <w:r w:rsidRPr="00611315">
        <w:rPr>
          <w:rFonts w:ascii="Verdana" w:hAnsi="Verdana" w:cs="Arial"/>
          <w:sz w:val="22"/>
          <w:szCs w:val="22"/>
        </w:rPr>
        <w:t xml:space="preserve"> </w:t>
      </w:r>
      <w:r w:rsidR="00CC26C5" w:rsidRPr="00611315">
        <w:rPr>
          <w:rFonts w:ascii="Verdana" w:hAnsi="Verdana" w:cs="Arial"/>
          <w:sz w:val="22"/>
          <w:szCs w:val="22"/>
        </w:rPr>
        <w:t xml:space="preserve">y fruto de la </w:t>
      </w:r>
      <w:r w:rsidR="008C3876" w:rsidRPr="00611315">
        <w:rPr>
          <w:rFonts w:ascii="Verdana" w:hAnsi="Verdana" w:cs="Arial"/>
          <w:sz w:val="22"/>
          <w:szCs w:val="22"/>
        </w:rPr>
        <w:t xml:space="preserve">actualización </w:t>
      </w:r>
      <w:r w:rsidR="00CC26C5" w:rsidRPr="00611315">
        <w:rPr>
          <w:rFonts w:ascii="Verdana" w:hAnsi="Verdana" w:cs="Arial"/>
          <w:sz w:val="22"/>
          <w:szCs w:val="22"/>
        </w:rPr>
        <w:t xml:space="preserve">de </w:t>
      </w:r>
      <w:r w:rsidR="008C3876" w:rsidRPr="00611315">
        <w:rPr>
          <w:rFonts w:ascii="Verdana" w:hAnsi="Verdana" w:cs="Arial"/>
          <w:sz w:val="22"/>
          <w:szCs w:val="22"/>
        </w:rPr>
        <w:t>estos</w:t>
      </w:r>
      <w:r w:rsidR="00CC26C5" w:rsidRPr="00611315">
        <w:rPr>
          <w:rFonts w:ascii="Verdana" w:hAnsi="Verdana" w:cs="Arial"/>
          <w:sz w:val="22"/>
          <w:szCs w:val="22"/>
        </w:rPr>
        <w:t xml:space="preserve"> documentos tipo, la Agencia, en coordinación con entidades técnicas y especializadas del sector, ciudadanos y observaciones internas realizadas por parte del Grupo de Interno de Trabajo de documentos tipo, encontró procedente actualizar </w:t>
      </w:r>
      <w:r w:rsidR="00074BD9" w:rsidRPr="00611315">
        <w:rPr>
          <w:rFonts w:ascii="Verdana" w:hAnsi="Verdana" w:cs="Arial"/>
          <w:sz w:val="22"/>
          <w:szCs w:val="22"/>
        </w:rPr>
        <w:t xml:space="preserve">el numeral 3.5.1. que establece las condiciones para la “determinación de los requisitos mínimos de Experiencia según la matriz 1 -Experiencia”, </w:t>
      </w:r>
      <w:r w:rsidR="008C3876" w:rsidRPr="00611315">
        <w:rPr>
          <w:rFonts w:ascii="Verdana" w:hAnsi="Verdana" w:cs="Arial"/>
          <w:sz w:val="22"/>
          <w:szCs w:val="22"/>
        </w:rPr>
        <w:t xml:space="preserve">específicamente sobre la “Matriz 1 – Experiencia” y el “Anexo 3 – Glosario”.  </w:t>
      </w:r>
    </w:p>
    <w:p w14:paraId="24AFF54F" w14:textId="4ED87A89" w:rsidR="4B6F30B9" w:rsidRPr="00611315" w:rsidRDefault="4B6F30B9" w:rsidP="4B6F30B9">
      <w:pPr>
        <w:jc w:val="both"/>
        <w:rPr>
          <w:rFonts w:ascii="Verdana" w:hAnsi="Verdana" w:cs="Arial"/>
          <w:sz w:val="22"/>
          <w:szCs w:val="22"/>
          <w:highlight w:val="yellow"/>
        </w:rPr>
      </w:pPr>
    </w:p>
    <w:p w14:paraId="54A0B786" w14:textId="77777777" w:rsidR="00F16EF9" w:rsidRPr="00611315" w:rsidRDefault="00F16EF9" w:rsidP="00F16EF9">
      <w:pPr>
        <w:rPr>
          <w:rFonts w:ascii="Verdana" w:hAnsi="Verdana" w:cs="Arial"/>
        </w:rPr>
      </w:pPr>
      <w:r w:rsidRPr="00611315">
        <w:rPr>
          <w:rFonts w:ascii="Verdana" w:hAnsi="Verdana" w:cs="Arial"/>
        </w:rPr>
        <w:t xml:space="preserve">En relación con la Matriz 1 – Experiencia en términos generales, los siguientes fueron los principales cambios en ese documento:  </w:t>
      </w:r>
    </w:p>
    <w:p w14:paraId="34AD7CB4" w14:textId="77777777" w:rsidR="00F16EF9" w:rsidRPr="00611315" w:rsidRDefault="00F16EF9" w:rsidP="00F16EF9">
      <w:pPr>
        <w:pStyle w:val="Prrafodelista"/>
        <w:rPr>
          <w:rFonts w:ascii="Verdana" w:hAnsi="Verdana" w:cs="Arial"/>
        </w:rPr>
      </w:pPr>
      <w:r w:rsidRPr="00611315">
        <w:rPr>
          <w:rFonts w:ascii="Verdana" w:hAnsi="Verdana" w:cs="Arial"/>
        </w:rPr>
        <w:t xml:space="preserve"> </w:t>
      </w:r>
    </w:p>
    <w:p w14:paraId="7E95C3E1" w14:textId="77777777" w:rsidR="00F16EF9" w:rsidRPr="00611315" w:rsidRDefault="00F16EF9" w:rsidP="00F16EF9">
      <w:pPr>
        <w:pStyle w:val="Prrafodelista"/>
        <w:numPr>
          <w:ilvl w:val="0"/>
          <w:numId w:val="101"/>
        </w:numPr>
        <w:rPr>
          <w:rFonts w:ascii="Verdana" w:hAnsi="Verdana" w:cs="Arial"/>
        </w:rPr>
      </w:pPr>
      <w:r w:rsidRPr="00611315">
        <w:rPr>
          <w:rFonts w:ascii="Verdana" w:hAnsi="Verdana" w:cs="Arial"/>
        </w:rPr>
        <w:t xml:space="preserve">Basados en el documento “ANÁLISIS DESCRIPTIVO SECOP - Cubo Agua Potable y Saneamiento Básico (julio 2024 - junio 2025)” presentado por la Subdirección de Estudios de Mercado y Abastecimiento Estratégico -el cual evaluó el comportamiento reciente de la contratación pública en el sector de infraestructura de agua potable y saneamiento básico-, permitió identificar actividades adicionales a las que actualmente contienen el documento tipo señalado, que están siendo contratadas por las entidades públicas para atender las necesidades actuales del sector. </w:t>
      </w:r>
    </w:p>
    <w:p w14:paraId="52887B4F" w14:textId="77777777" w:rsidR="00F16EF9" w:rsidRPr="00611315" w:rsidRDefault="00F16EF9" w:rsidP="00F16EF9">
      <w:pPr>
        <w:pStyle w:val="Prrafodelista"/>
        <w:rPr>
          <w:rFonts w:ascii="Verdana" w:hAnsi="Verdana" w:cs="Arial"/>
        </w:rPr>
      </w:pPr>
    </w:p>
    <w:p w14:paraId="58EF672E" w14:textId="77777777" w:rsidR="00F16EF9" w:rsidRPr="00611315" w:rsidRDefault="00F16EF9" w:rsidP="00F16EF9">
      <w:pPr>
        <w:pStyle w:val="Prrafodelista"/>
        <w:numPr>
          <w:ilvl w:val="0"/>
          <w:numId w:val="101"/>
        </w:numPr>
        <w:rPr>
          <w:rFonts w:ascii="Verdana" w:hAnsi="Verdana" w:cs="Arial"/>
        </w:rPr>
      </w:pPr>
      <w:r w:rsidRPr="00611315">
        <w:rPr>
          <w:rFonts w:ascii="Verdana" w:hAnsi="Verdana" w:cs="Arial"/>
        </w:rPr>
        <w:t xml:space="preserve">Con fundamento en este análisis, el Grupo Interno de Trabajo de Documentos Tipo revisó una muestra representativa de procesos de selección adelantados por distintas entidades del orden nacional y territorial en el sector de agua potable y saneamiento básico. A partir de esta revisión se evidenció que las entidades contratantes incluyen de manera recurrente actividades relacionadas con Tanques de almacenamiento de agua potable, redes domiciliarias de acueductos en zonas urbanas, equipos de bombeo, limpieza y/o descolmatación de los sistemas de alcantarillado sanitario y/o pluvial  urbano y/o rural, box </w:t>
      </w:r>
      <w:proofErr w:type="spellStart"/>
      <w:r w:rsidRPr="00611315">
        <w:rPr>
          <w:rFonts w:ascii="Verdana" w:hAnsi="Verdana" w:cs="Arial"/>
        </w:rPr>
        <w:t>coulvert</w:t>
      </w:r>
      <w:proofErr w:type="spellEnd"/>
      <w:r w:rsidRPr="00611315">
        <w:rPr>
          <w:rFonts w:ascii="Verdana" w:hAnsi="Verdana" w:cs="Arial"/>
        </w:rPr>
        <w:t xml:space="preserve"> de alcantarillado sanitario urbano y/o rural, sistemas de canalización de agua lluvias en zonas urbanas y/o rurales, sumideros y/o cajas de inspección en zonas urbanas y/o rurales, redes domiciliarias de alcantarillado en zonas urbanas, sistemas de aprovechamiento de residuos y/u obras complementarias, limpieza, </w:t>
      </w:r>
      <w:r w:rsidRPr="00611315">
        <w:rPr>
          <w:rFonts w:ascii="Verdana" w:hAnsi="Verdana" w:cs="Arial"/>
        </w:rPr>
        <w:lastRenderedPageBreak/>
        <w:t xml:space="preserve">lavado de vías y áreas públicas, estaciones de clasificación y aprovechamiento (ECA) y/o áreas de separación de residuos aprovechables, sistemas alternativos para disposición final de residuos y/u obras complementarias, equipos eléctricos y/o electromecánicos y/o de control para PTAR y/o PTAP, alumbrado público y redes eléctricas de media y baja tensión en PTAR y/o PTAP, equipos de bombeo y/o equipos eléctricos y/o equipos electromecánicos y/o equipos de control asociados a la infraestructura de PTAR y/o PTAP, unidades y/o baterías sanitarias y/o letrinas y/o tanques sépticos y/o sistemas de tratamiento para vivienda(s) rural(es) dispersa, tanques elevados y/o tanques sépticos y/u obras complementarias para proyectos de comunidades indígenas, pozos profundos para proyectos de vivienda en comunidades indígenas, sistemas sépticos en zonas rurales, razón por la cual se consideró técnicamente procedente incorporar dichas actividades en los documentos tipo, con el fin de asegurar su correspondencia con las necesidades reales de contratación del sector. </w:t>
      </w:r>
    </w:p>
    <w:p w14:paraId="7356359C" w14:textId="77777777" w:rsidR="00F16EF9" w:rsidRPr="00611315" w:rsidRDefault="00F16EF9" w:rsidP="00F16EF9">
      <w:pPr>
        <w:pStyle w:val="Prrafodelista"/>
        <w:rPr>
          <w:rFonts w:ascii="Verdana" w:hAnsi="Verdana" w:cs="Arial"/>
        </w:rPr>
      </w:pPr>
      <w:r w:rsidRPr="00611315">
        <w:rPr>
          <w:rFonts w:ascii="Verdana" w:hAnsi="Verdana" w:cs="Arial"/>
        </w:rPr>
        <w:t xml:space="preserve"> </w:t>
      </w:r>
    </w:p>
    <w:p w14:paraId="7694BDFC" w14:textId="6619EB44" w:rsidR="006715B8" w:rsidRPr="00611315" w:rsidRDefault="006715B8" w:rsidP="00F16EF9">
      <w:pPr>
        <w:pStyle w:val="Prrafodelista"/>
        <w:numPr>
          <w:ilvl w:val="0"/>
          <w:numId w:val="101"/>
        </w:numPr>
        <w:rPr>
          <w:rFonts w:ascii="Verdana" w:hAnsi="Verdana" w:cs="Arial"/>
        </w:rPr>
      </w:pPr>
      <w:r w:rsidRPr="00611315">
        <w:rPr>
          <w:rFonts w:ascii="Verdana" w:hAnsi="Verdana" w:cs="Arial"/>
        </w:rPr>
        <w:t xml:space="preserve">En adición a lo anterior y para la matriz de “llave en mano” se incorporaron actividades relacionadas con “operación y puesta en marcha” de cada </w:t>
      </w:r>
      <w:r w:rsidR="007F0FEA" w:rsidRPr="00611315">
        <w:rPr>
          <w:rFonts w:ascii="Verdana" w:hAnsi="Verdana" w:cs="Arial"/>
        </w:rPr>
        <w:t>capítulo, por ejemplo, para el capítulo 1 - Acueductos, se incorporó la actividad “1.10 PROYECTOS DE OPERACIÓN Y/O ADMINISTRACION Y/O PUESTA EN FUNCIONAMIENTO DE LA INFRAESTRUCTURA DE</w:t>
      </w:r>
      <w:r w:rsidR="00734C24">
        <w:rPr>
          <w:rFonts w:ascii="Verdana" w:hAnsi="Verdana" w:cs="Arial"/>
        </w:rPr>
        <w:t xml:space="preserve"> </w:t>
      </w:r>
      <w:r w:rsidR="007F0FEA" w:rsidRPr="00611315">
        <w:rPr>
          <w:rFonts w:ascii="Verdana" w:hAnsi="Verdana" w:cs="Arial"/>
        </w:rPr>
        <w:t>ACUEDUCTOS” y en igual medida para los demás capítulos.</w:t>
      </w:r>
    </w:p>
    <w:p w14:paraId="1D1BFF68" w14:textId="77777777" w:rsidR="007F0FEA" w:rsidRPr="00954F93" w:rsidRDefault="007F0FEA" w:rsidP="00954F93">
      <w:pPr>
        <w:pStyle w:val="Prrafodelista"/>
        <w:rPr>
          <w:rFonts w:ascii="Verdana" w:hAnsi="Verdana" w:cs="Arial"/>
        </w:rPr>
      </w:pPr>
    </w:p>
    <w:p w14:paraId="2FEFC9C3" w14:textId="7AB22A89" w:rsidR="007F0FEA" w:rsidRPr="00611315" w:rsidRDefault="00230B5A" w:rsidP="00F16EF9">
      <w:pPr>
        <w:pStyle w:val="Prrafodelista"/>
        <w:numPr>
          <w:ilvl w:val="0"/>
          <w:numId w:val="101"/>
        </w:numPr>
        <w:rPr>
          <w:rFonts w:ascii="Verdana" w:hAnsi="Verdana" w:cs="Arial"/>
        </w:rPr>
      </w:pPr>
      <w:r w:rsidRPr="00611315">
        <w:rPr>
          <w:rFonts w:ascii="Verdana" w:hAnsi="Verdana" w:cs="Arial"/>
        </w:rPr>
        <w:t xml:space="preserve">Para el </w:t>
      </w:r>
      <w:r w:rsidR="003E6578" w:rsidRPr="00611315">
        <w:rPr>
          <w:rFonts w:ascii="Verdana" w:hAnsi="Verdana" w:cs="Arial"/>
        </w:rPr>
        <w:t>capítulo</w:t>
      </w:r>
      <w:r w:rsidRPr="00611315">
        <w:rPr>
          <w:rFonts w:ascii="Verdana" w:hAnsi="Verdana" w:cs="Arial"/>
        </w:rPr>
        <w:t xml:space="preserve"> </w:t>
      </w:r>
      <w:r w:rsidR="001D538C" w:rsidRPr="00611315">
        <w:rPr>
          <w:rFonts w:ascii="Verdana" w:hAnsi="Verdana" w:cs="Arial"/>
        </w:rPr>
        <w:t>11. ESTUDIOS Y DISEÑOS (En el caso de proyectos que requieran labores de: estudios, diseños y construcción), se incluyeron las actividades relacionadas con</w:t>
      </w:r>
      <w:r w:rsidR="00781069" w:rsidRPr="00611315">
        <w:rPr>
          <w:rFonts w:ascii="Verdana" w:hAnsi="Verdana" w:cs="Arial"/>
        </w:rPr>
        <w:t>:</w:t>
      </w:r>
    </w:p>
    <w:p w14:paraId="4684BD69" w14:textId="77777777" w:rsidR="00781069" w:rsidRPr="00954F93" w:rsidRDefault="00781069" w:rsidP="00954F93">
      <w:pPr>
        <w:pStyle w:val="Prrafodelista"/>
        <w:rPr>
          <w:rFonts w:ascii="Verdana" w:hAnsi="Verdana" w:cs="Arial"/>
        </w:rPr>
      </w:pPr>
    </w:p>
    <w:p w14:paraId="32DF95DB" w14:textId="20267CDC" w:rsidR="00781069" w:rsidRPr="00611315" w:rsidRDefault="00781069" w:rsidP="00781069">
      <w:pPr>
        <w:ind w:left="1440"/>
        <w:jc w:val="both"/>
        <w:rPr>
          <w:rFonts w:ascii="Verdana" w:hAnsi="Verdana" w:cs="Arial"/>
        </w:rPr>
      </w:pPr>
      <w:r w:rsidRPr="00611315">
        <w:rPr>
          <w:rFonts w:ascii="Verdana" w:hAnsi="Verdana" w:cs="Arial"/>
        </w:rPr>
        <w:t>11.4 ESTUDIOS Y/O DISEÑOS PARA PROYECTOS Y/U OBRAS DE INFRAESTRUCTURA PARA ESTRUCTURAS HIDRAULICAS RELACIONADAS CON MANEJO Y/O CONDUCCION Y/O CAPTACION Y/O ALMACENAMIENTO DE AGUA CRUDA Y/O AGUA POTABLE Y/U OBRAS COMPLEMENTARIAS.</w:t>
      </w:r>
    </w:p>
    <w:p w14:paraId="7703A964" w14:textId="77777777" w:rsidR="00B9790F" w:rsidRPr="00611315" w:rsidRDefault="00B9790F" w:rsidP="00781069">
      <w:pPr>
        <w:ind w:left="1440"/>
        <w:jc w:val="both"/>
        <w:rPr>
          <w:rFonts w:ascii="Verdana" w:hAnsi="Verdana" w:cs="Arial"/>
        </w:rPr>
      </w:pPr>
    </w:p>
    <w:p w14:paraId="799BEA38" w14:textId="1EA10E73" w:rsidR="00B9790F" w:rsidRPr="00611315" w:rsidRDefault="00B9790F" w:rsidP="00781069">
      <w:pPr>
        <w:ind w:left="1440"/>
        <w:jc w:val="both"/>
        <w:rPr>
          <w:rFonts w:ascii="Verdana" w:hAnsi="Verdana" w:cs="Arial"/>
        </w:rPr>
      </w:pPr>
      <w:r w:rsidRPr="00611315">
        <w:rPr>
          <w:rFonts w:ascii="Verdana" w:hAnsi="Verdana" w:cs="Arial"/>
        </w:rPr>
        <w:t>11.5 ESTUDIOS Y/O DISEÑOS PARA PROYECTOS Y/U OBRAS DE INFRAESTRUCTURA PARA RIEGO Y/O DRENAJE Y/O PROTECCION CONTRA INUNDACIONES PARA ADECUACION DE TIERRAS.</w:t>
      </w:r>
    </w:p>
    <w:p w14:paraId="43496375" w14:textId="77777777" w:rsidR="006715B8" w:rsidRPr="00954F93" w:rsidRDefault="006715B8" w:rsidP="00954F93">
      <w:pPr>
        <w:rPr>
          <w:rFonts w:ascii="Verdana" w:hAnsi="Verdana" w:cs="Arial"/>
        </w:rPr>
      </w:pPr>
    </w:p>
    <w:p w14:paraId="4D53A313" w14:textId="33976845" w:rsidR="00F16EF9" w:rsidRPr="008B0E6C" w:rsidRDefault="00F16EF9" w:rsidP="00F16EF9">
      <w:pPr>
        <w:pStyle w:val="Prrafodelista"/>
        <w:numPr>
          <w:ilvl w:val="0"/>
          <w:numId w:val="101"/>
        </w:numPr>
        <w:rPr>
          <w:rFonts w:ascii="Verdana" w:hAnsi="Verdana" w:cs="Arial"/>
        </w:rPr>
      </w:pPr>
      <w:r w:rsidRPr="00611315">
        <w:rPr>
          <w:rFonts w:ascii="Verdana" w:hAnsi="Verdana" w:cs="Arial"/>
        </w:rPr>
        <w:t xml:space="preserve">Por otra parte, en la </w:t>
      </w:r>
      <w:r w:rsidR="00482956" w:rsidRPr="00611315">
        <w:rPr>
          <w:rFonts w:ascii="Verdana" w:hAnsi="Verdana" w:cs="Arial"/>
        </w:rPr>
        <w:t xml:space="preserve">presente </w:t>
      </w:r>
      <w:r w:rsidRPr="00611315">
        <w:rPr>
          <w:rFonts w:ascii="Verdana" w:hAnsi="Verdana" w:cs="Arial"/>
        </w:rPr>
        <w:t xml:space="preserve">modificación </w:t>
      </w:r>
      <w:r w:rsidR="00482956" w:rsidRPr="00611315">
        <w:rPr>
          <w:rFonts w:ascii="Verdana" w:hAnsi="Verdana" w:cs="Arial"/>
        </w:rPr>
        <w:t xml:space="preserve">se incorporan </w:t>
      </w:r>
      <w:r w:rsidR="006E513F" w:rsidRPr="00611315">
        <w:rPr>
          <w:rFonts w:ascii="Verdana" w:hAnsi="Verdana" w:cs="Arial"/>
        </w:rPr>
        <w:t xml:space="preserve">en el Anexo 3 – Glosario, </w:t>
      </w:r>
      <w:r w:rsidRPr="008B0E6C">
        <w:rPr>
          <w:rFonts w:ascii="Verdana" w:hAnsi="Verdana" w:cs="Arial"/>
        </w:rPr>
        <w:t>definiciones adicionales</w:t>
      </w:r>
      <w:r w:rsidR="00165895" w:rsidRPr="008B0E6C">
        <w:rPr>
          <w:rFonts w:ascii="Verdana" w:hAnsi="Verdana" w:cs="Arial"/>
        </w:rPr>
        <w:t>, se complementan</w:t>
      </w:r>
      <w:r w:rsidRPr="008B0E6C">
        <w:rPr>
          <w:rFonts w:ascii="Verdana" w:hAnsi="Verdana" w:cs="Arial"/>
        </w:rPr>
        <w:t xml:space="preserve"> </w:t>
      </w:r>
      <w:r w:rsidR="00165895" w:rsidRPr="008B0E6C">
        <w:rPr>
          <w:rFonts w:ascii="Verdana" w:hAnsi="Verdana" w:cs="Arial"/>
        </w:rPr>
        <w:t xml:space="preserve">y </w:t>
      </w:r>
      <w:r w:rsidR="00D93D1F" w:rsidRPr="008B0E6C">
        <w:rPr>
          <w:rFonts w:ascii="Verdana" w:hAnsi="Verdana" w:cs="Arial"/>
        </w:rPr>
        <w:t xml:space="preserve">se </w:t>
      </w:r>
      <w:r w:rsidR="00165895" w:rsidRPr="008B0E6C">
        <w:rPr>
          <w:rFonts w:ascii="Verdana" w:hAnsi="Verdana" w:cs="Arial"/>
        </w:rPr>
        <w:t xml:space="preserve">aclaran alunas existentes, </w:t>
      </w:r>
      <w:r w:rsidR="00165895" w:rsidRPr="008B0E6C">
        <w:rPr>
          <w:rFonts w:ascii="Verdana" w:hAnsi="Verdana" w:cs="Arial"/>
        </w:rPr>
        <w:lastRenderedPageBreak/>
        <w:t>relacionadas con</w:t>
      </w:r>
      <w:r w:rsidRPr="008B0E6C">
        <w:rPr>
          <w:rFonts w:ascii="Verdana" w:hAnsi="Verdana" w:cs="Arial"/>
        </w:rPr>
        <w:t xml:space="preserve"> las nuevas actividades y capítulos </w:t>
      </w:r>
      <w:r w:rsidR="00D93D1F" w:rsidRPr="008B0E6C">
        <w:rPr>
          <w:rFonts w:ascii="Verdana" w:hAnsi="Verdana" w:cs="Arial"/>
        </w:rPr>
        <w:t>incorporados en</w:t>
      </w:r>
      <w:r w:rsidRPr="008B0E6C">
        <w:rPr>
          <w:rFonts w:ascii="Verdana" w:hAnsi="Verdana" w:cs="Arial"/>
        </w:rPr>
        <w:t xml:space="preserve"> la Matriz 1 – Experiencia</w:t>
      </w:r>
      <w:r w:rsidR="00165895" w:rsidRPr="008B0E6C">
        <w:rPr>
          <w:rFonts w:ascii="Verdana" w:hAnsi="Verdana" w:cs="Arial"/>
        </w:rPr>
        <w:t>.</w:t>
      </w:r>
    </w:p>
    <w:p w14:paraId="1CA3DE0E" w14:textId="77777777" w:rsidR="00F16EF9" w:rsidRPr="008B0E6C" w:rsidRDefault="00F16EF9" w:rsidP="00F16EF9">
      <w:pPr>
        <w:pStyle w:val="Prrafodelista"/>
        <w:rPr>
          <w:rFonts w:ascii="Verdana" w:hAnsi="Verdana" w:cs="Arial"/>
        </w:rPr>
      </w:pPr>
    </w:p>
    <w:p w14:paraId="558A83DE" w14:textId="1BC390EB" w:rsidR="00F16EF9" w:rsidRPr="008B0E6C" w:rsidRDefault="00F16EF9" w:rsidP="00F16EF9">
      <w:pPr>
        <w:pStyle w:val="Prrafodelista"/>
        <w:numPr>
          <w:ilvl w:val="0"/>
          <w:numId w:val="101"/>
        </w:numPr>
        <w:rPr>
          <w:rFonts w:ascii="Verdana" w:hAnsi="Verdana" w:cs="Arial"/>
        </w:rPr>
      </w:pPr>
      <w:r w:rsidRPr="008B0E6C">
        <w:rPr>
          <w:rFonts w:ascii="Verdana" w:hAnsi="Verdana" w:cs="Arial"/>
        </w:rPr>
        <w:t>En igual sentido, la Agencia realizó las siguientes mesas de trabajo con las entidades técnicas y especializadas del sector, para analizar y/o aclarar o complementar las observaciones recibidas durante la vigencia 2025 y 2026:</w:t>
      </w:r>
    </w:p>
    <w:p w14:paraId="3DF1D21C" w14:textId="77777777" w:rsidR="00F16EF9" w:rsidRPr="008B0E6C" w:rsidRDefault="00F16EF9" w:rsidP="00F16EF9">
      <w:pPr>
        <w:pStyle w:val="Prrafodelista"/>
        <w:rPr>
          <w:rFonts w:ascii="Verdana" w:hAnsi="Verdana" w:cs="Arial"/>
        </w:rPr>
      </w:pPr>
    </w:p>
    <w:p w14:paraId="248FF233" w14:textId="72E05805" w:rsidR="00EA35B0" w:rsidRPr="008B0E6C" w:rsidRDefault="00EA35B0" w:rsidP="00EA35B0">
      <w:pPr>
        <w:pStyle w:val="Descripcin"/>
        <w:jc w:val="center"/>
        <w:rPr>
          <w:rFonts w:ascii="Verdana" w:hAnsi="Verdana"/>
          <w:sz w:val="24"/>
          <w:szCs w:val="24"/>
        </w:rPr>
      </w:pPr>
      <w:bookmarkStart w:id="341" w:name="_Toc231368672"/>
      <w:r w:rsidRPr="008B0E6C">
        <w:rPr>
          <w:rFonts w:ascii="Verdana" w:hAnsi="Verdana"/>
          <w:sz w:val="22"/>
          <w:szCs w:val="22"/>
        </w:rPr>
        <w:t xml:space="preserve">Tabla </w:t>
      </w:r>
      <w:r w:rsidRPr="008B0E6C">
        <w:rPr>
          <w:rFonts w:ascii="Verdana" w:hAnsi="Verdana"/>
          <w:sz w:val="22"/>
          <w:szCs w:val="22"/>
        </w:rPr>
        <w:fldChar w:fldCharType="begin"/>
      </w:r>
      <w:r w:rsidRPr="008B0E6C">
        <w:rPr>
          <w:rFonts w:ascii="Verdana" w:hAnsi="Verdana"/>
          <w:sz w:val="22"/>
          <w:szCs w:val="22"/>
        </w:rPr>
        <w:instrText xml:space="preserve"> SEQ Tabla \* ARABIC </w:instrText>
      </w:r>
      <w:r w:rsidRPr="008B0E6C">
        <w:rPr>
          <w:rFonts w:ascii="Verdana" w:hAnsi="Verdana"/>
          <w:sz w:val="22"/>
          <w:szCs w:val="22"/>
        </w:rPr>
        <w:fldChar w:fldCharType="separate"/>
      </w:r>
      <w:r w:rsidR="00642CAB">
        <w:rPr>
          <w:rFonts w:ascii="Verdana" w:hAnsi="Verdana"/>
          <w:noProof/>
          <w:sz w:val="22"/>
          <w:szCs w:val="22"/>
        </w:rPr>
        <w:t>5</w:t>
      </w:r>
      <w:r w:rsidRPr="008B0E6C">
        <w:rPr>
          <w:rFonts w:ascii="Verdana" w:hAnsi="Verdana"/>
          <w:sz w:val="22"/>
          <w:szCs w:val="22"/>
        </w:rPr>
        <w:fldChar w:fldCharType="end"/>
      </w:r>
      <w:r w:rsidRPr="008B0E6C">
        <w:rPr>
          <w:rFonts w:ascii="Verdana" w:hAnsi="Verdana"/>
          <w:sz w:val="22"/>
          <w:szCs w:val="22"/>
        </w:rPr>
        <w:t>. Mesas de trabajo adelantadas durante la vigencia 2025</w:t>
      </w:r>
      <w:bookmarkEnd w:id="341"/>
      <w:r w:rsidRPr="008B0E6C">
        <w:rPr>
          <w:rFonts w:ascii="Verdana" w:hAnsi="Verdana"/>
          <w:sz w:val="22"/>
          <w:szCs w:val="22"/>
        </w:rPr>
        <w:t xml:space="preserve"> </w:t>
      </w:r>
    </w:p>
    <w:tbl>
      <w:tblPr>
        <w:tblStyle w:val="Tablanormal1"/>
        <w:tblW w:w="9493" w:type="dxa"/>
        <w:tblLayout w:type="fixed"/>
        <w:tblLook w:val="06A0" w:firstRow="1" w:lastRow="0" w:firstColumn="1" w:lastColumn="0" w:noHBand="1" w:noVBand="1"/>
      </w:tblPr>
      <w:tblGrid>
        <w:gridCol w:w="1555"/>
        <w:gridCol w:w="5528"/>
        <w:gridCol w:w="2410"/>
      </w:tblGrid>
      <w:tr w:rsidR="00EA35B0" w:rsidRPr="008B0E6C" w14:paraId="57668C17" w14:textId="77777777" w:rsidTr="00954F93">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414B5F00"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 xml:space="preserve">No. </w:t>
            </w:r>
          </w:p>
        </w:tc>
        <w:tc>
          <w:tcPr>
            <w:tcW w:w="5528" w:type="dxa"/>
            <w:tcMar>
              <w:top w:w="15" w:type="dxa"/>
              <w:left w:w="15" w:type="dxa"/>
              <w:right w:w="15" w:type="dxa"/>
            </w:tcMar>
            <w:vAlign w:val="bottom"/>
          </w:tcPr>
          <w:p w14:paraId="03885FFD" w14:textId="77777777" w:rsidR="00EA35B0" w:rsidRPr="008B0E6C" w:rsidRDefault="00EA35B0" w:rsidP="007C7404">
            <w:pPr>
              <w:jc w:val="center"/>
              <w:cnfStyle w:val="100000000000" w:firstRow="1"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Entidad</w:t>
            </w:r>
          </w:p>
        </w:tc>
        <w:tc>
          <w:tcPr>
            <w:tcW w:w="2410" w:type="dxa"/>
            <w:tcMar>
              <w:top w:w="15" w:type="dxa"/>
              <w:left w:w="15" w:type="dxa"/>
              <w:right w:w="15" w:type="dxa"/>
            </w:tcMar>
            <w:vAlign w:val="bottom"/>
          </w:tcPr>
          <w:p w14:paraId="21D73059" w14:textId="77777777" w:rsidR="00EA35B0" w:rsidRPr="008B0E6C" w:rsidRDefault="00EA35B0" w:rsidP="007C7404">
            <w:pPr>
              <w:jc w:val="center"/>
              <w:cnfStyle w:val="100000000000" w:firstRow="1"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Fecha Reunión</w:t>
            </w:r>
          </w:p>
        </w:tc>
      </w:tr>
      <w:tr w:rsidR="00EA35B0" w:rsidRPr="008B0E6C" w14:paraId="10AD4FBB"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14192C52"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1</w:t>
            </w:r>
          </w:p>
        </w:tc>
        <w:tc>
          <w:tcPr>
            <w:tcW w:w="5528" w:type="dxa"/>
            <w:tcMar>
              <w:top w:w="15" w:type="dxa"/>
              <w:left w:w="15" w:type="dxa"/>
              <w:right w:w="15" w:type="dxa"/>
            </w:tcMar>
            <w:vAlign w:val="bottom"/>
          </w:tcPr>
          <w:p w14:paraId="24C5F0BA"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Ministerio de Ambiente y Desarrollo Sostenible</w:t>
            </w:r>
          </w:p>
        </w:tc>
        <w:tc>
          <w:tcPr>
            <w:tcW w:w="2410" w:type="dxa"/>
            <w:tcMar>
              <w:top w:w="15" w:type="dxa"/>
              <w:left w:w="15" w:type="dxa"/>
              <w:right w:w="15" w:type="dxa"/>
            </w:tcMar>
            <w:vAlign w:val="bottom"/>
          </w:tcPr>
          <w:p w14:paraId="58B0C61E"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6 de noviembre</w:t>
            </w:r>
          </w:p>
        </w:tc>
      </w:tr>
      <w:tr w:rsidR="00EA35B0" w:rsidRPr="008B0E6C" w14:paraId="7EC60E46"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63D882D0"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2</w:t>
            </w:r>
          </w:p>
        </w:tc>
        <w:tc>
          <w:tcPr>
            <w:tcW w:w="5528" w:type="dxa"/>
            <w:tcMar>
              <w:top w:w="15" w:type="dxa"/>
              <w:left w:w="15" w:type="dxa"/>
              <w:right w:w="15" w:type="dxa"/>
            </w:tcMar>
            <w:vAlign w:val="center"/>
          </w:tcPr>
          <w:p w14:paraId="041F4327"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Ministerio de Vivienda, Ciudad y Territorio</w:t>
            </w:r>
          </w:p>
        </w:tc>
        <w:tc>
          <w:tcPr>
            <w:tcW w:w="2410" w:type="dxa"/>
            <w:tcMar>
              <w:top w:w="15" w:type="dxa"/>
              <w:left w:w="15" w:type="dxa"/>
              <w:right w:w="15" w:type="dxa"/>
            </w:tcMar>
            <w:vAlign w:val="center"/>
          </w:tcPr>
          <w:p w14:paraId="3E5FDDA0"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1 de diciembre</w:t>
            </w:r>
          </w:p>
        </w:tc>
      </w:tr>
      <w:tr w:rsidR="00EA35B0" w:rsidRPr="008B0E6C" w14:paraId="04F47108"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0F1E9AC1"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3</w:t>
            </w:r>
          </w:p>
        </w:tc>
        <w:tc>
          <w:tcPr>
            <w:tcW w:w="5528" w:type="dxa"/>
            <w:tcMar>
              <w:top w:w="15" w:type="dxa"/>
              <w:left w:w="15" w:type="dxa"/>
              <w:right w:w="15" w:type="dxa"/>
            </w:tcMar>
            <w:vAlign w:val="bottom"/>
          </w:tcPr>
          <w:p w14:paraId="2423933D"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Superintendencia de Servicios Públicos</w:t>
            </w:r>
          </w:p>
        </w:tc>
        <w:tc>
          <w:tcPr>
            <w:tcW w:w="2410" w:type="dxa"/>
            <w:tcMar>
              <w:top w:w="15" w:type="dxa"/>
              <w:left w:w="15" w:type="dxa"/>
              <w:right w:w="15" w:type="dxa"/>
            </w:tcMar>
            <w:vAlign w:val="bottom"/>
          </w:tcPr>
          <w:p w14:paraId="03D45CB0"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1 de diciembre</w:t>
            </w:r>
          </w:p>
        </w:tc>
      </w:tr>
      <w:tr w:rsidR="00EA35B0" w:rsidRPr="008B0E6C" w14:paraId="24D27364"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30A0F003"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4</w:t>
            </w:r>
          </w:p>
        </w:tc>
        <w:tc>
          <w:tcPr>
            <w:tcW w:w="5528" w:type="dxa"/>
            <w:tcMar>
              <w:top w:w="15" w:type="dxa"/>
              <w:left w:w="15" w:type="dxa"/>
              <w:right w:w="15" w:type="dxa"/>
            </w:tcMar>
            <w:vAlign w:val="bottom"/>
          </w:tcPr>
          <w:p w14:paraId="29246E18"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Empresa de Acueducto y Alcantarillado de Bogotá</w:t>
            </w:r>
          </w:p>
        </w:tc>
        <w:tc>
          <w:tcPr>
            <w:tcW w:w="2410" w:type="dxa"/>
            <w:tcMar>
              <w:top w:w="15" w:type="dxa"/>
              <w:left w:w="15" w:type="dxa"/>
              <w:right w:w="15" w:type="dxa"/>
            </w:tcMar>
            <w:vAlign w:val="bottom"/>
          </w:tcPr>
          <w:p w14:paraId="75A061BD"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1 de diciembre</w:t>
            </w:r>
          </w:p>
        </w:tc>
      </w:tr>
      <w:tr w:rsidR="00EA35B0" w:rsidRPr="008B0E6C" w14:paraId="09FCF787" w14:textId="77777777" w:rsidTr="00954F93">
        <w:trPr>
          <w:trHeight w:val="54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38A1942D"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5</w:t>
            </w:r>
          </w:p>
        </w:tc>
        <w:tc>
          <w:tcPr>
            <w:tcW w:w="5528" w:type="dxa"/>
            <w:tcMar>
              <w:top w:w="15" w:type="dxa"/>
              <w:left w:w="15" w:type="dxa"/>
              <w:right w:w="15" w:type="dxa"/>
            </w:tcMar>
            <w:vAlign w:val="bottom"/>
          </w:tcPr>
          <w:p w14:paraId="29BE5BD0"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Secretara de Hábitat</w:t>
            </w:r>
          </w:p>
          <w:p w14:paraId="06D50FC3"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Secretaria de Gobierno</w:t>
            </w:r>
          </w:p>
        </w:tc>
        <w:tc>
          <w:tcPr>
            <w:tcW w:w="2410" w:type="dxa"/>
            <w:tcMar>
              <w:top w:w="15" w:type="dxa"/>
              <w:left w:w="15" w:type="dxa"/>
              <w:right w:w="15" w:type="dxa"/>
            </w:tcMar>
            <w:vAlign w:val="bottom"/>
          </w:tcPr>
          <w:p w14:paraId="36CA4D1C"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2 de diciembre</w:t>
            </w:r>
          </w:p>
        </w:tc>
      </w:tr>
      <w:tr w:rsidR="00EA35B0" w:rsidRPr="008B0E6C" w14:paraId="55B22CBA"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48B0AD0A"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6</w:t>
            </w:r>
          </w:p>
        </w:tc>
        <w:tc>
          <w:tcPr>
            <w:tcW w:w="5528" w:type="dxa"/>
            <w:tcMar>
              <w:top w:w="15" w:type="dxa"/>
              <w:left w:w="15" w:type="dxa"/>
              <w:right w:w="15" w:type="dxa"/>
            </w:tcMar>
            <w:vAlign w:val="bottom"/>
          </w:tcPr>
          <w:p w14:paraId="3CEB3EE9"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Caja de Vivienda Popular</w:t>
            </w:r>
          </w:p>
        </w:tc>
        <w:tc>
          <w:tcPr>
            <w:tcW w:w="2410" w:type="dxa"/>
            <w:tcMar>
              <w:top w:w="15" w:type="dxa"/>
              <w:left w:w="15" w:type="dxa"/>
              <w:right w:w="15" w:type="dxa"/>
            </w:tcMar>
            <w:vAlign w:val="bottom"/>
          </w:tcPr>
          <w:p w14:paraId="27D9482A"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2 de diciembre</w:t>
            </w:r>
          </w:p>
        </w:tc>
      </w:tr>
      <w:tr w:rsidR="00EA35B0" w:rsidRPr="008B0E6C" w14:paraId="2C1EDFB4"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2F6AC1A0"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7</w:t>
            </w:r>
          </w:p>
        </w:tc>
        <w:tc>
          <w:tcPr>
            <w:tcW w:w="5528" w:type="dxa"/>
            <w:tcMar>
              <w:top w:w="15" w:type="dxa"/>
              <w:left w:w="15" w:type="dxa"/>
              <w:right w:w="15" w:type="dxa"/>
            </w:tcMar>
            <w:vAlign w:val="bottom"/>
          </w:tcPr>
          <w:p w14:paraId="2D92D9BD"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Instituto de Desarrollo Urbano - IDU</w:t>
            </w:r>
          </w:p>
        </w:tc>
        <w:tc>
          <w:tcPr>
            <w:tcW w:w="2410" w:type="dxa"/>
            <w:tcMar>
              <w:top w:w="15" w:type="dxa"/>
              <w:left w:w="15" w:type="dxa"/>
              <w:right w:w="15" w:type="dxa"/>
            </w:tcMar>
            <w:vAlign w:val="bottom"/>
          </w:tcPr>
          <w:p w14:paraId="75B7ED7E"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2 de diciembre</w:t>
            </w:r>
          </w:p>
        </w:tc>
      </w:tr>
      <w:tr w:rsidR="00EA35B0" w:rsidRPr="008B0E6C" w14:paraId="7F73E0AF"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3778C9A4"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8</w:t>
            </w:r>
          </w:p>
        </w:tc>
        <w:tc>
          <w:tcPr>
            <w:tcW w:w="5528" w:type="dxa"/>
            <w:tcMar>
              <w:top w:w="15" w:type="dxa"/>
              <w:left w:w="15" w:type="dxa"/>
              <w:right w:w="15" w:type="dxa"/>
            </w:tcMar>
            <w:vAlign w:val="bottom"/>
          </w:tcPr>
          <w:p w14:paraId="2FDC7CD5"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Sociedad Colombiana de Ingenieros</w:t>
            </w:r>
          </w:p>
        </w:tc>
        <w:tc>
          <w:tcPr>
            <w:tcW w:w="2410" w:type="dxa"/>
            <w:tcMar>
              <w:top w:w="15" w:type="dxa"/>
              <w:left w:w="15" w:type="dxa"/>
              <w:right w:w="15" w:type="dxa"/>
            </w:tcMar>
            <w:vAlign w:val="bottom"/>
          </w:tcPr>
          <w:p w14:paraId="38ADD291"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5 de diciembre</w:t>
            </w:r>
          </w:p>
        </w:tc>
      </w:tr>
      <w:tr w:rsidR="00EA35B0" w:rsidRPr="008B0E6C" w14:paraId="6D72E40D"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1B7F9BE1"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9</w:t>
            </w:r>
          </w:p>
        </w:tc>
        <w:tc>
          <w:tcPr>
            <w:tcW w:w="5528" w:type="dxa"/>
            <w:tcMar>
              <w:top w:w="15" w:type="dxa"/>
              <w:left w:w="15" w:type="dxa"/>
              <w:right w:w="15" w:type="dxa"/>
            </w:tcMar>
            <w:vAlign w:val="bottom"/>
          </w:tcPr>
          <w:p w14:paraId="098BB56C"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Cámara Colombiana de Construcción Sostenible</w:t>
            </w:r>
          </w:p>
        </w:tc>
        <w:tc>
          <w:tcPr>
            <w:tcW w:w="2410" w:type="dxa"/>
            <w:tcMar>
              <w:top w:w="15" w:type="dxa"/>
              <w:left w:w="15" w:type="dxa"/>
              <w:right w:w="15" w:type="dxa"/>
            </w:tcMar>
            <w:vAlign w:val="bottom"/>
          </w:tcPr>
          <w:p w14:paraId="4FBBA9EE"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5 de diciembre</w:t>
            </w:r>
          </w:p>
        </w:tc>
      </w:tr>
      <w:tr w:rsidR="00EA35B0" w:rsidRPr="008B0E6C" w14:paraId="6F2ABD99"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6BA3C9B2"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10</w:t>
            </w:r>
          </w:p>
        </w:tc>
        <w:tc>
          <w:tcPr>
            <w:tcW w:w="5528" w:type="dxa"/>
            <w:tcMar>
              <w:top w:w="15" w:type="dxa"/>
              <w:left w:w="15" w:type="dxa"/>
              <w:right w:w="15" w:type="dxa"/>
            </w:tcMar>
            <w:vAlign w:val="bottom"/>
          </w:tcPr>
          <w:p w14:paraId="057D9EFD"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Camacol</w:t>
            </w:r>
          </w:p>
        </w:tc>
        <w:tc>
          <w:tcPr>
            <w:tcW w:w="2410" w:type="dxa"/>
            <w:tcMar>
              <w:top w:w="15" w:type="dxa"/>
              <w:left w:w="15" w:type="dxa"/>
              <w:right w:w="15" w:type="dxa"/>
            </w:tcMar>
            <w:vAlign w:val="bottom"/>
          </w:tcPr>
          <w:p w14:paraId="3F4903FC"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5 de diciembre</w:t>
            </w:r>
          </w:p>
        </w:tc>
      </w:tr>
      <w:tr w:rsidR="00EA35B0" w:rsidRPr="008B0E6C" w14:paraId="34334CCD"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55B89BBB"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11</w:t>
            </w:r>
          </w:p>
        </w:tc>
        <w:tc>
          <w:tcPr>
            <w:tcW w:w="5528" w:type="dxa"/>
            <w:tcMar>
              <w:top w:w="15" w:type="dxa"/>
              <w:left w:w="15" w:type="dxa"/>
              <w:right w:w="15" w:type="dxa"/>
            </w:tcMar>
            <w:vAlign w:val="bottom"/>
          </w:tcPr>
          <w:p w14:paraId="263B263C"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Alcaldías municipales, Gobernaciones e Institutos Territoriales y Regionales</w:t>
            </w:r>
          </w:p>
        </w:tc>
        <w:tc>
          <w:tcPr>
            <w:tcW w:w="2410" w:type="dxa"/>
            <w:tcMar>
              <w:top w:w="15" w:type="dxa"/>
              <w:left w:w="15" w:type="dxa"/>
              <w:right w:w="15" w:type="dxa"/>
            </w:tcMar>
            <w:vAlign w:val="bottom"/>
          </w:tcPr>
          <w:p w14:paraId="46368258"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9 de diciembre</w:t>
            </w:r>
          </w:p>
        </w:tc>
      </w:tr>
      <w:tr w:rsidR="00EA35B0" w:rsidRPr="008B0E6C" w14:paraId="433BE7F9" w14:textId="77777777" w:rsidTr="00954F93">
        <w:trPr>
          <w:trHeight w:val="300"/>
        </w:trPr>
        <w:tc>
          <w:tcPr>
            <w:cnfStyle w:val="001000000000" w:firstRow="0" w:lastRow="0" w:firstColumn="1" w:lastColumn="0" w:oddVBand="0" w:evenVBand="0" w:oddHBand="0" w:evenHBand="0" w:firstRowFirstColumn="0" w:firstRowLastColumn="0" w:lastRowFirstColumn="0" w:lastRowLastColumn="0"/>
            <w:tcW w:w="1555" w:type="dxa"/>
            <w:tcMar>
              <w:top w:w="15" w:type="dxa"/>
              <w:left w:w="15" w:type="dxa"/>
              <w:right w:w="15" w:type="dxa"/>
            </w:tcMar>
            <w:vAlign w:val="bottom"/>
          </w:tcPr>
          <w:p w14:paraId="2F161E5A" w14:textId="77777777" w:rsidR="00EA35B0" w:rsidRPr="008B0E6C" w:rsidRDefault="00EA35B0" w:rsidP="007C7404">
            <w:pPr>
              <w:jc w:val="center"/>
              <w:rPr>
                <w:rFonts w:ascii="Verdana" w:eastAsia="Verdana Pro" w:hAnsi="Verdana" w:cs="Verdana Pro"/>
                <w:b w:val="0"/>
                <w:bCs w:val="0"/>
                <w:sz w:val="22"/>
                <w:szCs w:val="22"/>
              </w:rPr>
            </w:pPr>
            <w:r w:rsidRPr="008B0E6C">
              <w:rPr>
                <w:rFonts w:ascii="Verdana" w:eastAsia="Verdana Pro" w:hAnsi="Verdana" w:cs="Verdana Pro"/>
                <w:b w:val="0"/>
                <w:bCs w:val="0"/>
                <w:sz w:val="22"/>
                <w:szCs w:val="22"/>
              </w:rPr>
              <w:t>12</w:t>
            </w:r>
          </w:p>
        </w:tc>
        <w:tc>
          <w:tcPr>
            <w:tcW w:w="5528" w:type="dxa"/>
            <w:tcMar>
              <w:top w:w="15" w:type="dxa"/>
              <w:left w:w="15" w:type="dxa"/>
              <w:right w:w="15" w:type="dxa"/>
            </w:tcMar>
            <w:vAlign w:val="bottom"/>
          </w:tcPr>
          <w:p w14:paraId="7E974047"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Alcaldías municipales e Institutos Territoriales y Regionales</w:t>
            </w:r>
          </w:p>
        </w:tc>
        <w:tc>
          <w:tcPr>
            <w:tcW w:w="2410" w:type="dxa"/>
            <w:tcMar>
              <w:top w:w="15" w:type="dxa"/>
              <w:left w:w="15" w:type="dxa"/>
              <w:right w:w="15" w:type="dxa"/>
            </w:tcMar>
            <w:vAlign w:val="bottom"/>
          </w:tcPr>
          <w:p w14:paraId="0B89DEFB" w14:textId="77777777" w:rsidR="00EA35B0" w:rsidRPr="008B0E6C" w:rsidRDefault="00EA35B0" w:rsidP="007C7404">
            <w:pPr>
              <w:jc w:val="center"/>
              <w:cnfStyle w:val="000000000000" w:firstRow="0" w:lastRow="0" w:firstColumn="0" w:lastColumn="0" w:oddVBand="0" w:evenVBand="0" w:oddHBand="0" w:evenHBand="0" w:firstRowFirstColumn="0" w:firstRowLastColumn="0" w:lastRowFirstColumn="0" w:lastRowLastColumn="0"/>
              <w:rPr>
                <w:rFonts w:ascii="Verdana" w:eastAsia="Verdana Pro" w:hAnsi="Verdana" w:cs="Verdana Pro"/>
                <w:sz w:val="22"/>
                <w:szCs w:val="22"/>
              </w:rPr>
            </w:pPr>
            <w:r w:rsidRPr="008B0E6C">
              <w:rPr>
                <w:rFonts w:ascii="Verdana" w:eastAsia="Verdana Pro" w:hAnsi="Verdana" w:cs="Verdana Pro"/>
                <w:sz w:val="22"/>
                <w:szCs w:val="22"/>
              </w:rPr>
              <w:t>10 de diciembre</w:t>
            </w:r>
          </w:p>
        </w:tc>
      </w:tr>
    </w:tbl>
    <w:p w14:paraId="3E8A4933" w14:textId="77777777" w:rsidR="00EA35B0" w:rsidRPr="00642CAB" w:rsidRDefault="00EA35B0" w:rsidP="00EA35B0">
      <w:pPr>
        <w:jc w:val="center"/>
        <w:rPr>
          <w:rFonts w:ascii="Verdana" w:eastAsia="Verdana Pro" w:hAnsi="Verdana" w:cs="Verdana Pro"/>
          <w:sz w:val="22"/>
          <w:szCs w:val="22"/>
        </w:rPr>
      </w:pPr>
      <w:r w:rsidRPr="00642CAB">
        <w:rPr>
          <w:rFonts w:ascii="Verdana" w:eastAsia="Verdana Pro" w:hAnsi="Verdana" w:cs="Verdana Pro"/>
          <w:sz w:val="22"/>
          <w:szCs w:val="22"/>
        </w:rPr>
        <w:t>Fuente: Elaboración propia</w:t>
      </w:r>
    </w:p>
    <w:p w14:paraId="5A270B15" w14:textId="77777777" w:rsidR="00EA35B0" w:rsidRPr="008B0E6C" w:rsidRDefault="00EA35B0" w:rsidP="00EA35B0">
      <w:pPr>
        <w:jc w:val="both"/>
        <w:rPr>
          <w:rFonts w:ascii="Verdana" w:hAnsi="Verdana" w:cs="Arial"/>
          <w:sz w:val="22"/>
          <w:szCs w:val="22"/>
        </w:rPr>
      </w:pPr>
    </w:p>
    <w:p w14:paraId="26E11180" w14:textId="335A8A77" w:rsidR="00EA35B0" w:rsidRPr="008B0E6C" w:rsidRDefault="007932EC" w:rsidP="00EA35B0">
      <w:pPr>
        <w:jc w:val="both"/>
        <w:rPr>
          <w:rFonts w:ascii="Verdana" w:hAnsi="Verdana" w:cs="Arial"/>
          <w:sz w:val="22"/>
          <w:szCs w:val="22"/>
        </w:rPr>
      </w:pPr>
      <w:proofErr w:type="gramStart"/>
      <w:r w:rsidRPr="008B0E6C">
        <w:rPr>
          <w:rFonts w:ascii="Verdana" w:hAnsi="Verdana" w:cs="Arial"/>
          <w:sz w:val="22"/>
          <w:szCs w:val="22"/>
        </w:rPr>
        <w:t>Igualmente</w:t>
      </w:r>
      <w:proofErr w:type="gramEnd"/>
      <w:r w:rsidRPr="008B0E6C">
        <w:rPr>
          <w:rFonts w:ascii="Verdana" w:hAnsi="Verdana" w:cs="Arial"/>
          <w:sz w:val="22"/>
          <w:szCs w:val="22"/>
        </w:rPr>
        <w:t xml:space="preserve"> para </w:t>
      </w:r>
      <w:r w:rsidR="00EA35B0" w:rsidRPr="008B0E6C">
        <w:rPr>
          <w:rFonts w:ascii="Verdana" w:hAnsi="Verdana" w:cs="Arial"/>
          <w:sz w:val="22"/>
          <w:szCs w:val="22"/>
        </w:rPr>
        <w:t>la vigencia 202</w:t>
      </w:r>
      <w:r w:rsidRPr="008B0E6C">
        <w:rPr>
          <w:rFonts w:ascii="Verdana" w:hAnsi="Verdana" w:cs="Arial"/>
          <w:sz w:val="22"/>
          <w:szCs w:val="22"/>
        </w:rPr>
        <w:t>6</w:t>
      </w:r>
      <w:r w:rsidR="00EA35B0" w:rsidRPr="008B0E6C">
        <w:rPr>
          <w:rFonts w:ascii="Verdana" w:hAnsi="Verdana" w:cs="Arial"/>
          <w:sz w:val="22"/>
          <w:szCs w:val="22"/>
        </w:rPr>
        <w:t xml:space="preserve"> se llevaron a cabo las siguientes mesas de trabajo con las entidades especializadas, para socializar las modificaciones propuestas a los Documentos Tipo del sector de Agua Potable y Saneamiento Básico: </w:t>
      </w:r>
    </w:p>
    <w:p w14:paraId="2369326B" w14:textId="2ED0CBA7" w:rsidR="00C764B8" w:rsidRDefault="00C764B8" w:rsidP="00EA35B0">
      <w:pPr>
        <w:pStyle w:val="Descripcin"/>
        <w:jc w:val="center"/>
        <w:rPr>
          <w:rFonts w:ascii="Verdana" w:hAnsi="Verdana" w:cs="Arial"/>
          <w:sz w:val="22"/>
          <w:szCs w:val="22"/>
        </w:rPr>
      </w:pPr>
    </w:p>
    <w:p w14:paraId="724804FA" w14:textId="77777777" w:rsidR="00642CAB" w:rsidRDefault="00642CAB" w:rsidP="00642CAB">
      <w:pPr>
        <w:rPr>
          <w:lang w:val="es-ES" w:eastAsia="en-US"/>
        </w:rPr>
      </w:pPr>
    </w:p>
    <w:p w14:paraId="5B38BAC0" w14:textId="77777777" w:rsidR="00642CAB" w:rsidRDefault="00642CAB" w:rsidP="00642CAB">
      <w:pPr>
        <w:rPr>
          <w:lang w:val="es-ES" w:eastAsia="en-US"/>
        </w:rPr>
      </w:pPr>
    </w:p>
    <w:p w14:paraId="00F61909" w14:textId="77777777" w:rsidR="00642CAB" w:rsidRDefault="00642CAB" w:rsidP="00642CAB">
      <w:pPr>
        <w:rPr>
          <w:lang w:val="es-ES" w:eastAsia="en-US"/>
        </w:rPr>
      </w:pPr>
    </w:p>
    <w:p w14:paraId="0E17A098" w14:textId="77777777" w:rsidR="00642CAB" w:rsidRPr="00642CAB" w:rsidRDefault="00642CAB" w:rsidP="00642CAB">
      <w:pPr>
        <w:rPr>
          <w:lang w:val="es-ES" w:eastAsia="en-US"/>
        </w:rPr>
      </w:pPr>
    </w:p>
    <w:p w14:paraId="15C00153" w14:textId="05F3730D" w:rsidR="00EA35B0" w:rsidRPr="008B0E6C" w:rsidRDefault="00EA35B0" w:rsidP="00EA35B0">
      <w:pPr>
        <w:pStyle w:val="Descripcin"/>
        <w:jc w:val="center"/>
        <w:rPr>
          <w:rFonts w:ascii="Verdana" w:hAnsi="Verdana"/>
          <w:sz w:val="24"/>
          <w:szCs w:val="24"/>
        </w:rPr>
      </w:pPr>
      <w:bookmarkStart w:id="342" w:name="_Toc231368673"/>
      <w:r w:rsidRPr="008B0E6C">
        <w:rPr>
          <w:rFonts w:ascii="Verdana" w:hAnsi="Verdana"/>
          <w:sz w:val="22"/>
          <w:szCs w:val="22"/>
        </w:rPr>
        <w:lastRenderedPageBreak/>
        <w:t xml:space="preserve">Tabla </w:t>
      </w:r>
      <w:r w:rsidRPr="008B0E6C">
        <w:rPr>
          <w:rFonts w:ascii="Verdana" w:hAnsi="Verdana"/>
          <w:sz w:val="22"/>
          <w:szCs w:val="22"/>
        </w:rPr>
        <w:fldChar w:fldCharType="begin"/>
      </w:r>
      <w:r w:rsidRPr="008B0E6C">
        <w:rPr>
          <w:rFonts w:ascii="Verdana" w:hAnsi="Verdana"/>
          <w:sz w:val="22"/>
          <w:szCs w:val="22"/>
        </w:rPr>
        <w:instrText xml:space="preserve"> SEQ Tabla \* ARABIC </w:instrText>
      </w:r>
      <w:r w:rsidRPr="008B0E6C">
        <w:rPr>
          <w:rFonts w:ascii="Verdana" w:hAnsi="Verdana"/>
          <w:sz w:val="22"/>
          <w:szCs w:val="22"/>
        </w:rPr>
        <w:fldChar w:fldCharType="separate"/>
      </w:r>
      <w:r w:rsidR="00642CAB">
        <w:rPr>
          <w:rFonts w:ascii="Verdana" w:hAnsi="Verdana"/>
          <w:noProof/>
          <w:sz w:val="22"/>
          <w:szCs w:val="22"/>
        </w:rPr>
        <w:t>6</w:t>
      </w:r>
      <w:r w:rsidRPr="008B0E6C">
        <w:rPr>
          <w:rFonts w:ascii="Verdana" w:hAnsi="Verdana"/>
          <w:sz w:val="22"/>
          <w:szCs w:val="22"/>
        </w:rPr>
        <w:fldChar w:fldCharType="end"/>
      </w:r>
      <w:r w:rsidRPr="008B0E6C">
        <w:rPr>
          <w:rFonts w:ascii="Verdana" w:hAnsi="Verdana"/>
          <w:sz w:val="22"/>
          <w:szCs w:val="22"/>
        </w:rPr>
        <w:t>. Detalle de mesas de trabajo vigencia 2026</w:t>
      </w:r>
      <w:bookmarkEnd w:id="342"/>
    </w:p>
    <w:tbl>
      <w:tblPr>
        <w:tblStyle w:val="Tablaconcuadrcula"/>
        <w:tblW w:w="9634" w:type="dxa"/>
        <w:tblCellMar>
          <w:top w:w="15" w:type="dxa"/>
          <w:left w:w="70" w:type="dxa"/>
          <w:bottom w:w="15" w:type="dxa"/>
          <w:right w:w="70" w:type="dxa"/>
        </w:tblCellMar>
        <w:tblLook w:val="04A0" w:firstRow="1" w:lastRow="0" w:firstColumn="1" w:lastColumn="0" w:noHBand="0" w:noVBand="1"/>
      </w:tblPr>
      <w:tblGrid>
        <w:gridCol w:w="777"/>
        <w:gridCol w:w="6448"/>
        <w:gridCol w:w="2409"/>
      </w:tblGrid>
      <w:tr w:rsidR="00EA35B0" w:rsidRPr="008B0E6C" w14:paraId="397C2033" w14:textId="77777777" w:rsidTr="007C7404">
        <w:trPr>
          <w:trHeight w:val="365"/>
          <w:tblHeader/>
        </w:trPr>
        <w:tc>
          <w:tcPr>
            <w:tcW w:w="777" w:type="dxa"/>
            <w:vAlign w:val="center"/>
            <w:hideMark/>
          </w:tcPr>
          <w:p w14:paraId="01FF8773" w14:textId="77777777" w:rsidR="00EA35B0" w:rsidRPr="008B0E6C" w:rsidRDefault="00EA35B0" w:rsidP="007C7404">
            <w:pPr>
              <w:jc w:val="center"/>
              <w:rPr>
                <w:rFonts w:ascii="Verdana" w:eastAsia="Verdana Pro" w:hAnsi="Verdana" w:cs="Verdana Pro"/>
                <w:b/>
                <w:sz w:val="22"/>
                <w:szCs w:val="22"/>
                <w:lang w:eastAsia="es-CO"/>
              </w:rPr>
            </w:pPr>
            <w:r w:rsidRPr="008B0E6C">
              <w:rPr>
                <w:rFonts w:ascii="Verdana" w:eastAsia="Verdana Pro" w:hAnsi="Verdana" w:cs="Verdana Pro"/>
                <w:b/>
                <w:sz w:val="22"/>
                <w:szCs w:val="22"/>
              </w:rPr>
              <w:t>No.</w:t>
            </w:r>
          </w:p>
        </w:tc>
        <w:tc>
          <w:tcPr>
            <w:tcW w:w="6448" w:type="dxa"/>
            <w:vAlign w:val="center"/>
            <w:hideMark/>
          </w:tcPr>
          <w:p w14:paraId="42FC0664" w14:textId="77777777" w:rsidR="00EA35B0" w:rsidRPr="008B0E6C" w:rsidRDefault="00EA35B0" w:rsidP="007C7404">
            <w:pPr>
              <w:jc w:val="center"/>
              <w:rPr>
                <w:rFonts w:ascii="Verdana" w:eastAsia="Verdana Pro" w:hAnsi="Verdana" w:cs="Verdana Pro"/>
                <w:b/>
                <w:sz w:val="22"/>
                <w:szCs w:val="22"/>
              </w:rPr>
            </w:pPr>
            <w:r w:rsidRPr="008B0E6C">
              <w:rPr>
                <w:rFonts w:ascii="Verdana" w:eastAsia="Verdana Pro" w:hAnsi="Verdana" w:cs="Verdana Pro"/>
                <w:b/>
                <w:sz w:val="22"/>
                <w:szCs w:val="22"/>
              </w:rPr>
              <w:t>Entidad</w:t>
            </w:r>
          </w:p>
        </w:tc>
        <w:tc>
          <w:tcPr>
            <w:tcW w:w="2409" w:type="dxa"/>
            <w:vAlign w:val="center"/>
            <w:hideMark/>
          </w:tcPr>
          <w:p w14:paraId="598E0C56" w14:textId="77777777" w:rsidR="00EA35B0" w:rsidRPr="008B0E6C" w:rsidRDefault="00EA35B0" w:rsidP="007C7404">
            <w:pPr>
              <w:jc w:val="center"/>
              <w:rPr>
                <w:rFonts w:ascii="Verdana" w:eastAsia="Verdana Pro" w:hAnsi="Verdana" w:cs="Verdana Pro"/>
                <w:b/>
                <w:sz w:val="22"/>
                <w:szCs w:val="22"/>
              </w:rPr>
            </w:pPr>
            <w:r w:rsidRPr="008B0E6C">
              <w:rPr>
                <w:rFonts w:ascii="Verdana" w:eastAsia="Verdana Pro" w:hAnsi="Verdana" w:cs="Verdana Pro"/>
                <w:b/>
                <w:sz w:val="22"/>
                <w:szCs w:val="22"/>
              </w:rPr>
              <w:t xml:space="preserve">Fecha reunión </w:t>
            </w:r>
          </w:p>
        </w:tc>
      </w:tr>
      <w:tr w:rsidR="00EA35B0" w:rsidRPr="008B0E6C" w14:paraId="178C27E6" w14:textId="77777777" w:rsidTr="007C7404">
        <w:trPr>
          <w:trHeight w:val="333"/>
        </w:trPr>
        <w:tc>
          <w:tcPr>
            <w:tcW w:w="777" w:type="dxa"/>
            <w:vAlign w:val="center"/>
            <w:hideMark/>
          </w:tcPr>
          <w:p w14:paraId="69EC2003"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1</w:t>
            </w:r>
          </w:p>
        </w:tc>
        <w:tc>
          <w:tcPr>
            <w:tcW w:w="6448" w:type="dxa"/>
            <w:vAlign w:val="center"/>
          </w:tcPr>
          <w:p w14:paraId="22950AFA"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Ministerio de Vivienda, Ciudad y Territorio</w:t>
            </w:r>
          </w:p>
        </w:tc>
        <w:tc>
          <w:tcPr>
            <w:tcW w:w="2409" w:type="dxa"/>
            <w:vAlign w:val="center"/>
          </w:tcPr>
          <w:p w14:paraId="4AD2E446"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17 de febrero</w:t>
            </w:r>
          </w:p>
        </w:tc>
      </w:tr>
      <w:tr w:rsidR="00EA35B0" w:rsidRPr="008B0E6C" w14:paraId="1806896E" w14:textId="77777777" w:rsidTr="007C7404">
        <w:trPr>
          <w:trHeight w:val="466"/>
        </w:trPr>
        <w:tc>
          <w:tcPr>
            <w:tcW w:w="777" w:type="dxa"/>
            <w:vAlign w:val="center"/>
          </w:tcPr>
          <w:p w14:paraId="76E36D8E"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2</w:t>
            </w:r>
          </w:p>
        </w:tc>
        <w:tc>
          <w:tcPr>
            <w:tcW w:w="6448" w:type="dxa"/>
            <w:vAlign w:val="center"/>
          </w:tcPr>
          <w:p w14:paraId="0DEED9F9"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Ministerio de Medio Ambiente</w:t>
            </w:r>
          </w:p>
        </w:tc>
        <w:tc>
          <w:tcPr>
            <w:tcW w:w="2409" w:type="dxa"/>
            <w:vAlign w:val="center"/>
          </w:tcPr>
          <w:p w14:paraId="1F2CE2D3"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19 de febrero</w:t>
            </w:r>
          </w:p>
        </w:tc>
      </w:tr>
      <w:tr w:rsidR="00EA35B0" w:rsidRPr="008B0E6C" w14:paraId="1F5CCDEB" w14:textId="77777777" w:rsidTr="007C7404">
        <w:trPr>
          <w:trHeight w:val="466"/>
        </w:trPr>
        <w:tc>
          <w:tcPr>
            <w:tcW w:w="777" w:type="dxa"/>
            <w:vAlign w:val="center"/>
            <w:hideMark/>
          </w:tcPr>
          <w:p w14:paraId="4DD2ED18"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2</w:t>
            </w:r>
          </w:p>
        </w:tc>
        <w:tc>
          <w:tcPr>
            <w:tcW w:w="6448" w:type="dxa"/>
            <w:vAlign w:val="center"/>
          </w:tcPr>
          <w:p w14:paraId="2FDE8B09"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Secretaria Distrital de Hábitat</w:t>
            </w:r>
          </w:p>
        </w:tc>
        <w:tc>
          <w:tcPr>
            <w:tcW w:w="2409" w:type="dxa"/>
            <w:vAlign w:val="center"/>
          </w:tcPr>
          <w:p w14:paraId="07889F88"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2 de marzo</w:t>
            </w:r>
          </w:p>
        </w:tc>
      </w:tr>
      <w:tr w:rsidR="00EA35B0" w:rsidRPr="008B0E6C" w14:paraId="41AC9821" w14:textId="77777777" w:rsidTr="007C7404">
        <w:trPr>
          <w:trHeight w:val="324"/>
        </w:trPr>
        <w:tc>
          <w:tcPr>
            <w:tcW w:w="777" w:type="dxa"/>
            <w:vAlign w:val="center"/>
            <w:hideMark/>
          </w:tcPr>
          <w:p w14:paraId="46547BF9"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3</w:t>
            </w:r>
          </w:p>
        </w:tc>
        <w:tc>
          <w:tcPr>
            <w:tcW w:w="6448" w:type="dxa"/>
            <w:vAlign w:val="center"/>
          </w:tcPr>
          <w:p w14:paraId="3224E3DD"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Instituto de Deportes y Recreación de Medellín</w:t>
            </w:r>
          </w:p>
        </w:tc>
        <w:tc>
          <w:tcPr>
            <w:tcW w:w="2409" w:type="dxa"/>
            <w:vAlign w:val="center"/>
          </w:tcPr>
          <w:p w14:paraId="4C46580C"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4 de marzo</w:t>
            </w:r>
          </w:p>
        </w:tc>
      </w:tr>
      <w:tr w:rsidR="00EA35B0" w:rsidRPr="008B0E6C" w14:paraId="40E3D685" w14:textId="77777777" w:rsidTr="007C7404">
        <w:trPr>
          <w:trHeight w:val="243"/>
        </w:trPr>
        <w:tc>
          <w:tcPr>
            <w:tcW w:w="777" w:type="dxa"/>
            <w:vAlign w:val="center"/>
            <w:hideMark/>
          </w:tcPr>
          <w:p w14:paraId="155506AD"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4</w:t>
            </w:r>
          </w:p>
        </w:tc>
        <w:tc>
          <w:tcPr>
            <w:tcW w:w="6448" w:type="dxa"/>
            <w:vAlign w:val="center"/>
          </w:tcPr>
          <w:p w14:paraId="79EDE8C5"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UAESP - Cali</w:t>
            </w:r>
          </w:p>
        </w:tc>
        <w:tc>
          <w:tcPr>
            <w:tcW w:w="2409" w:type="dxa"/>
            <w:vAlign w:val="center"/>
          </w:tcPr>
          <w:p w14:paraId="3707CA2C"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6 de marzo</w:t>
            </w:r>
          </w:p>
        </w:tc>
      </w:tr>
      <w:tr w:rsidR="00EA35B0" w:rsidRPr="008B0E6C" w14:paraId="5F0F4C1D" w14:textId="77777777" w:rsidTr="007C7404">
        <w:trPr>
          <w:trHeight w:val="247"/>
        </w:trPr>
        <w:tc>
          <w:tcPr>
            <w:tcW w:w="777" w:type="dxa"/>
            <w:vAlign w:val="center"/>
            <w:hideMark/>
          </w:tcPr>
          <w:p w14:paraId="7FA992AA"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5</w:t>
            </w:r>
          </w:p>
        </w:tc>
        <w:tc>
          <w:tcPr>
            <w:tcW w:w="6448" w:type="dxa"/>
            <w:vAlign w:val="bottom"/>
          </w:tcPr>
          <w:p w14:paraId="276C889C"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Ministerio de Ambiente y Desarrollo Sostenible</w:t>
            </w:r>
          </w:p>
        </w:tc>
        <w:tc>
          <w:tcPr>
            <w:tcW w:w="2409" w:type="dxa"/>
            <w:vAlign w:val="center"/>
          </w:tcPr>
          <w:p w14:paraId="09C17E19"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27 de marzo</w:t>
            </w:r>
          </w:p>
        </w:tc>
      </w:tr>
      <w:tr w:rsidR="00EA35B0" w:rsidRPr="008B0E6C" w14:paraId="5EDE97C0" w14:textId="77777777" w:rsidTr="007C7404">
        <w:trPr>
          <w:trHeight w:val="191"/>
        </w:trPr>
        <w:tc>
          <w:tcPr>
            <w:tcW w:w="777" w:type="dxa"/>
            <w:vAlign w:val="center"/>
            <w:hideMark/>
          </w:tcPr>
          <w:p w14:paraId="68E7D5DD"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6</w:t>
            </w:r>
          </w:p>
        </w:tc>
        <w:tc>
          <w:tcPr>
            <w:tcW w:w="6448" w:type="dxa"/>
            <w:vAlign w:val="center"/>
          </w:tcPr>
          <w:p w14:paraId="21047D9E"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Sociedad Colombiana de Ingenieros</w:t>
            </w:r>
          </w:p>
        </w:tc>
        <w:tc>
          <w:tcPr>
            <w:tcW w:w="2409" w:type="dxa"/>
            <w:vAlign w:val="center"/>
          </w:tcPr>
          <w:p w14:paraId="4453D351"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27 de marzo</w:t>
            </w:r>
          </w:p>
        </w:tc>
      </w:tr>
      <w:tr w:rsidR="00EA35B0" w:rsidRPr="008B0E6C" w14:paraId="5FC34797" w14:textId="77777777" w:rsidTr="007C7404">
        <w:trPr>
          <w:trHeight w:val="247"/>
        </w:trPr>
        <w:tc>
          <w:tcPr>
            <w:tcW w:w="777" w:type="dxa"/>
            <w:vAlign w:val="center"/>
            <w:hideMark/>
          </w:tcPr>
          <w:p w14:paraId="1C708BFA"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7</w:t>
            </w:r>
          </w:p>
        </w:tc>
        <w:tc>
          <w:tcPr>
            <w:tcW w:w="6448" w:type="dxa"/>
            <w:vAlign w:val="bottom"/>
          </w:tcPr>
          <w:p w14:paraId="24B6A687"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Ministerio de Ambiente y Desarrollo Sostenible</w:t>
            </w:r>
          </w:p>
        </w:tc>
        <w:tc>
          <w:tcPr>
            <w:tcW w:w="2409" w:type="dxa"/>
            <w:vAlign w:val="center"/>
          </w:tcPr>
          <w:p w14:paraId="0E1F3F12" w14:textId="77777777" w:rsidR="00EA35B0" w:rsidRPr="008B0E6C" w:rsidRDefault="00EA35B0" w:rsidP="007C7404">
            <w:pPr>
              <w:jc w:val="center"/>
              <w:rPr>
                <w:rFonts w:ascii="Verdana" w:eastAsia="Verdana Pro" w:hAnsi="Verdana" w:cs="Verdana Pro"/>
                <w:sz w:val="22"/>
                <w:szCs w:val="22"/>
              </w:rPr>
            </w:pPr>
            <w:r w:rsidRPr="008B0E6C">
              <w:rPr>
                <w:rFonts w:ascii="Verdana" w:eastAsia="Verdana Pro" w:hAnsi="Verdana" w:cs="Verdana Pro"/>
                <w:sz w:val="22"/>
                <w:szCs w:val="22"/>
              </w:rPr>
              <w:t>30de marzo</w:t>
            </w:r>
          </w:p>
        </w:tc>
      </w:tr>
    </w:tbl>
    <w:p w14:paraId="619E5295" w14:textId="77777777" w:rsidR="00EA35B0" w:rsidRPr="00642CAB" w:rsidRDefault="00EA35B0" w:rsidP="00EA35B0">
      <w:pPr>
        <w:jc w:val="center"/>
        <w:rPr>
          <w:rFonts w:ascii="Verdana" w:eastAsia="Verdana Pro" w:hAnsi="Verdana" w:cs="Verdana Pro"/>
          <w:sz w:val="22"/>
          <w:szCs w:val="22"/>
        </w:rPr>
      </w:pPr>
      <w:r w:rsidRPr="00642CAB">
        <w:rPr>
          <w:rFonts w:ascii="Verdana" w:eastAsia="Verdana Pro" w:hAnsi="Verdana" w:cs="Verdana Pro"/>
          <w:sz w:val="22"/>
          <w:szCs w:val="22"/>
        </w:rPr>
        <w:t>Fuente: Elaboración propia</w:t>
      </w:r>
    </w:p>
    <w:p w14:paraId="03C7BF5D" w14:textId="77777777" w:rsidR="0036033C" w:rsidRPr="008B0E6C" w:rsidRDefault="0036033C" w:rsidP="00EA35B0">
      <w:pPr>
        <w:jc w:val="center"/>
        <w:rPr>
          <w:rFonts w:ascii="Verdana" w:eastAsia="Verdana Pro" w:hAnsi="Verdana" w:cs="Verdana Pro"/>
          <w:sz w:val="16"/>
          <w:szCs w:val="16"/>
        </w:rPr>
      </w:pPr>
    </w:p>
    <w:p w14:paraId="6F7AF0A7" w14:textId="4D4B41FD" w:rsidR="00C712AF" w:rsidRPr="008B0E6C" w:rsidRDefault="00C712AF" w:rsidP="00C712AF">
      <w:pPr>
        <w:jc w:val="both"/>
        <w:rPr>
          <w:rFonts w:ascii="Verdana" w:hAnsi="Verdana" w:cs="Arial"/>
          <w:sz w:val="22"/>
          <w:szCs w:val="22"/>
        </w:rPr>
      </w:pPr>
      <w:r w:rsidRPr="008B0E6C">
        <w:rPr>
          <w:rFonts w:ascii="Verdana" w:hAnsi="Verdana" w:cs="Arial"/>
          <w:sz w:val="22"/>
          <w:szCs w:val="22"/>
        </w:rPr>
        <w:t xml:space="preserve">En </w:t>
      </w:r>
      <w:r w:rsidR="00C764B8" w:rsidRPr="008B0E6C">
        <w:rPr>
          <w:rFonts w:ascii="Verdana" w:hAnsi="Verdana" w:cs="Arial"/>
          <w:sz w:val="22"/>
          <w:szCs w:val="22"/>
        </w:rPr>
        <w:t>estas</w:t>
      </w:r>
      <w:r w:rsidRPr="008B0E6C">
        <w:rPr>
          <w:rFonts w:ascii="Verdana" w:hAnsi="Verdana" w:cs="Arial"/>
          <w:sz w:val="22"/>
          <w:szCs w:val="22"/>
        </w:rPr>
        <w:t xml:space="preserve"> mesas de trabajo, se citaron entidades del Orden Nacional, departamental, municipal y Distrital, entre otras.  Sin embargo, en </w:t>
      </w:r>
      <w:proofErr w:type="gramStart"/>
      <w:r w:rsidRPr="008B0E6C">
        <w:rPr>
          <w:rFonts w:ascii="Verdana" w:hAnsi="Verdana" w:cs="Arial"/>
          <w:sz w:val="22"/>
          <w:szCs w:val="22"/>
        </w:rPr>
        <w:t>algunas casos</w:t>
      </w:r>
      <w:proofErr w:type="gramEnd"/>
      <w:r w:rsidRPr="008B0E6C">
        <w:rPr>
          <w:rFonts w:ascii="Verdana" w:hAnsi="Verdana" w:cs="Arial"/>
          <w:sz w:val="22"/>
          <w:szCs w:val="22"/>
        </w:rPr>
        <w:t xml:space="preserve"> no fue posible contar con los invitados.</w:t>
      </w:r>
    </w:p>
    <w:p w14:paraId="5A6F2C9B" w14:textId="77777777" w:rsidR="00C712AF" w:rsidRPr="008B0E6C" w:rsidRDefault="00C712AF" w:rsidP="00C712AF">
      <w:pPr>
        <w:jc w:val="both"/>
        <w:rPr>
          <w:rFonts w:ascii="Verdana" w:hAnsi="Verdana" w:cs="Arial"/>
          <w:sz w:val="22"/>
          <w:szCs w:val="22"/>
        </w:rPr>
      </w:pPr>
    </w:p>
    <w:p w14:paraId="760F0C66" w14:textId="443BA37D" w:rsidR="00C712AF" w:rsidRPr="008B0E6C" w:rsidRDefault="00C712AF" w:rsidP="00C712AF">
      <w:pPr>
        <w:jc w:val="both"/>
        <w:rPr>
          <w:rFonts w:ascii="Verdana" w:hAnsi="Verdana" w:cs="Arial"/>
          <w:sz w:val="22"/>
          <w:szCs w:val="22"/>
        </w:rPr>
      </w:pPr>
      <w:r w:rsidRPr="008B0E6C">
        <w:rPr>
          <w:rFonts w:ascii="Verdana" w:hAnsi="Verdana" w:cs="Arial"/>
          <w:sz w:val="22"/>
          <w:szCs w:val="22"/>
        </w:rPr>
        <w:t xml:space="preserve">De acuerdo con las observaciones, peticiones o solicitudes de aclaración recibidas de ciudadanos, de Entidades Públicas Especializadas y observaciones internas realizadas por el equipo </w:t>
      </w:r>
      <w:proofErr w:type="gramStart"/>
      <w:r w:rsidRPr="008B0E6C">
        <w:rPr>
          <w:rFonts w:ascii="Verdana" w:hAnsi="Verdana" w:cs="Arial"/>
          <w:sz w:val="22"/>
          <w:szCs w:val="22"/>
        </w:rPr>
        <w:t>técnico,  jurídico</w:t>
      </w:r>
      <w:proofErr w:type="gramEnd"/>
      <w:r w:rsidRPr="008B0E6C">
        <w:rPr>
          <w:rFonts w:ascii="Verdana" w:hAnsi="Verdana" w:cs="Arial"/>
          <w:sz w:val="22"/>
          <w:szCs w:val="22"/>
        </w:rPr>
        <w:t xml:space="preserve"> y financiero de la Subdirección de Gestión Contractual, se efectúo su revisión para aquellas recibidos en la vigencia 2025 y 2026, y se clasificaron en tres segmentos: </w:t>
      </w:r>
      <w:r w:rsidRPr="008B0E6C">
        <w:rPr>
          <w:rFonts w:ascii="Verdana" w:hAnsi="Verdana" w:cs="Arial"/>
          <w:b/>
          <w:bCs/>
          <w:sz w:val="22"/>
          <w:szCs w:val="22"/>
        </w:rPr>
        <w:t xml:space="preserve">a) </w:t>
      </w:r>
      <w:r w:rsidRPr="008B0E6C">
        <w:rPr>
          <w:rFonts w:ascii="Verdana" w:hAnsi="Verdana" w:cs="Arial"/>
          <w:sz w:val="22"/>
          <w:szCs w:val="22"/>
        </w:rPr>
        <w:t xml:space="preserve">observaciones directas de ciudadanos (PQRSD), </w:t>
      </w:r>
      <w:r w:rsidR="00A01386" w:rsidRPr="008B0E6C">
        <w:rPr>
          <w:rFonts w:ascii="Verdana" w:hAnsi="Verdana" w:cs="Arial"/>
          <w:sz w:val="22"/>
          <w:szCs w:val="22"/>
        </w:rPr>
        <w:t xml:space="preserve">y </w:t>
      </w:r>
      <w:r w:rsidRPr="008B0E6C">
        <w:rPr>
          <w:rFonts w:ascii="Verdana" w:hAnsi="Verdana" w:cs="Arial"/>
          <w:b/>
          <w:bCs/>
          <w:sz w:val="22"/>
          <w:szCs w:val="22"/>
        </w:rPr>
        <w:t>b)</w:t>
      </w:r>
      <w:r w:rsidRPr="008B0E6C">
        <w:rPr>
          <w:rFonts w:ascii="Verdana" w:hAnsi="Verdana" w:cs="Arial"/>
          <w:sz w:val="22"/>
          <w:szCs w:val="22"/>
        </w:rPr>
        <w:t xml:space="preserve"> observaciones de Entidades Estatales (mesas de Trabajo).</w:t>
      </w:r>
    </w:p>
    <w:p w14:paraId="3A5B99F2" w14:textId="77777777" w:rsidR="00C712AF" w:rsidRPr="008B0E6C" w:rsidRDefault="00C712AF" w:rsidP="00C712AF">
      <w:pPr>
        <w:jc w:val="both"/>
        <w:rPr>
          <w:rFonts w:ascii="Verdana" w:hAnsi="Verdana" w:cs="Arial"/>
          <w:sz w:val="22"/>
          <w:szCs w:val="22"/>
        </w:rPr>
      </w:pPr>
    </w:p>
    <w:p w14:paraId="672D9A2D" w14:textId="77777777" w:rsidR="00C712AF" w:rsidRDefault="00C712AF" w:rsidP="00C712AF">
      <w:pPr>
        <w:jc w:val="both"/>
        <w:rPr>
          <w:rFonts w:ascii="Verdana" w:hAnsi="Verdana" w:cs="Arial"/>
          <w:sz w:val="22"/>
          <w:szCs w:val="22"/>
        </w:rPr>
      </w:pPr>
      <w:r w:rsidRPr="008B0E6C">
        <w:rPr>
          <w:rFonts w:ascii="Verdana" w:hAnsi="Verdana" w:cs="Arial"/>
          <w:sz w:val="22"/>
          <w:szCs w:val="22"/>
        </w:rPr>
        <w:t>Estas peticiones fueron clasificadas de la siguiente forma, para llegar a aquellas que implicarían realizar cambios o ajustes sobre los Documento Tipo, Matriz1 -Experiencia y Anexo 3- Glosario Técnico:</w:t>
      </w:r>
    </w:p>
    <w:p w14:paraId="680F0FCF" w14:textId="77777777" w:rsidR="00642CAB" w:rsidRDefault="00642CAB" w:rsidP="00C712AF">
      <w:pPr>
        <w:jc w:val="both"/>
        <w:rPr>
          <w:rFonts w:ascii="Verdana" w:hAnsi="Verdana" w:cs="Arial"/>
          <w:sz w:val="22"/>
          <w:szCs w:val="22"/>
        </w:rPr>
      </w:pPr>
    </w:p>
    <w:p w14:paraId="020663E7" w14:textId="77777777" w:rsidR="00642CAB" w:rsidRDefault="00642CAB" w:rsidP="00C712AF">
      <w:pPr>
        <w:jc w:val="both"/>
        <w:rPr>
          <w:rFonts w:ascii="Verdana" w:hAnsi="Verdana" w:cs="Arial"/>
          <w:sz w:val="22"/>
          <w:szCs w:val="22"/>
        </w:rPr>
      </w:pPr>
    </w:p>
    <w:p w14:paraId="29CF5A80" w14:textId="77777777" w:rsidR="00642CAB" w:rsidRDefault="00642CAB" w:rsidP="00C712AF">
      <w:pPr>
        <w:jc w:val="both"/>
        <w:rPr>
          <w:rFonts w:ascii="Verdana" w:hAnsi="Verdana" w:cs="Arial"/>
          <w:sz w:val="22"/>
          <w:szCs w:val="22"/>
        </w:rPr>
      </w:pPr>
    </w:p>
    <w:p w14:paraId="43F906A0" w14:textId="77777777" w:rsidR="00642CAB" w:rsidRDefault="00642CAB" w:rsidP="00C712AF">
      <w:pPr>
        <w:jc w:val="both"/>
        <w:rPr>
          <w:rFonts w:ascii="Verdana" w:hAnsi="Verdana" w:cs="Arial"/>
          <w:sz w:val="22"/>
          <w:szCs w:val="22"/>
        </w:rPr>
      </w:pPr>
    </w:p>
    <w:p w14:paraId="21176F8F" w14:textId="77777777" w:rsidR="00642CAB" w:rsidRDefault="00642CAB" w:rsidP="00C712AF">
      <w:pPr>
        <w:jc w:val="both"/>
        <w:rPr>
          <w:rFonts w:ascii="Verdana" w:hAnsi="Verdana" w:cs="Arial"/>
          <w:sz w:val="22"/>
          <w:szCs w:val="22"/>
        </w:rPr>
      </w:pPr>
    </w:p>
    <w:p w14:paraId="245A21E3" w14:textId="77777777" w:rsidR="00642CAB" w:rsidRDefault="00642CAB" w:rsidP="00C712AF">
      <w:pPr>
        <w:jc w:val="both"/>
        <w:rPr>
          <w:rFonts w:ascii="Verdana" w:hAnsi="Verdana" w:cs="Arial"/>
          <w:sz w:val="22"/>
          <w:szCs w:val="22"/>
        </w:rPr>
      </w:pPr>
    </w:p>
    <w:p w14:paraId="21FAEA9E" w14:textId="77777777" w:rsidR="00642CAB" w:rsidRPr="008B0E6C" w:rsidRDefault="00642CAB" w:rsidP="00C712AF">
      <w:pPr>
        <w:jc w:val="both"/>
        <w:rPr>
          <w:rFonts w:ascii="Verdana" w:hAnsi="Verdana" w:cs="Arial"/>
          <w:sz w:val="22"/>
          <w:szCs w:val="22"/>
        </w:rPr>
      </w:pPr>
    </w:p>
    <w:p w14:paraId="1ACAD205" w14:textId="77777777" w:rsidR="004D3C2E" w:rsidRPr="008B0E6C" w:rsidRDefault="004D3C2E" w:rsidP="00C712AF">
      <w:pPr>
        <w:jc w:val="both"/>
        <w:rPr>
          <w:rFonts w:ascii="Verdana" w:hAnsi="Verdana" w:cs="Arial"/>
          <w:sz w:val="22"/>
          <w:szCs w:val="22"/>
        </w:rPr>
      </w:pPr>
    </w:p>
    <w:p w14:paraId="6BAF6575" w14:textId="5EFC8599" w:rsidR="000D71EB" w:rsidRPr="008B0E6C" w:rsidRDefault="000D71EB" w:rsidP="000D71EB">
      <w:pPr>
        <w:pStyle w:val="Descripcin"/>
        <w:jc w:val="center"/>
        <w:rPr>
          <w:rFonts w:ascii="Verdana" w:hAnsi="Verdana"/>
          <w:sz w:val="24"/>
          <w:szCs w:val="24"/>
        </w:rPr>
      </w:pPr>
      <w:bookmarkStart w:id="343" w:name="_Toc231368674"/>
      <w:r w:rsidRPr="008B0E6C">
        <w:rPr>
          <w:rFonts w:ascii="Verdana" w:hAnsi="Verdana"/>
          <w:sz w:val="22"/>
          <w:szCs w:val="22"/>
        </w:rPr>
        <w:lastRenderedPageBreak/>
        <w:t xml:space="preserve">Tabla </w:t>
      </w:r>
      <w:r w:rsidRPr="008B0E6C">
        <w:rPr>
          <w:rFonts w:ascii="Verdana" w:hAnsi="Verdana"/>
          <w:sz w:val="22"/>
          <w:szCs w:val="22"/>
        </w:rPr>
        <w:fldChar w:fldCharType="begin"/>
      </w:r>
      <w:r w:rsidRPr="008B0E6C">
        <w:rPr>
          <w:rFonts w:ascii="Verdana" w:hAnsi="Verdana"/>
          <w:sz w:val="22"/>
          <w:szCs w:val="22"/>
        </w:rPr>
        <w:instrText xml:space="preserve"> SEQ Tabla \* ARABIC </w:instrText>
      </w:r>
      <w:r w:rsidRPr="008B0E6C">
        <w:rPr>
          <w:rFonts w:ascii="Verdana" w:hAnsi="Verdana"/>
          <w:sz w:val="22"/>
          <w:szCs w:val="22"/>
        </w:rPr>
        <w:fldChar w:fldCharType="separate"/>
      </w:r>
      <w:r w:rsidR="00D82866">
        <w:rPr>
          <w:rFonts w:ascii="Verdana" w:hAnsi="Verdana"/>
          <w:noProof/>
          <w:sz w:val="22"/>
          <w:szCs w:val="22"/>
        </w:rPr>
        <w:t>7</w:t>
      </w:r>
      <w:r w:rsidRPr="008B0E6C">
        <w:rPr>
          <w:rFonts w:ascii="Verdana" w:hAnsi="Verdana"/>
          <w:sz w:val="22"/>
          <w:szCs w:val="22"/>
        </w:rPr>
        <w:fldChar w:fldCharType="end"/>
      </w:r>
      <w:r w:rsidRPr="008B0E6C">
        <w:rPr>
          <w:rFonts w:ascii="Verdana" w:hAnsi="Verdana"/>
          <w:sz w:val="22"/>
          <w:szCs w:val="22"/>
        </w:rPr>
        <w:t>. Detalle de las sugerencias u observaciones recibidas durante las mesas de trabajo y las tomadas en cuenta de las peticiones atendidas</w:t>
      </w:r>
      <w:bookmarkEnd w:id="343"/>
    </w:p>
    <w:tbl>
      <w:tblPr>
        <w:tblW w:w="7366" w:type="dxa"/>
        <w:tblInd w:w="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624"/>
        <w:gridCol w:w="2374"/>
        <w:gridCol w:w="2368"/>
      </w:tblGrid>
      <w:tr w:rsidR="005C4428" w:rsidRPr="008B0E6C" w14:paraId="18FDA3AD" w14:textId="77777777" w:rsidTr="00954F93">
        <w:trPr>
          <w:trHeight w:val="300"/>
        </w:trPr>
        <w:tc>
          <w:tcPr>
            <w:tcW w:w="2624" w:type="dxa"/>
            <w:shd w:val="clear" w:color="auto" w:fill="EBEEF1"/>
            <w:vAlign w:val="center"/>
          </w:tcPr>
          <w:p w14:paraId="42D43270" w14:textId="77777777" w:rsidR="005C4428" w:rsidRPr="008B0E6C" w:rsidRDefault="005C4428" w:rsidP="007C7404">
            <w:pPr>
              <w:jc w:val="center"/>
              <w:rPr>
                <w:rFonts w:ascii="Verdana" w:eastAsia="Verdana Pro" w:hAnsi="Verdana" w:cs="Verdana Pro"/>
                <w:b/>
                <w:bCs/>
                <w:color w:val="000000" w:themeColor="text1"/>
                <w:sz w:val="22"/>
                <w:szCs w:val="22"/>
              </w:rPr>
            </w:pPr>
            <w:r w:rsidRPr="008B0E6C">
              <w:rPr>
                <w:rFonts w:ascii="Verdana" w:eastAsia="Verdana Pro" w:hAnsi="Verdana" w:cs="Verdana Pro"/>
                <w:b/>
                <w:bCs/>
                <w:color w:val="000000" w:themeColor="text1"/>
                <w:sz w:val="22"/>
                <w:szCs w:val="22"/>
              </w:rPr>
              <w:t>Modalidad de Contratación Obra pública</w:t>
            </w:r>
          </w:p>
        </w:tc>
        <w:tc>
          <w:tcPr>
            <w:tcW w:w="2374" w:type="dxa"/>
            <w:shd w:val="clear" w:color="auto" w:fill="EBEEF1"/>
            <w:vAlign w:val="center"/>
          </w:tcPr>
          <w:p w14:paraId="619FD2F8" w14:textId="77777777" w:rsidR="005C4428" w:rsidRPr="008B0E6C" w:rsidRDefault="005C4428" w:rsidP="007C7404">
            <w:pPr>
              <w:jc w:val="center"/>
              <w:rPr>
                <w:rFonts w:ascii="Verdana" w:eastAsia="Verdana Pro" w:hAnsi="Verdana" w:cs="Verdana Pro"/>
                <w:b/>
                <w:bCs/>
                <w:color w:val="000000" w:themeColor="text1"/>
                <w:sz w:val="22"/>
                <w:szCs w:val="22"/>
              </w:rPr>
            </w:pPr>
            <w:r w:rsidRPr="008B0E6C">
              <w:rPr>
                <w:rFonts w:ascii="Verdana" w:eastAsia="Verdana Pro" w:hAnsi="Verdana" w:cs="Verdana Pro"/>
                <w:b/>
                <w:bCs/>
                <w:color w:val="000000" w:themeColor="text1"/>
                <w:sz w:val="22"/>
                <w:szCs w:val="22"/>
              </w:rPr>
              <w:t>Observaciones recibidas de las mesas de trabajo técnicas Vigencias 2024 y 2025</w:t>
            </w:r>
          </w:p>
        </w:tc>
        <w:tc>
          <w:tcPr>
            <w:tcW w:w="2368" w:type="dxa"/>
            <w:shd w:val="clear" w:color="auto" w:fill="EBEEF1"/>
            <w:vAlign w:val="center"/>
          </w:tcPr>
          <w:p w14:paraId="4B6D5D98" w14:textId="77777777" w:rsidR="005C4428" w:rsidRPr="008B0E6C" w:rsidRDefault="005C4428" w:rsidP="007C7404">
            <w:pPr>
              <w:jc w:val="center"/>
              <w:rPr>
                <w:rFonts w:ascii="Verdana" w:eastAsia="Verdana Pro" w:hAnsi="Verdana" w:cs="Verdana Pro"/>
                <w:b/>
                <w:bCs/>
                <w:color w:val="000000" w:themeColor="text1"/>
                <w:sz w:val="22"/>
                <w:szCs w:val="22"/>
              </w:rPr>
            </w:pPr>
            <w:r w:rsidRPr="008B0E6C">
              <w:rPr>
                <w:rFonts w:ascii="Verdana" w:eastAsia="Verdana Pro" w:hAnsi="Verdana" w:cs="Verdana Pro"/>
                <w:b/>
                <w:bCs/>
                <w:color w:val="000000" w:themeColor="text1"/>
                <w:sz w:val="22"/>
                <w:szCs w:val="22"/>
              </w:rPr>
              <w:t>Observaciones que provienen de ciudadanos, recibidos a través de PQRSD</w:t>
            </w:r>
          </w:p>
        </w:tc>
      </w:tr>
      <w:tr w:rsidR="005C4428" w:rsidRPr="008B0E6C" w14:paraId="4B407FF1" w14:textId="77777777" w:rsidTr="00954F93">
        <w:trPr>
          <w:trHeight w:val="300"/>
        </w:trPr>
        <w:tc>
          <w:tcPr>
            <w:tcW w:w="2624" w:type="dxa"/>
            <w:shd w:val="clear" w:color="auto" w:fill="EBEEF1"/>
            <w:vAlign w:val="bottom"/>
          </w:tcPr>
          <w:p w14:paraId="557CF3A5" w14:textId="77777777" w:rsidR="005C4428" w:rsidRPr="008B0E6C" w:rsidRDefault="005C4428" w:rsidP="00954F93">
            <w:pPr>
              <w:jc w:val="center"/>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Licitación de obra pública, Licitación de obra pública Llave en mano e Interventoría</w:t>
            </w:r>
          </w:p>
        </w:tc>
        <w:tc>
          <w:tcPr>
            <w:tcW w:w="2374" w:type="dxa"/>
            <w:vAlign w:val="center"/>
          </w:tcPr>
          <w:p w14:paraId="359BEBF1" w14:textId="77777777" w:rsidR="005C4428" w:rsidRPr="008B0E6C" w:rsidRDefault="005C4428" w:rsidP="007C7404">
            <w:pPr>
              <w:jc w:val="center"/>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7</w:t>
            </w:r>
          </w:p>
        </w:tc>
        <w:tc>
          <w:tcPr>
            <w:tcW w:w="2368" w:type="dxa"/>
            <w:vAlign w:val="center"/>
          </w:tcPr>
          <w:p w14:paraId="39B73EB7" w14:textId="77777777" w:rsidR="005C4428" w:rsidRPr="008B0E6C" w:rsidRDefault="005C4428" w:rsidP="007C7404">
            <w:pPr>
              <w:jc w:val="center"/>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26</w:t>
            </w:r>
          </w:p>
        </w:tc>
      </w:tr>
    </w:tbl>
    <w:p w14:paraId="04790B7C" w14:textId="77777777" w:rsidR="000D71EB" w:rsidRPr="00642CAB" w:rsidRDefault="000D71EB" w:rsidP="000D71EB">
      <w:pPr>
        <w:jc w:val="center"/>
        <w:rPr>
          <w:rFonts w:ascii="Verdana" w:eastAsia="Verdana Pro" w:hAnsi="Verdana" w:cs="Verdana Pro"/>
          <w:sz w:val="22"/>
          <w:szCs w:val="22"/>
        </w:rPr>
      </w:pPr>
      <w:r w:rsidRPr="00642CAB">
        <w:rPr>
          <w:rFonts w:ascii="Verdana" w:eastAsia="Verdana Pro" w:hAnsi="Verdana" w:cs="Verdana Pro"/>
          <w:sz w:val="22"/>
          <w:szCs w:val="22"/>
        </w:rPr>
        <w:t>Fuente: Elaboración propia</w:t>
      </w:r>
    </w:p>
    <w:p w14:paraId="32BA39BD" w14:textId="2C911E59" w:rsidR="000D71EB" w:rsidRPr="008B0E6C" w:rsidRDefault="000D71EB" w:rsidP="000D71EB">
      <w:pPr>
        <w:jc w:val="both"/>
        <w:rPr>
          <w:rFonts w:ascii="Verdana" w:hAnsi="Verdana" w:cs="Arial"/>
          <w:sz w:val="22"/>
          <w:szCs w:val="22"/>
        </w:rPr>
      </w:pPr>
      <w:r w:rsidRPr="008B0E6C">
        <w:rPr>
          <w:rFonts w:ascii="Verdana" w:eastAsia="Calibri" w:hAnsi="Verdana"/>
          <w:sz w:val="22"/>
          <w:szCs w:val="22"/>
          <w:lang w:val="es-ES" w:eastAsia="en-US"/>
        </w:rPr>
        <w:fldChar w:fldCharType="begin"/>
      </w:r>
      <w:r w:rsidRPr="008B0E6C">
        <w:rPr>
          <w:rFonts w:ascii="Verdana" w:hAnsi="Verdana"/>
          <w:sz w:val="22"/>
          <w:szCs w:val="22"/>
        </w:rPr>
        <w:instrText xml:space="preserve"> SEQ Gráfica \* ARABIC </w:instrText>
      </w:r>
      <w:r w:rsidRPr="008B0E6C">
        <w:rPr>
          <w:rFonts w:ascii="Verdana" w:eastAsia="Calibri" w:hAnsi="Verdana"/>
          <w:sz w:val="22"/>
          <w:szCs w:val="22"/>
          <w:lang w:val="es-ES" w:eastAsia="en-US"/>
        </w:rPr>
        <w:fldChar w:fldCharType="separate"/>
      </w:r>
      <w:bookmarkStart w:id="344" w:name="_Toc231368801"/>
      <w:r w:rsidR="00973CF5">
        <w:rPr>
          <w:rFonts w:ascii="Verdana" w:hAnsi="Verdana"/>
          <w:noProof/>
          <w:sz w:val="22"/>
          <w:szCs w:val="22"/>
        </w:rPr>
        <w:t>26</w:t>
      </w:r>
      <w:bookmarkEnd w:id="344"/>
      <w:r w:rsidRPr="008B0E6C">
        <w:rPr>
          <w:rFonts w:ascii="Verdana" w:eastAsia="Calibri" w:hAnsi="Verdana"/>
          <w:sz w:val="22"/>
          <w:szCs w:val="22"/>
          <w:lang w:val="es-ES" w:eastAsia="en-US"/>
        </w:rPr>
        <w:fldChar w:fldCharType="end"/>
      </w:r>
    </w:p>
    <w:p w14:paraId="4DA066A9" w14:textId="77777777" w:rsidR="00547A20" w:rsidRPr="008B0E6C" w:rsidRDefault="00547A20" w:rsidP="00547A20">
      <w:pPr>
        <w:jc w:val="both"/>
        <w:rPr>
          <w:rFonts w:ascii="Verdana" w:hAnsi="Verdana" w:cs="Arial"/>
          <w:sz w:val="22"/>
          <w:szCs w:val="22"/>
        </w:rPr>
      </w:pPr>
      <w:r w:rsidRPr="008B0E6C">
        <w:rPr>
          <w:rFonts w:ascii="Verdana" w:hAnsi="Verdana" w:cs="Arial"/>
          <w:sz w:val="22"/>
          <w:szCs w:val="22"/>
        </w:rPr>
        <w:t>Del total de las observaciones revisadas, se encontró que las que podrían generar impacto para evaluar su incorporación en las modificaciones a los Documentos tipo de Infraestructura de agua potable y saneamiento básico, estarían contenidas en las siguientes:</w:t>
      </w:r>
    </w:p>
    <w:p w14:paraId="1D8F2DD3" w14:textId="77777777" w:rsidR="00547A20" w:rsidRPr="008B0E6C" w:rsidRDefault="00547A20" w:rsidP="00547A20">
      <w:pPr>
        <w:jc w:val="both"/>
        <w:rPr>
          <w:rFonts w:ascii="Verdana" w:hAnsi="Verdana" w:cs="Arial"/>
          <w:sz w:val="22"/>
          <w:szCs w:val="22"/>
        </w:rPr>
      </w:pPr>
    </w:p>
    <w:p w14:paraId="18DDB59F" w14:textId="185F64DC" w:rsidR="00547A20" w:rsidRPr="008B0E6C" w:rsidRDefault="00547A20" w:rsidP="00547A20">
      <w:pPr>
        <w:pStyle w:val="Prrafodelista"/>
        <w:numPr>
          <w:ilvl w:val="0"/>
          <w:numId w:val="40"/>
        </w:numPr>
        <w:rPr>
          <w:rFonts w:ascii="Verdana" w:hAnsi="Verdana" w:cs="Arial"/>
        </w:rPr>
      </w:pPr>
      <w:r w:rsidRPr="008B0E6C">
        <w:rPr>
          <w:rFonts w:ascii="Verdana" w:hAnsi="Verdana" w:cs="Arial"/>
        </w:rPr>
        <w:t>Observaciones generales y normativas a los DT del sector de Agua Potable y Saneamiento Básico relacionadas con aclaraciones sobre aspectos de la aplicación de la matriz 1 – Experiencia</w:t>
      </w:r>
      <w:r w:rsidR="000837FF" w:rsidRPr="008B0E6C">
        <w:rPr>
          <w:rFonts w:ascii="Verdana" w:hAnsi="Verdana" w:cs="Arial"/>
        </w:rPr>
        <w:t xml:space="preserve">, contenidas principalmente en el </w:t>
      </w:r>
      <w:r w:rsidR="00C03AAE" w:rsidRPr="008B0E6C">
        <w:rPr>
          <w:rFonts w:ascii="Verdana" w:hAnsi="Verdana" w:cs="Arial"/>
        </w:rPr>
        <w:t>Documento</w:t>
      </w:r>
      <w:r w:rsidR="000837FF" w:rsidRPr="008B0E6C">
        <w:rPr>
          <w:rFonts w:ascii="Verdana" w:hAnsi="Verdana" w:cs="Arial"/>
        </w:rPr>
        <w:t xml:space="preserve"> Base</w:t>
      </w:r>
      <w:r w:rsidRPr="008B0E6C">
        <w:rPr>
          <w:rFonts w:ascii="Verdana" w:hAnsi="Verdana" w:cs="Arial"/>
        </w:rPr>
        <w:t>.</w:t>
      </w:r>
    </w:p>
    <w:p w14:paraId="0C8D508F" w14:textId="15E733F2" w:rsidR="00547A20" w:rsidRPr="008B0E6C" w:rsidRDefault="00547A20" w:rsidP="00547A20">
      <w:pPr>
        <w:pStyle w:val="Prrafodelista"/>
        <w:numPr>
          <w:ilvl w:val="0"/>
          <w:numId w:val="40"/>
        </w:numPr>
        <w:rPr>
          <w:rFonts w:ascii="Verdana" w:hAnsi="Verdana" w:cs="Arial"/>
        </w:rPr>
      </w:pPr>
      <w:r w:rsidRPr="008B0E6C">
        <w:rPr>
          <w:rFonts w:ascii="Verdana" w:hAnsi="Verdana" w:cs="Arial"/>
        </w:rPr>
        <w:t xml:space="preserve">Observaciones generales y normativas a los DT del sector de Agua Potable y Saneamiento Básico relacionadas con aclaraciones sobre aspectos de las actividades contenidas en la matriz 1 – Experiencia y la necesidad de inclusión de </w:t>
      </w:r>
      <w:r w:rsidR="00CB5264" w:rsidRPr="008B0E6C">
        <w:rPr>
          <w:rFonts w:ascii="Verdana" w:hAnsi="Verdana" w:cs="Arial"/>
        </w:rPr>
        <w:t xml:space="preserve">nuevas actividades </w:t>
      </w:r>
      <w:r w:rsidRPr="008B0E6C">
        <w:rPr>
          <w:rFonts w:ascii="Verdana" w:hAnsi="Verdana" w:cs="Arial"/>
        </w:rPr>
        <w:t>no previstas allí.</w:t>
      </w:r>
    </w:p>
    <w:p w14:paraId="24582F7B" w14:textId="77777777" w:rsidR="00547A20" w:rsidRPr="008B0E6C" w:rsidRDefault="00547A20" w:rsidP="00547A20">
      <w:pPr>
        <w:pStyle w:val="Prrafodelista"/>
        <w:numPr>
          <w:ilvl w:val="0"/>
          <w:numId w:val="40"/>
        </w:numPr>
        <w:rPr>
          <w:rFonts w:ascii="Verdana" w:hAnsi="Verdana" w:cs="Arial"/>
        </w:rPr>
      </w:pPr>
      <w:r w:rsidRPr="008B0E6C">
        <w:rPr>
          <w:rFonts w:ascii="Verdana" w:hAnsi="Verdana" w:cs="Arial"/>
        </w:rPr>
        <w:t>Observaciones generales y normativas a los DT del sector de Agua Potable y Saneamiento Básico relacionadas con aclaraciones sobre la aplicación de las “Reglas de Combinación de Experiencia” previstas en el numeral 3.5.2. del Documento Base.</w:t>
      </w:r>
    </w:p>
    <w:p w14:paraId="662237A1" w14:textId="77777777" w:rsidR="00547A20" w:rsidRPr="008B0E6C" w:rsidRDefault="00547A20" w:rsidP="00547A20">
      <w:pPr>
        <w:pStyle w:val="Prrafodelista"/>
        <w:numPr>
          <w:ilvl w:val="0"/>
          <w:numId w:val="40"/>
        </w:numPr>
        <w:rPr>
          <w:rFonts w:ascii="Verdana" w:hAnsi="Verdana" w:cs="Arial"/>
        </w:rPr>
      </w:pPr>
      <w:r w:rsidRPr="008B0E6C">
        <w:rPr>
          <w:rFonts w:ascii="Verdana" w:hAnsi="Verdana" w:cs="Arial"/>
        </w:rPr>
        <w:t>Observaciones generales y normativas a los DT del sector de Agua Potable y Saneamiento Básico relacionadas con aclaraciones a las definiciones contenidas en el Anexo 3 – Glosario.</w:t>
      </w:r>
    </w:p>
    <w:p w14:paraId="49BD134C" w14:textId="62787CEC" w:rsidR="00547A20" w:rsidRPr="008B0E6C" w:rsidRDefault="00547A20" w:rsidP="00547A20">
      <w:pPr>
        <w:pStyle w:val="Prrafodelista"/>
        <w:numPr>
          <w:ilvl w:val="0"/>
          <w:numId w:val="40"/>
        </w:numPr>
        <w:rPr>
          <w:rFonts w:ascii="Verdana" w:hAnsi="Verdana" w:cs="Arial"/>
        </w:rPr>
      </w:pPr>
      <w:r w:rsidRPr="008B0E6C">
        <w:rPr>
          <w:rFonts w:ascii="Verdana" w:hAnsi="Verdana" w:cs="Arial"/>
        </w:rPr>
        <w:t xml:space="preserve">Observaciones generales y normativas a los DT del sector de Agua Potable y Saneamiento Básico relacionadas con aclaraciones para la aplicación de los “Bienes, Obras o servicios adicionales a la Infraestructura de APSAB” previstas en el literal </w:t>
      </w:r>
      <w:r w:rsidR="00503446" w:rsidRPr="008B0E6C">
        <w:rPr>
          <w:rFonts w:ascii="Verdana" w:hAnsi="Verdana" w:cs="Arial"/>
        </w:rPr>
        <w:t>G</w:t>
      </w:r>
      <w:r w:rsidRPr="008B0E6C">
        <w:rPr>
          <w:rFonts w:ascii="Verdana" w:hAnsi="Verdana" w:cs="Arial"/>
        </w:rPr>
        <w:t xml:space="preserve"> del numeral 3.5.2. del Documento Base.</w:t>
      </w:r>
    </w:p>
    <w:p w14:paraId="759A3574" w14:textId="4BA03826" w:rsidR="00547A20" w:rsidRPr="008B0E6C" w:rsidRDefault="00547A20" w:rsidP="00547A20">
      <w:pPr>
        <w:pStyle w:val="Prrafodelista"/>
        <w:numPr>
          <w:ilvl w:val="0"/>
          <w:numId w:val="40"/>
        </w:numPr>
        <w:rPr>
          <w:rFonts w:ascii="Verdana" w:hAnsi="Verdana" w:cs="Arial"/>
        </w:rPr>
      </w:pPr>
      <w:r w:rsidRPr="008B0E6C">
        <w:rPr>
          <w:rFonts w:ascii="Verdana" w:hAnsi="Verdana" w:cs="Arial"/>
        </w:rPr>
        <w:lastRenderedPageBreak/>
        <w:t>Observaciones generales y normativas a los DT del sector de Agua Potable y Saneamiento Básico relacionadas con aclaraciones sobre el número de contratos presentados para acreditar la experiencia del proponente, previstas en el numeral 3.5.</w:t>
      </w:r>
      <w:r w:rsidR="00503446" w:rsidRPr="008B0E6C">
        <w:rPr>
          <w:rFonts w:ascii="Verdana" w:hAnsi="Verdana" w:cs="Arial"/>
        </w:rPr>
        <w:t>9</w:t>
      </w:r>
      <w:r w:rsidRPr="008B0E6C">
        <w:rPr>
          <w:rFonts w:ascii="Verdana" w:hAnsi="Verdana" w:cs="Arial"/>
        </w:rPr>
        <w:t>. de</w:t>
      </w:r>
      <w:r w:rsidR="00503446" w:rsidRPr="008B0E6C">
        <w:rPr>
          <w:rFonts w:ascii="Verdana" w:hAnsi="Verdana" w:cs="Arial"/>
        </w:rPr>
        <w:t>l</w:t>
      </w:r>
      <w:r w:rsidRPr="008B0E6C">
        <w:rPr>
          <w:rFonts w:ascii="Verdana" w:hAnsi="Verdana" w:cs="Arial"/>
        </w:rPr>
        <w:t xml:space="preserve"> documento base.</w:t>
      </w:r>
    </w:p>
    <w:p w14:paraId="3801A418" w14:textId="77777777" w:rsidR="00547A20" w:rsidRPr="008B0E6C" w:rsidRDefault="00547A20" w:rsidP="00547A20">
      <w:pPr>
        <w:pStyle w:val="Prrafodelista"/>
        <w:numPr>
          <w:ilvl w:val="0"/>
          <w:numId w:val="40"/>
        </w:numPr>
        <w:rPr>
          <w:rFonts w:ascii="Verdana" w:hAnsi="Verdana" w:cs="Arial"/>
        </w:rPr>
      </w:pPr>
      <w:r w:rsidRPr="008B0E6C">
        <w:rPr>
          <w:rFonts w:ascii="Verdana" w:hAnsi="Verdana" w:cs="Arial"/>
        </w:rPr>
        <w:t>Observaciones generales y normativas a los DT del sector de Agua Potable y Saneamiento Básico relacionadas con aclaraciones para la aplicación del “dimensionamiento para proponentes plurales” previsto en el numeral 3.5.3. del Documento Base.</w:t>
      </w:r>
    </w:p>
    <w:p w14:paraId="3200F76C" w14:textId="7E290A4E" w:rsidR="00547A20" w:rsidRPr="008B0E6C" w:rsidRDefault="00547A20" w:rsidP="00547A20">
      <w:pPr>
        <w:pStyle w:val="Prrafodelista"/>
        <w:numPr>
          <w:ilvl w:val="0"/>
          <w:numId w:val="40"/>
        </w:numPr>
        <w:rPr>
          <w:rFonts w:ascii="Verdana" w:hAnsi="Verdana" w:cs="Arial"/>
        </w:rPr>
      </w:pPr>
      <w:r w:rsidRPr="008B0E6C">
        <w:rPr>
          <w:rFonts w:ascii="Verdana" w:hAnsi="Verdana" w:cs="Arial"/>
        </w:rPr>
        <w:t>Observaciones generales y normativas a los DT del sector de Agua Potable y Saneamiento Básico relacionadas con aclaraciones par</w:t>
      </w:r>
      <w:r w:rsidR="00E0095E" w:rsidRPr="008B0E6C">
        <w:rPr>
          <w:rFonts w:ascii="Verdana" w:hAnsi="Verdana" w:cs="Arial"/>
        </w:rPr>
        <w:t>a</w:t>
      </w:r>
      <w:r w:rsidRPr="008B0E6C">
        <w:rPr>
          <w:rFonts w:ascii="Verdana" w:hAnsi="Verdana" w:cs="Arial"/>
        </w:rPr>
        <w:t xml:space="preserve"> la aplicación de l</w:t>
      </w:r>
      <w:r w:rsidR="00E0095E" w:rsidRPr="008B0E6C">
        <w:rPr>
          <w:rFonts w:ascii="Verdana" w:hAnsi="Verdana" w:cs="Arial"/>
        </w:rPr>
        <w:t>o</w:t>
      </w:r>
      <w:r w:rsidRPr="008B0E6C">
        <w:rPr>
          <w:rFonts w:ascii="Verdana" w:hAnsi="Verdana" w:cs="Arial"/>
        </w:rPr>
        <w:t>s “Formatos, Anexos y matrices” aplicables en cada proceso de selección.</w:t>
      </w:r>
    </w:p>
    <w:p w14:paraId="069BB83E" w14:textId="2D79A215" w:rsidR="00547A20" w:rsidRPr="008B0E6C" w:rsidRDefault="00547A20" w:rsidP="00547A20">
      <w:pPr>
        <w:pStyle w:val="Prrafodelista"/>
        <w:numPr>
          <w:ilvl w:val="0"/>
          <w:numId w:val="39"/>
        </w:numPr>
        <w:rPr>
          <w:rFonts w:ascii="Verdana" w:hAnsi="Verdana" w:cs="Arial"/>
        </w:rPr>
      </w:pPr>
      <w:r w:rsidRPr="008B0E6C">
        <w:rPr>
          <w:rFonts w:ascii="Verdana" w:hAnsi="Verdana" w:cs="Arial"/>
        </w:rPr>
        <w:t xml:space="preserve">Observaciones con relación a la </w:t>
      </w:r>
      <w:r w:rsidR="00EE65FA" w:rsidRPr="008B0E6C">
        <w:rPr>
          <w:rFonts w:ascii="Verdana" w:hAnsi="Verdana" w:cs="Arial"/>
        </w:rPr>
        <w:t xml:space="preserve">aplicación de </w:t>
      </w:r>
      <w:r w:rsidRPr="008B0E6C">
        <w:rPr>
          <w:rFonts w:ascii="Verdana" w:hAnsi="Verdana" w:cs="Arial"/>
        </w:rPr>
        <w:t>la experiencia especifica y general de las actividades a contratar</w:t>
      </w:r>
      <w:r w:rsidR="00EE65FA" w:rsidRPr="008B0E6C">
        <w:rPr>
          <w:rFonts w:ascii="Verdana" w:hAnsi="Verdana" w:cs="Arial"/>
        </w:rPr>
        <w:t>, contenidas en las matrices de experiencia</w:t>
      </w:r>
      <w:r w:rsidRPr="008B0E6C">
        <w:rPr>
          <w:rFonts w:ascii="Verdana" w:hAnsi="Verdana" w:cs="Arial"/>
        </w:rPr>
        <w:t>.</w:t>
      </w:r>
    </w:p>
    <w:p w14:paraId="1EF7CB70" w14:textId="2A11C49A" w:rsidR="00547A20" w:rsidRPr="008B0E6C" w:rsidRDefault="00EE65FA" w:rsidP="00547A20">
      <w:pPr>
        <w:pStyle w:val="Prrafodelista"/>
        <w:numPr>
          <w:ilvl w:val="0"/>
          <w:numId w:val="39"/>
        </w:numPr>
        <w:rPr>
          <w:rFonts w:ascii="Verdana" w:hAnsi="Verdana" w:cs="Arial"/>
        </w:rPr>
      </w:pPr>
      <w:r w:rsidRPr="008B0E6C">
        <w:rPr>
          <w:rFonts w:ascii="Verdana" w:hAnsi="Verdana" w:cs="Arial"/>
        </w:rPr>
        <w:t xml:space="preserve">Observaciones recibidas con respecto a la </w:t>
      </w:r>
      <w:r w:rsidR="00547A20" w:rsidRPr="008B0E6C">
        <w:rPr>
          <w:rFonts w:ascii="Verdana" w:hAnsi="Verdana" w:cs="Arial"/>
        </w:rPr>
        <w:t>Inalterabilidad de los DT</w:t>
      </w:r>
      <w:r w:rsidRPr="008B0E6C">
        <w:rPr>
          <w:rFonts w:ascii="Verdana" w:hAnsi="Verdana" w:cs="Arial"/>
        </w:rPr>
        <w:t>.</w:t>
      </w:r>
    </w:p>
    <w:p w14:paraId="234441E9" w14:textId="77777777" w:rsidR="00547A20" w:rsidRPr="00954F93" w:rsidRDefault="00547A20" w:rsidP="00547A20">
      <w:pPr>
        <w:pStyle w:val="Prrafodelista"/>
        <w:numPr>
          <w:ilvl w:val="0"/>
          <w:numId w:val="39"/>
        </w:numPr>
        <w:rPr>
          <w:rFonts w:ascii="Verdana" w:hAnsi="Verdana" w:cs="Arial"/>
        </w:rPr>
      </w:pPr>
      <w:r w:rsidRPr="00954F93">
        <w:rPr>
          <w:rFonts w:ascii="Verdana" w:hAnsi="Verdana" w:cs="Arial"/>
        </w:rPr>
        <w:t>Observaciones generales y normativas a los DT relacionadas con aclaraciones sobre aspectos de la aplicación de “Acreditación de la experiencia para contratos no incluidos en el RUP” previstas en el numeral 10.1.5. del Documento Base de Interventoría.</w:t>
      </w:r>
    </w:p>
    <w:p w14:paraId="73791877" w14:textId="789F07D6" w:rsidR="00547A20" w:rsidRPr="00954F93" w:rsidRDefault="00547A20" w:rsidP="009D5CCE">
      <w:pPr>
        <w:pStyle w:val="Prrafodelista"/>
        <w:numPr>
          <w:ilvl w:val="0"/>
          <w:numId w:val="39"/>
        </w:numPr>
        <w:rPr>
          <w:rFonts w:ascii="Verdana" w:hAnsi="Verdana" w:cs="Arial"/>
        </w:rPr>
      </w:pPr>
      <w:r w:rsidRPr="008B0E6C">
        <w:rPr>
          <w:rFonts w:ascii="Verdana" w:hAnsi="Verdana" w:cs="Arial"/>
        </w:rPr>
        <w:t xml:space="preserve">Observaciones generales y normativas a los DT relacionadas con aclaraciones sobre aspectos de </w:t>
      </w:r>
      <w:r w:rsidR="00A75901" w:rsidRPr="008B0E6C">
        <w:rPr>
          <w:rFonts w:ascii="Verdana" w:hAnsi="Verdana" w:cs="Arial"/>
        </w:rPr>
        <w:t xml:space="preserve">los </w:t>
      </w:r>
      <w:r w:rsidRPr="008B0E6C">
        <w:rPr>
          <w:rFonts w:ascii="Verdana" w:hAnsi="Verdana" w:cs="Arial"/>
        </w:rPr>
        <w:t>“Factores de calidad</w:t>
      </w:r>
      <w:r w:rsidR="00A75901" w:rsidRPr="008B0E6C">
        <w:rPr>
          <w:rFonts w:ascii="Verdana" w:hAnsi="Verdana" w:cs="Arial"/>
        </w:rPr>
        <w:t>” específicamente para la</w:t>
      </w:r>
      <w:r w:rsidR="00193916" w:rsidRPr="008B0E6C">
        <w:rPr>
          <w:rFonts w:ascii="Verdana" w:hAnsi="Verdana" w:cs="Arial"/>
        </w:rPr>
        <w:t xml:space="preserve"> acreditación de un programa de gerencia de proyectos y sobre la</w:t>
      </w:r>
      <w:r w:rsidRPr="00954F93">
        <w:rPr>
          <w:rFonts w:ascii="Verdana" w:hAnsi="Verdana" w:cs="Arial"/>
        </w:rPr>
        <w:t xml:space="preserve"> solicitud </w:t>
      </w:r>
      <w:r w:rsidR="00193916" w:rsidRPr="008B0E6C">
        <w:rPr>
          <w:rFonts w:ascii="Verdana" w:hAnsi="Verdana" w:cs="Arial"/>
        </w:rPr>
        <w:t>de</w:t>
      </w:r>
      <w:r w:rsidR="00633599" w:rsidRPr="008B0E6C">
        <w:rPr>
          <w:rFonts w:ascii="Verdana" w:hAnsi="Verdana" w:cs="Arial"/>
        </w:rPr>
        <w:t xml:space="preserve"> e</w:t>
      </w:r>
      <w:r w:rsidR="00193916" w:rsidRPr="008B0E6C">
        <w:rPr>
          <w:rFonts w:ascii="Verdana" w:hAnsi="Verdana" w:cs="Arial"/>
        </w:rPr>
        <w:t>l</w:t>
      </w:r>
      <w:r w:rsidR="00633599" w:rsidRPr="008B0E6C">
        <w:rPr>
          <w:rFonts w:ascii="Verdana" w:hAnsi="Verdana" w:cs="Arial"/>
        </w:rPr>
        <w:t>iminar</w:t>
      </w:r>
      <w:r w:rsidR="00193916" w:rsidRPr="008B0E6C">
        <w:rPr>
          <w:rFonts w:ascii="Verdana" w:hAnsi="Verdana" w:cs="Arial"/>
        </w:rPr>
        <w:t xml:space="preserve"> </w:t>
      </w:r>
      <w:r w:rsidR="00633599" w:rsidRPr="008B0E6C">
        <w:rPr>
          <w:rFonts w:ascii="Verdana" w:hAnsi="Verdana" w:cs="Arial"/>
        </w:rPr>
        <w:t xml:space="preserve">el </w:t>
      </w:r>
      <w:r w:rsidRPr="00954F93">
        <w:rPr>
          <w:rFonts w:ascii="Verdana" w:hAnsi="Verdana" w:cs="Arial"/>
        </w:rPr>
        <w:t>perfil profesional con formación en PMP”</w:t>
      </w:r>
      <w:r w:rsidR="00193916" w:rsidRPr="008B0E6C">
        <w:rPr>
          <w:rFonts w:ascii="Verdana" w:hAnsi="Verdana" w:cs="Arial"/>
        </w:rPr>
        <w:t>.</w:t>
      </w:r>
    </w:p>
    <w:p w14:paraId="07AC7D41" w14:textId="77777777" w:rsidR="00547A20" w:rsidRPr="008B0E6C" w:rsidRDefault="00547A20" w:rsidP="00547A20">
      <w:pPr>
        <w:pStyle w:val="Prrafodelista"/>
        <w:rPr>
          <w:rFonts w:ascii="Verdana" w:hAnsi="Verdana" w:cs="Arial"/>
        </w:rPr>
      </w:pPr>
    </w:p>
    <w:p w14:paraId="7F4DC900" w14:textId="77777777" w:rsidR="00547A20" w:rsidRPr="008B0E6C" w:rsidRDefault="00547A20" w:rsidP="00547A20">
      <w:pPr>
        <w:jc w:val="both"/>
        <w:rPr>
          <w:rFonts w:ascii="Verdana" w:hAnsi="Verdana" w:cs="Arial"/>
          <w:sz w:val="22"/>
          <w:szCs w:val="22"/>
        </w:rPr>
      </w:pPr>
      <w:r w:rsidRPr="008B0E6C">
        <w:rPr>
          <w:rFonts w:ascii="Verdana" w:hAnsi="Verdana" w:cs="Arial"/>
          <w:sz w:val="22"/>
          <w:szCs w:val="22"/>
        </w:rPr>
        <w:t xml:space="preserve">Lo anterior, originó la evaluación y análisis de peticiones que tuvieron el potencial de generar modificaciones a los Documentos Tipo y en especial sobre la matriz de experiencia y el glosario.  </w:t>
      </w:r>
    </w:p>
    <w:p w14:paraId="66251383" w14:textId="77777777" w:rsidR="00547A20" w:rsidRPr="008B0E6C" w:rsidRDefault="00547A20" w:rsidP="00547A20">
      <w:pPr>
        <w:jc w:val="both"/>
        <w:rPr>
          <w:rFonts w:ascii="Verdana" w:hAnsi="Verdana" w:cs="Arial"/>
          <w:sz w:val="22"/>
          <w:szCs w:val="22"/>
        </w:rPr>
      </w:pPr>
    </w:p>
    <w:p w14:paraId="376A74DD" w14:textId="05A86710"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En concordancia con lo anterior, se realiza la adición de nuevos capítulos dentro de la matriz de experiencia, los cuales </w:t>
      </w:r>
      <w:r w:rsidR="00D82866" w:rsidRPr="008B0E6C">
        <w:rPr>
          <w:rFonts w:ascii="Verdana" w:eastAsia="Verdana Pro" w:hAnsi="Verdana" w:cs="Verdana Pro"/>
          <w:color w:val="000000" w:themeColor="text1"/>
          <w:sz w:val="22"/>
          <w:szCs w:val="22"/>
          <w:lang w:val="es-419"/>
        </w:rPr>
        <w:t>están</w:t>
      </w:r>
      <w:r w:rsidRPr="008B0E6C">
        <w:rPr>
          <w:rFonts w:ascii="Verdana" w:eastAsia="Verdana Pro" w:hAnsi="Verdana" w:cs="Verdana Pro"/>
          <w:color w:val="000000" w:themeColor="text1"/>
          <w:sz w:val="22"/>
          <w:szCs w:val="22"/>
          <w:lang w:val="es-419"/>
        </w:rPr>
        <w:t xml:space="preserve"> articulados con lo establecido en el Plan Nacional de Desarrollo 2022-2026 “Colombia Potencia Mundial de la Vida”, como se relaciona a continuación:</w:t>
      </w:r>
    </w:p>
    <w:p w14:paraId="0A1207D2" w14:textId="77777777" w:rsidR="00547A20" w:rsidRPr="008B0E6C" w:rsidRDefault="00547A20" w:rsidP="00547A20">
      <w:pPr>
        <w:spacing w:line="276" w:lineRule="auto"/>
        <w:rPr>
          <w:rFonts w:ascii="Verdana" w:eastAsia="Verdana Pro" w:hAnsi="Verdana" w:cs="Verdana Pro"/>
          <w:color w:val="000000" w:themeColor="text1"/>
          <w:sz w:val="22"/>
          <w:szCs w:val="22"/>
          <w:lang w:val="es-419"/>
        </w:rPr>
      </w:pPr>
    </w:p>
    <w:p w14:paraId="70C2CC57" w14:textId="77777777" w:rsidR="00547A20" w:rsidRPr="008B0E6C" w:rsidRDefault="00547A20" w:rsidP="00547A20">
      <w:pPr>
        <w:pStyle w:val="Prrafodelista"/>
        <w:numPr>
          <w:ilvl w:val="0"/>
          <w:numId w:val="103"/>
        </w:numPr>
        <w:spacing w:line="276" w:lineRule="auto"/>
        <w:rPr>
          <w:rFonts w:ascii="Verdana" w:eastAsia="Verdana Pro" w:hAnsi="Verdana" w:cs="Verdana Pro"/>
          <w:color w:val="000000" w:themeColor="text1"/>
          <w:lang w:val="es-419"/>
        </w:rPr>
      </w:pPr>
      <w:r w:rsidRPr="008B0E6C">
        <w:rPr>
          <w:rFonts w:ascii="Verdana" w:eastAsia="Verdana Pro" w:hAnsi="Verdana" w:cs="Verdana Pro"/>
          <w:b/>
          <w:bCs/>
          <w:color w:val="000000" w:themeColor="text1"/>
          <w:lang w:val="es-419"/>
        </w:rPr>
        <w:t xml:space="preserve">Capítulo 7 - </w:t>
      </w:r>
      <w:r w:rsidRPr="008B0E6C">
        <w:rPr>
          <w:rFonts w:ascii="Verdana" w:eastAsia="Verdana Pro" w:hAnsi="Verdana" w:cs="Verdana Pro"/>
          <w:color w:val="000000" w:themeColor="text1"/>
          <w:lang w:val="es-419"/>
        </w:rPr>
        <w:t>Proyectos y/u obras de infraestructura para la atención, prevención o mitigación de emergencias diferentes a contratación directa – articulado con el Plan Nacional de Gestión del Riesgo de Desastres-PNGRD:</w:t>
      </w:r>
    </w:p>
    <w:p w14:paraId="7C2629A0" w14:textId="4A63130E"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En el marco de la actualización del </w:t>
      </w:r>
      <w:r w:rsidR="00730167" w:rsidRPr="008B0E6C">
        <w:rPr>
          <w:rFonts w:ascii="Verdana" w:eastAsia="Verdana Pro" w:hAnsi="Verdana" w:cs="Verdana Pro"/>
          <w:color w:val="000000" w:themeColor="text1"/>
          <w:sz w:val="22"/>
          <w:szCs w:val="22"/>
          <w:lang w:val="es-419"/>
        </w:rPr>
        <w:t xml:space="preserve">Plan nacional de Gestión del Riesgo </w:t>
      </w:r>
      <w:r w:rsidR="00B644A5" w:rsidRPr="008B0E6C">
        <w:rPr>
          <w:rFonts w:ascii="Verdana" w:eastAsia="Verdana Pro" w:hAnsi="Verdana" w:cs="Verdana Pro"/>
          <w:color w:val="000000" w:themeColor="text1"/>
          <w:sz w:val="22"/>
          <w:szCs w:val="22"/>
          <w:lang w:val="es-419"/>
        </w:rPr>
        <w:t xml:space="preserve">de Desastres </w:t>
      </w:r>
      <w:r w:rsidR="001C0193" w:rsidRPr="008B0E6C">
        <w:rPr>
          <w:rFonts w:ascii="Verdana" w:eastAsia="Verdana Pro" w:hAnsi="Verdana" w:cs="Verdana Pro"/>
          <w:color w:val="000000" w:themeColor="text1"/>
          <w:sz w:val="22"/>
          <w:szCs w:val="22"/>
          <w:lang w:val="es-419"/>
        </w:rPr>
        <w:t xml:space="preserve">- </w:t>
      </w:r>
      <w:r w:rsidRPr="008B0E6C">
        <w:rPr>
          <w:rFonts w:ascii="Verdana" w:eastAsia="Verdana Pro" w:hAnsi="Verdana" w:cs="Verdana Pro"/>
          <w:color w:val="000000" w:themeColor="text1"/>
          <w:sz w:val="22"/>
          <w:szCs w:val="22"/>
          <w:lang w:val="es-419"/>
        </w:rPr>
        <w:t xml:space="preserve">PNGRD que se realizó entre 2020 y 2022, adoptado mediante el Decreto 1478 de </w:t>
      </w:r>
      <w:r w:rsidRPr="008B0E6C">
        <w:rPr>
          <w:rFonts w:ascii="Verdana" w:eastAsia="Verdana Pro" w:hAnsi="Verdana" w:cs="Verdana Pro"/>
          <w:color w:val="000000" w:themeColor="text1"/>
          <w:sz w:val="22"/>
          <w:szCs w:val="22"/>
          <w:lang w:val="es-419"/>
        </w:rPr>
        <w:lastRenderedPageBreak/>
        <w:t>2022</w:t>
      </w:r>
      <w:r w:rsidR="001C0193" w:rsidRPr="008B0E6C">
        <w:rPr>
          <w:rFonts w:ascii="Verdana" w:eastAsia="Verdana Pro" w:hAnsi="Verdana" w:cs="Verdana Pro"/>
          <w:color w:val="000000" w:themeColor="text1"/>
          <w:sz w:val="22"/>
          <w:szCs w:val="22"/>
          <w:lang w:val="es-419"/>
        </w:rPr>
        <w:t>,</w:t>
      </w:r>
      <w:r w:rsidRPr="008B0E6C">
        <w:rPr>
          <w:rFonts w:ascii="Verdana" w:eastAsia="Verdana Pro" w:hAnsi="Verdana" w:cs="Verdana Pro"/>
          <w:color w:val="000000" w:themeColor="text1"/>
          <w:sz w:val="22"/>
          <w:szCs w:val="22"/>
          <w:lang w:val="es-419"/>
        </w:rPr>
        <w:t xml:space="preserve"> el Departamento Nacional de Planeación</w:t>
      </w:r>
      <w:r w:rsidR="001C0193" w:rsidRPr="008B0E6C">
        <w:rPr>
          <w:rFonts w:ascii="Verdana" w:eastAsia="Verdana Pro" w:hAnsi="Verdana" w:cs="Verdana Pro"/>
          <w:color w:val="000000" w:themeColor="text1"/>
          <w:sz w:val="22"/>
          <w:szCs w:val="22"/>
          <w:lang w:val="es-419"/>
        </w:rPr>
        <w:t>, La Agencia Nacional de Contratación Pública -</w:t>
      </w:r>
      <w:r w:rsidRPr="008B0E6C">
        <w:rPr>
          <w:rFonts w:ascii="Verdana" w:eastAsia="Verdana Pro" w:hAnsi="Verdana" w:cs="Verdana Pro"/>
          <w:color w:val="000000" w:themeColor="text1"/>
          <w:sz w:val="22"/>
          <w:szCs w:val="22"/>
          <w:lang w:val="es-419"/>
        </w:rPr>
        <w:t xml:space="preserve"> Colombia Compra Eficiente y </w:t>
      </w:r>
      <w:r w:rsidR="001C0193" w:rsidRPr="008B0E6C">
        <w:rPr>
          <w:rFonts w:ascii="Verdana" w:eastAsia="Verdana Pro" w:hAnsi="Verdana" w:cs="Verdana Pro"/>
          <w:color w:val="000000" w:themeColor="text1"/>
          <w:sz w:val="22"/>
          <w:szCs w:val="22"/>
          <w:lang w:val="es-419"/>
        </w:rPr>
        <w:t>l</w:t>
      </w:r>
      <w:r w:rsidRPr="008B0E6C">
        <w:rPr>
          <w:rFonts w:ascii="Verdana" w:eastAsia="Verdana Pro" w:hAnsi="Verdana" w:cs="Verdana Pro"/>
          <w:color w:val="000000" w:themeColor="text1"/>
          <w:sz w:val="22"/>
          <w:szCs w:val="22"/>
          <w:lang w:val="es-419"/>
        </w:rPr>
        <w:t>a Superintendencia de Servicios Públicos Domiciliarios</w:t>
      </w:r>
      <w:r w:rsidR="001C0193" w:rsidRPr="008B0E6C">
        <w:rPr>
          <w:rFonts w:ascii="Verdana" w:eastAsia="Verdana Pro" w:hAnsi="Verdana" w:cs="Verdana Pro"/>
          <w:color w:val="000000" w:themeColor="text1"/>
          <w:sz w:val="22"/>
          <w:szCs w:val="22"/>
          <w:lang w:val="es-419"/>
        </w:rPr>
        <w:t>, en donde</w:t>
      </w:r>
      <w:r w:rsidRPr="008B0E6C">
        <w:rPr>
          <w:rFonts w:ascii="Verdana" w:eastAsia="Verdana Pro" w:hAnsi="Verdana" w:cs="Verdana Pro"/>
          <w:color w:val="000000" w:themeColor="text1"/>
          <w:sz w:val="22"/>
          <w:szCs w:val="22"/>
          <w:lang w:val="es-419"/>
        </w:rPr>
        <w:t xml:space="preserve"> acordaron desarrollar como proyectos:</w:t>
      </w:r>
    </w:p>
    <w:p w14:paraId="5F17E146"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w:t>
      </w:r>
    </w:p>
    <w:p w14:paraId="322A27E7" w14:textId="77777777" w:rsidR="00547A20" w:rsidRPr="008B0E6C" w:rsidRDefault="00547A20" w:rsidP="00547A20">
      <w:pPr>
        <w:pStyle w:val="Prrafodelista"/>
        <w:numPr>
          <w:ilvl w:val="0"/>
          <w:numId w:val="102"/>
        </w:numPr>
        <w:spacing w:after="0" w:line="276" w:lineRule="auto"/>
        <w:rPr>
          <w:rFonts w:ascii="Verdana" w:eastAsia="Verdana Pro" w:hAnsi="Verdana" w:cs="Verdana Pro"/>
          <w:color w:val="000000" w:themeColor="text1"/>
          <w:lang w:val="es-419"/>
        </w:rPr>
      </w:pPr>
      <w:r w:rsidRPr="008B0E6C">
        <w:rPr>
          <w:rFonts w:ascii="Verdana" w:eastAsia="Verdana Pro" w:hAnsi="Verdana" w:cs="Verdana Pro"/>
          <w:b/>
          <w:bCs/>
          <w:color w:val="000000" w:themeColor="text1"/>
          <w:lang w:val="es-419"/>
        </w:rPr>
        <w:t>Proyecto 3.2.1:</w:t>
      </w:r>
      <w:r w:rsidRPr="008B0E6C">
        <w:rPr>
          <w:rFonts w:ascii="Verdana" w:eastAsia="Verdana Pro" w:hAnsi="Verdana" w:cs="Verdana Pro"/>
          <w:color w:val="000000" w:themeColor="text1"/>
          <w:lang w:val="es-419"/>
        </w:rPr>
        <w:t xml:space="preserve"> Socialización de la “Caja de Herramientas para Orientar la Incorporación del Análisis del Riesgo de Desastres y la Adaptación al Cambio Climático en los Proyectos de Inversión Pública”, </w:t>
      </w:r>
      <w:r w:rsidRPr="008B0E6C">
        <w:rPr>
          <w:rFonts w:ascii="Verdana" w:eastAsia="Verdana Pro" w:hAnsi="Verdana" w:cs="Verdana Pro"/>
          <w:color w:val="000000" w:themeColor="text1"/>
          <w:u w:val="single"/>
          <w:lang w:val="es-419"/>
        </w:rPr>
        <w:t>a cargo del Departamento Nacional de Planeación</w:t>
      </w:r>
      <w:r w:rsidRPr="008B0E6C">
        <w:rPr>
          <w:rFonts w:ascii="Verdana" w:eastAsia="Verdana Pro" w:hAnsi="Verdana" w:cs="Verdana Pro"/>
          <w:color w:val="000000" w:themeColor="text1"/>
          <w:lang w:val="es-419"/>
        </w:rPr>
        <w:t>.</w:t>
      </w:r>
    </w:p>
    <w:p w14:paraId="16498ADC" w14:textId="77777777" w:rsidR="00547A20" w:rsidRPr="008B0E6C" w:rsidRDefault="00547A20" w:rsidP="00547A20">
      <w:pPr>
        <w:pStyle w:val="Prrafodelista"/>
        <w:numPr>
          <w:ilvl w:val="0"/>
          <w:numId w:val="102"/>
        </w:numPr>
        <w:spacing w:after="0" w:line="276" w:lineRule="auto"/>
        <w:rPr>
          <w:rFonts w:ascii="Verdana" w:eastAsia="Verdana Pro" w:hAnsi="Verdana" w:cs="Verdana Pro"/>
          <w:color w:val="000000" w:themeColor="text1"/>
          <w:lang w:val="es-419"/>
        </w:rPr>
      </w:pPr>
      <w:r w:rsidRPr="008B0E6C">
        <w:rPr>
          <w:rFonts w:ascii="Verdana" w:eastAsia="Verdana Pro" w:hAnsi="Verdana" w:cs="Verdana Pro"/>
          <w:b/>
          <w:bCs/>
          <w:color w:val="000000" w:themeColor="text1"/>
          <w:lang w:val="es-419"/>
        </w:rPr>
        <w:t>Proyecto 3.3.2:</w:t>
      </w:r>
      <w:r w:rsidRPr="008B0E6C">
        <w:rPr>
          <w:rFonts w:ascii="Verdana" w:eastAsia="Verdana Pro" w:hAnsi="Verdana" w:cs="Verdana Pro"/>
          <w:color w:val="000000" w:themeColor="text1"/>
          <w:lang w:val="es-419"/>
        </w:rPr>
        <w:t xml:space="preserve"> Difusión de la “Caja de Herramientas para Orienta la Incorporación del Análisis de Riesgo de Desastres y la Adaptación al Cambio Climático en los Proyectos de Inversión Pública”, </w:t>
      </w:r>
      <w:r w:rsidRPr="008B0E6C">
        <w:rPr>
          <w:rFonts w:ascii="Verdana" w:eastAsia="Verdana Pro" w:hAnsi="Verdana" w:cs="Verdana Pro"/>
          <w:color w:val="000000" w:themeColor="text1"/>
          <w:u w:val="single"/>
          <w:lang w:val="es-419"/>
        </w:rPr>
        <w:t>a cargo de Colombia Compra Eficiente</w:t>
      </w:r>
      <w:r w:rsidRPr="008B0E6C">
        <w:rPr>
          <w:rFonts w:ascii="Verdana" w:eastAsia="Verdana Pro" w:hAnsi="Verdana" w:cs="Verdana Pro"/>
          <w:color w:val="000000" w:themeColor="text1"/>
          <w:lang w:val="es-419"/>
        </w:rPr>
        <w:t>.</w:t>
      </w:r>
    </w:p>
    <w:p w14:paraId="1E60C768" w14:textId="77777777" w:rsidR="00547A20" w:rsidRPr="008B0E6C" w:rsidRDefault="00547A20" w:rsidP="00547A20">
      <w:pPr>
        <w:pStyle w:val="Prrafodelista"/>
        <w:numPr>
          <w:ilvl w:val="0"/>
          <w:numId w:val="102"/>
        </w:numPr>
        <w:spacing w:after="0" w:line="276" w:lineRule="auto"/>
        <w:rPr>
          <w:rFonts w:ascii="Verdana" w:eastAsia="Verdana Pro" w:hAnsi="Verdana" w:cs="Verdana Pro"/>
          <w:color w:val="000000" w:themeColor="text1"/>
          <w:lang w:val="es-419"/>
        </w:rPr>
      </w:pPr>
      <w:r w:rsidRPr="008B0E6C">
        <w:rPr>
          <w:rFonts w:ascii="Verdana" w:eastAsia="Verdana Pro" w:hAnsi="Verdana" w:cs="Verdana Pro"/>
          <w:b/>
          <w:bCs/>
          <w:color w:val="000000" w:themeColor="text1"/>
          <w:lang w:val="es-419"/>
        </w:rPr>
        <w:t>Proyecto 5.5.3:</w:t>
      </w:r>
      <w:r w:rsidRPr="008B0E6C">
        <w:rPr>
          <w:rFonts w:ascii="Verdana" w:eastAsia="Verdana Pro" w:hAnsi="Verdana" w:cs="Verdana Pro"/>
          <w:color w:val="000000" w:themeColor="text1"/>
          <w:lang w:val="es-419"/>
        </w:rPr>
        <w:t xml:space="preserve"> Conformación de la mesa técnica sectorial informativa para la articulación y socialización de temas relacionados con gestión del riesgo de desastres en el sector planeación, </w:t>
      </w:r>
      <w:r w:rsidRPr="008B0E6C">
        <w:rPr>
          <w:rFonts w:ascii="Verdana" w:eastAsia="Verdana Pro" w:hAnsi="Verdana" w:cs="Verdana Pro"/>
          <w:color w:val="000000" w:themeColor="text1"/>
          <w:u w:val="single"/>
          <w:lang w:val="es-419"/>
        </w:rPr>
        <w:t>a cargo del Departamento Nacional de Planeación</w:t>
      </w:r>
      <w:r w:rsidRPr="008B0E6C">
        <w:rPr>
          <w:rFonts w:ascii="Verdana" w:eastAsia="Verdana Pro" w:hAnsi="Verdana" w:cs="Verdana Pro"/>
          <w:color w:val="000000" w:themeColor="text1"/>
          <w:lang w:val="es-419"/>
        </w:rPr>
        <w:t>.</w:t>
      </w:r>
    </w:p>
    <w:p w14:paraId="01CE9E14" w14:textId="77777777" w:rsidR="00547A20" w:rsidRPr="008B0E6C" w:rsidRDefault="00547A20" w:rsidP="00547A20">
      <w:pPr>
        <w:spacing w:line="276" w:lineRule="auto"/>
        <w:jc w:val="both"/>
        <w:rPr>
          <w:rFonts w:ascii="Verdana" w:eastAsia="Verdana Pro" w:hAnsi="Verdana" w:cs="Verdana Pro"/>
          <w:color w:val="000000" w:themeColor="text1"/>
          <w:sz w:val="22"/>
          <w:szCs w:val="22"/>
          <w:lang w:val="es-419"/>
        </w:rPr>
      </w:pPr>
    </w:p>
    <w:p w14:paraId="6E9308B4" w14:textId="77777777" w:rsidR="00547A20" w:rsidRPr="008B0E6C" w:rsidRDefault="00547A20" w:rsidP="00547A20">
      <w:pPr>
        <w:spacing w:line="276" w:lineRule="auto"/>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Dada la necesidad de la actualización del PNGRD, estos serían los temas para revisar por parte de Colombia Compra Eficiente en aras de identificar la posibilidad de incluirlos como proyectos en el plan:</w:t>
      </w:r>
    </w:p>
    <w:p w14:paraId="19C1DE60"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w:t>
      </w:r>
    </w:p>
    <w:p w14:paraId="3D7CD261"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"Pliego tipo de contratación para los estudios de riesgo de desastres que inciden en el ordenamiento territorial, para atender las necesidades de los territorios y a los mínimos técnicos”.</w:t>
      </w:r>
    </w:p>
    <w:p w14:paraId="789FB458"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p>
    <w:p w14:paraId="21D67D65" w14:textId="605093D4"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En esta medida desde el Departamento Nacional de Planeación</w:t>
      </w:r>
      <w:r w:rsidR="004C1F05" w:rsidRPr="008B0E6C">
        <w:rPr>
          <w:rFonts w:ascii="Verdana" w:eastAsia="Verdana Pro" w:hAnsi="Verdana" w:cs="Verdana Pro"/>
          <w:color w:val="000000" w:themeColor="text1"/>
          <w:sz w:val="22"/>
          <w:szCs w:val="22"/>
          <w:lang w:val="es-419"/>
        </w:rPr>
        <w:t>, se</w:t>
      </w:r>
      <w:r w:rsidRPr="008B0E6C">
        <w:rPr>
          <w:rFonts w:ascii="Verdana" w:eastAsia="Verdana Pro" w:hAnsi="Verdana" w:cs="Verdana Pro"/>
          <w:color w:val="000000" w:themeColor="text1"/>
          <w:sz w:val="22"/>
          <w:szCs w:val="22"/>
          <w:lang w:val="es-419"/>
        </w:rPr>
        <w:t xml:space="preserve"> </w:t>
      </w:r>
      <w:proofErr w:type="spellStart"/>
      <w:r w:rsidRPr="008B0E6C">
        <w:rPr>
          <w:rFonts w:ascii="Verdana" w:eastAsia="Verdana Pro" w:hAnsi="Verdana" w:cs="Verdana Pro"/>
          <w:color w:val="000000" w:themeColor="text1"/>
          <w:sz w:val="22"/>
          <w:szCs w:val="22"/>
          <w:lang w:val="es-419"/>
        </w:rPr>
        <w:t>solicta</w:t>
      </w:r>
      <w:proofErr w:type="spellEnd"/>
      <w:r w:rsidRPr="008B0E6C">
        <w:rPr>
          <w:rFonts w:ascii="Verdana" w:eastAsia="Verdana Pro" w:hAnsi="Verdana" w:cs="Verdana Pro"/>
          <w:color w:val="000000" w:themeColor="text1"/>
          <w:sz w:val="22"/>
          <w:szCs w:val="22"/>
          <w:lang w:val="es-419"/>
        </w:rPr>
        <w:t xml:space="preserve"> que Colombia Compra Eficiente revise la pertinencia de incorporar alguno de estos as</w:t>
      </w:r>
      <w:r w:rsidR="004C1F05" w:rsidRPr="008B0E6C">
        <w:rPr>
          <w:rFonts w:ascii="Verdana" w:eastAsia="Verdana Pro" w:hAnsi="Verdana" w:cs="Verdana Pro"/>
          <w:color w:val="000000" w:themeColor="text1"/>
          <w:sz w:val="22"/>
          <w:szCs w:val="22"/>
          <w:lang w:val="es-419"/>
        </w:rPr>
        <w:t>p</w:t>
      </w:r>
      <w:r w:rsidRPr="008B0E6C">
        <w:rPr>
          <w:rFonts w:ascii="Verdana" w:eastAsia="Verdana Pro" w:hAnsi="Verdana" w:cs="Verdana Pro"/>
          <w:color w:val="000000" w:themeColor="text1"/>
          <w:sz w:val="22"/>
          <w:szCs w:val="22"/>
          <w:lang w:val="es-419"/>
        </w:rPr>
        <w:t>ectos.</w:t>
      </w:r>
    </w:p>
    <w:p w14:paraId="3C95550C"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w:t>
      </w:r>
    </w:p>
    <w:p w14:paraId="47EC8088" w14:textId="24262E0C"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El Plan Nacional de Gestión del Riesgo de Desastres “Una estrategia de Desarrollo 2015-2030” (PNGRD), es la carta de navegación del país para que sectores y territorios implementen acciones en torno al conocimiento, la reducción del riesgo el manejo de desastres y la gobernanza frente al </w:t>
      </w:r>
      <w:r w:rsidR="003A08A3" w:rsidRPr="008B0E6C">
        <w:rPr>
          <w:rFonts w:ascii="Verdana" w:eastAsia="Verdana Pro" w:hAnsi="Verdana" w:cs="Verdana Pro"/>
          <w:color w:val="000000" w:themeColor="text1"/>
          <w:sz w:val="22"/>
          <w:szCs w:val="22"/>
          <w:lang w:val="es-419"/>
        </w:rPr>
        <w:t>mismo</w:t>
      </w:r>
      <w:r w:rsidRPr="008B0E6C">
        <w:rPr>
          <w:rFonts w:ascii="Verdana" w:eastAsia="Verdana Pro" w:hAnsi="Verdana" w:cs="Verdana Pro"/>
          <w:color w:val="000000" w:themeColor="text1"/>
          <w:sz w:val="22"/>
          <w:szCs w:val="22"/>
          <w:lang w:val="es-419"/>
        </w:rPr>
        <w:t>.</w:t>
      </w:r>
    </w:p>
    <w:p w14:paraId="570BACB5"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w:t>
      </w:r>
    </w:p>
    <w:p w14:paraId="75ED8AA5"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lastRenderedPageBreak/>
        <w:t>El PNGRD fue adoptado mediante Decreto Presidencial 308 de 2016, luego de un proceso de formulación realizado en el marco del Decreto 1081 de 2015 (Capítulo 2 Procedimiento para la Expedición y actualización del Plan Nacional de Gestión del Riesgo) y actualizado mediante el Decreto Presidencial 1478 del 03 de agosto de 2022.</w:t>
      </w:r>
    </w:p>
    <w:p w14:paraId="52BE306B"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 </w:t>
      </w:r>
    </w:p>
    <w:p w14:paraId="6554485E" w14:textId="3A4376E9"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De acuerdo con el marco </w:t>
      </w:r>
      <w:r w:rsidR="008B0E6C" w:rsidRPr="008B0E6C">
        <w:rPr>
          <w:rFonts w:ascii="Verdana" w:eastAsia="Verdana Pro" w:hAnsi="Verdana" w:cs="Verdana Pro"/>
          <w:color w:val="000000" w:themeColor="text1"/>
          <w:sz w:val="22"/>
          <w:szCs w:val="22"/>
          <w:lang w:val="es-419"/>
        </w:rPr>
        <w:t>normativo</w:t>
      </w:r>
      <w:r w:rsidRPr="008B0E6C">
        <w:rPr>
          <w:rFonts w:ascii="Verdana" w:eastAsia="Verdana Pro" w:hAnsi="Verdana" w:cs="Verdana Pro"/>
          <w:color w:val="000000" w:themeColor="text1"/>
          <w:sz w:val="22"/>
          <w:szCs w:val="22"/>
          <w:lang w:val="es-419"/>
        </w:rPr>
        <w:t xml:space="preserve"> </w:t>
      </w:r>
      <w:r w:rsidR="00640BD4" w:rsidRPr="008B0E6C">
        <w:rPr>
          <w:rFonts w:ascii="Verdana" w:eastAsia="Verdana Pro" w:hAnsi="Verdana" w:cs="Verdana Pro"/>
          <w:color w:val="000000" w:themeColor="text1"/>
          <w:sz w:val="22"/>
          <w:szCs w:val="22"/>
          <w:lang w:val="es-419"/>
        </w:rPr>
        <w:t>precedente</w:t>
      </w:r>
      <w:r w:rsidRPr="008B0E6C">
        <w:rPr>
          <w:rFonts w:ascii="Verdana" w:eastAsia="Verdana Pro" w:hAnsi="Verdana" w:cs="Verdana Pro"/>
          <w:color w:val="000000" w:themeColor="text1"/>
          <w:sz w:val="22"/>
          <w:szCs w:val="22"/>
          <w:lang w:val="es-419"/>
        </w:rPr>
        <w:t>, para la pres</w:t>
      </w:r>
      <w:r w:rsidR="008D4A11" w:rsidRPr="008B0E6C">
        <w:rPr>
          <w:rFonts w:ascii="Verdana" w:eastAsia="Verdana Pro" w:hAnsi="Verdana" w:cs="Verdana Pro"/>
          <w:color w:val="000000" w:themeColor="text1"/>
          <w:sz w:val="22"/>
          <w:szCs w:val="22"/>
          <w:lang w:val="es-419"/>
        </w:rPr>
        <w:t>e</w:t>
      </w:r>
      <w:r w:rsidRPr="008B0E6C">
        <w:rPr>
          <w:rFonts w:ascii="Verdana" w:eastAsia="Verdana Pro" w:hAnsi="Verdana" w:cs="Verdana Pro"/>
          <w:color w:val="000000" w:themeColor="text1"/>
          <w:sz w:val="22"/>
          <w:szCs w:val="22"/>
          <w:lang w:val="es-419"/>
        </w:rPr>
        <w:t xml:space="preserve">nte modificación </w:t>
      </w:r>
      <w:r w:rsidR="008D4A11" w:rsidRPr="008B0E6C">
        <w:rPr>
          <w:rFonts w:ascii="Verdana" w:eastAsia="Verdana Pro" w:hAnsi="Verdana" w:cs="Verdana Pro"/>
          <w:color w:val="000000" w:themeColor="text1"/>
          <w:sz w:val="22"/>
          <w:szCs w:val="22"/>
          <w:lang w:val="es-419"/>
        </w:rPr>
        <w:t xml:space="preserve">para </w:t>
      </w:r>
      <w:r w:rsidRPr="008B0E6C">
        <w:rPr>
          <w:rFonts w:ascii="Verdana" w:eastAsia="Verdana Pro" w:hAnsi="Verdana" w:cs="Verdana Pro"/>
          <w:color w:val="000000" w:themeColor="text1"/>
          <w:sz w:val="22"/>
          <w:szCs w:val="22"/>
          <w:lang w:val="es-419"/>
        </w:rPr>
        <w:t>el sector de Agua Potable y Saneamiento Básico, se incorpora</w:t>
      </w:r>
      <w:r w:rsidR="00640BD4" w:rsidRPr="008B0E6C">
        <w:rPr>
          <w:rFonts w:ascii="Verdana" w:eastAsia="Verdana Pro" w:hAnsi="Verdana" w:cs="Verdana Pro"/>
          <w:color w:val="000000" w:themeColor="text1"/>
          <w:sz w:val="22"/>
          <w:szCs w:val="22"/>
          <w:lang w:val="es-419"/>
        </w:rPr>
        <w:t xml:space="preserve"> el </w:t>
      </w:r>
      <w:proofErr w:type="spellStart"/>
      <w:r w:rsidR="00640BD4" w:rsidRPr="008B0E6C">
        <w:rPr>
          <w:rFonts w:ascii="Verdana" w:eastAsia="Verdana Pro" w:hAnsi="Verdana" w:cs="Verdana Pro"/>
          <w:color w:val="000000" w:themeColor="text1"/>
          <w:sz w:val="22"/>
          <w:szCs w:val="22"/>
          <w:lang w:val="es-419"/>
        </w:rPr>
        <w:t>capitulo</w:t>
      </w:r>
      <w:proofErr w:type="spellEnd"/>
      <w:r w:rsidR="00640BD4" w:rsidRPr="008B0E6C">
        <w:rPr>
          <w:rFonts w:ascii="Verdana" w:eastAsia="Verdana Pro" w:hAnsi="Verdana" w:cs="Verdana Pro"/>
          <w:color w:val="000000" w:themeColor="text1"/>
          <w:sz w:val="22"/>
          <w:szCs w:val="22"/>
          <w:lang w:val="es-419"/>
        </w:rPr>
        <w:t xml:space="preserve"> </w:t>
      </w:r>
      <w:r w:rsidR="005851A3" w:rsidRPr="008B0E6C">
        <w:rPr>
          <w:rFonts w:ascii="Verdana" w:eastAsia="Verdana Pro" w:hAnsi="Verdana" w:cs="Verdana Pro"/>
          <w:color w:val="000000" w:themeColor="text1"/>
          <w:sz w:val="22"/>
          <w:szCs w:val="22"/>
          <w:lang w:val="es-419"/>
        </w:rPr>
        <w:t>7.  PROYECTOS Y/U OBRAS DE INFRAESTRUCTURA PARA LA ATENCIÓN, PREVENCIÓN O MITIGACIÓN DE EMERGENCIAS DIFERENTES A CONTRATACIÓN DIRECTA EN PROYECTOS ASOCIADOS A OBRAS DE INFRAESTRUCTURA DE AGUA POTABLE Y SANEAMIENTO BASICO</w:t>
      </w:r>
      <w:r w:rsidR="007A4F77" w:rsidRPr="008B0E6C">
        <w:rPr>
          <w:rFonts w:ascii="Verdana" w:eastAsia="Verdana Pro" w:hAnsi="Verdana" w:cs="Verdana Pro"/>
          <w:color w:val="000000" w:themeColor="text1"/>
          <w:sz w:val="22"/>
          <w:szCs w:val="22"/>
          <w:lang w:val="es-419"/>
        </w:rPr>
        <w:t>, en donde a su vez se incluyen</w:t>
      </w:r>
      <w:r w:rsidRPr="008B0E6C">
        <w:rPr>
          <w:rFonts w:ascii="Verdana" w:eastAsia="Verdana Pro" w:hAnsi="Verdana" w:cs="Verdana Pro"/>
          <w:color w:val="000000" w:themeColor="text1"/>
          <w:sz w:val="22"/>
          <w:szCs w:val="22"/>
          <w:lang w:val="es-419"/>
        </w:rPr>
        <w:t xml:space="preserve"> las siguientes activi</w:t>
      </w:r>
      <w:r w:rsidR="00640BD4" w:rsidRPr="008B0E6C">
        <w:rPr>
          <w:rFonts w:ascii="Verdana" w:eastAsia="Verdana Pro" w:hAnsi="Verdana" w:cs="Verdana Pro"/>
          <w:color w:val="000000" w:themeColor="text1"/>
          <w:sz w:val="22"/>
          <w:szCs w:val="22"/>
          <w:lang w:val="es-419"/>
        </w:rPr>
        <w:t>d</w:t>
      </w:r>
      <w:r w:rsidRPr="008B0E6C">
        <w:rPr>
          <w:rFonts w:ascii="Verdana" w:eastAsia="Verdana Pro" w:hAnsi="Verdana" w:cs="Verdana Pro"/>
          <w:color w:val="000000" w:themeColor="text1"/>
          <w:sz w:val="22"/>
          <w:szCs w:val="22"/>
          <w:lang w:val="es-419"/>
        </w:rPr>
        <w:t>ades en la matriz de experiencia:</w:t>
      </w:r>
    </w:p>
    <w:p w14:paraId="6D6933A2"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p>
    <w:p w14:paraId="77EEC6DC"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r w:rsidRPr="008B0E6C">
        <w:rPr>
          <w:rFonts w:ascii="Verdana" w:eastAsia="Verdana Pro" w:hAnsi="Verdana" w:cs="Verdana Pro"/>
          <w:color w:val="000000" w:themeColor="text1"/>
          <w:sz w:val="22"/>
          <w:szCs w:val="22"/>
          <w:lang w:eastAsia="es-CO"/>
        </w:rPr>
        <w:t>7.1. Proyectos de atención y/o prevención y/o mitigación de obras de emergencias por eventos y/o fenómenos de origen natural y/u origen socio natural y/u origen biosanitario y/u origen humano no intencional y/o por eventos climáticos y/o atmosféricos y/o hidrológicos y/o tecnológico y/o sísmicos y/o por fallas estructurales y/o técnicas y/o fugas de gases y/o incendios y/o explosión.</w:t>
      </w:r>
    </w:p>
    <w:p w14:paraId="1E4FCD40"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p>
    <w:p w14:paraId="7681D64E"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r w:rsidRPr="008B0E6C">
        <w:rPr>
          <w:rFonts w:ascii="Verdana" w:eastAsia="Verdana Pro" w:hAnsi="Verdana" w:cs="Verdana Pro"/>
          <w:color w:val="000000" w:themeColor="text1"/>
          <w:sz w:val="22"/>
          <w:szCs w:val="22"/>
          <w:lang w:eastAsia="es-CO"/>
        </w:rPr>
        <w:t>7.2. Proyectos de atención, prevención y/o mitigación de emergencias mediante obras de estabilización de taludes y/o recuperación de banca.</w:t>
      </w:r>
    </w:p>
    <w:p w14:paraId="6E07682B"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p>
    <w:p w14:paraId="2D3420CD"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r w:rsidRPr="008B0E6C">
        <w:rPr>
          <w:rFonts w:ascii="Verdana" w:eastAsia="Verdana Pro" w:hAnsi="Verdana" w:cs="Verdana Pro"/>
          <w:color w:val="000000" w:themeColor="text1"/>
          <w:sz w:val="22"/>
          <w:szCs w:val="22"/>
          <w:lang w:eastAsia="es-CO"/>
        </w:rPr>
        <w:t>7.3. Proyectos de atención, prevención y/o mitigación de emergencias mediante obras de remoción de derrumbes y/o movimientos en masa.</w:t>
      </w:r>
    </w:p>
    <w:p w14:paraId="43DB1098"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p>
    <w:p w14:paraId="461872EE"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lang w:eastAsia="es-CO"/>
        </w:rPr>
      </w:pPr>
      <w:r w:rsidRPr="008B0E6C">
        <w:rPr>
          <w:rFonts w:ascii="Verdana" w:eastAsia="Verdana Pro" w:hAnsi="Verdana" w:cs="Verdana Pro"/>
          <w:color w:val="000000" w:themeColor="text1"/>
          <w:sz w:val="22"/>
          <w:szCs w:val="22"/>
          <w:lang w:eastAsia="es-CO"/>
        </w:rPr>
        <w:t>7.4. Proyectos de atención y/o prevención y/o mitigación de emergencias por inundaciones, y/o heladas y/o vendavales y/o sequias y/o desbordamientos y/o avenidas torrenciales.</w:t>
      </w:r>
    </w:p>
    <w:p w14:paraId="32FDFAE4" w14:textId="77777777" w:rsidR="00547A20" w:rsidRPr="00611315" w:rsidRDefault="00547A20" w:rsidP="00547A20">
      <w:pPr>
        <w:tabs>
          <w:tab w:val="left" w:pos="7937"/>
        </w:tabs>
        <w:spacing w:line="276" w:lineRule="auto"/>
        <w:ind w:right="140"/>
        <w:jc w:val="both"/>
        <w:rPr>
          <w:rFonts w:ascii="Verdana" w:eastAsia="Verdana Pro" w:hAnsi="Verdana" w:cs="Verdana Pro"/>
          <w:color w:val="000000" w:themeColor="text1"/>
          <w:sz w:val="22"/>
          <w:szCs w:val="22"/>
          <w:highlight w:val="yellow"/>
          <w:lang w:val="es-419"/>
        </w:rPr>
      </w:pPr>
    </w:p>
    <w:p w14:paraId="548EBBEB" w14:textId="2EE7F3D1" w:rsidR="00547A20" w:rsidRPr="00611315" w:rsidRDefault="008B0E6C" w:rsidP="00547A20">
      <w:pPr>
        <w:pStyle w:val="Prrafodelista"/>
        <w:numPr>
          <w:ilvl w:val="0"/>
          <w:numId w:val="103"/>
        </w:numPr>
        <w:spacing w:line="276" w:lineRule="auto"/>
        <w:rPr>
          <w:rFonts w:ascii="Verdana" w:eastAsia="Verdana Pro" w:hAnsi="Verdana" w:cs="Verdana Pro"/>
          <w:color w:val="000000" w:themeColor="text1"/>
          <w:lang w:val="es-419"/>
        </w:rPr>
      </w:pPr>
      <w:r w:rsidRPr="00611315">
        <w:rPr>
          <w:rFonts w:ascii="Verdana" w:eastAsia="Verdana Pro" w:hAnsi="Verdana" w:cs="Verdana Pro"/>
          <w:b/>
          <w:bCs/>
          <w:color w:val="000000" w:themeColor="text1"/>
          <w:lang w:val="es-419"/>
        </w:rPr>
        <w:t>Capítulo</w:t>
      </w:r>
      <w:r w:rsidR="00547A20" w:rsidRPr="00611315">
        <w:rPr>
          <w:rFonts w:ascii="Verdana" w:eastAsia="Verdana Pro" w:hAnsi="Verdana" w:cs="Verdana Pro"/>
          <w:b/>
          <w:bCs/>
          <w:color w:val="000000" w:themeColor="text1"/>
          <w:lang w:val="es-419"/>
        </w:rPr>
        <w:t xml:space="preserve"> 9 - </w:t>
      </w:r>
      <w:r w:rsidR="00547A20" w:rsidRPr="00611315">
        <w:rPr>
          <w:rFonts w:ascii="Verdana" w:eastAsia="Verdana Pro" w:hAnsi="Verdana" w:cs="Verdana Pro"/>
          <w:color w:val="000000" w:themeColor="text1"/>
          <w:lang w:val="es-419"/>
        </w:rPr>
        <w:t xml:space="preserve">Proyectos y/u obras de infraestructura para estructuras </w:t>
      </w:r>
      <w:r w:rsidRPr="00611315">
        <w:rPr>
          <w:rFonts w:ascii="Verdana" w:eastAsia="Verdana Pro" w:hAnsi="Verdana" w:cs="Verdana Pro"/>
          <w:color w:val="000000" w:themeColor="text1"/>
          <w:lang w:val="es-419"/>
        </w:rPr>
        <w:t>hidráulicas</w:t>
      </w:r>
      <w:r w:rsidR="00547A20" w:rsidRPr="00611315">
        <w:rPr>
          <w:rFonts w:ascii="Verdana" w:eastAsia="Verdana Pro" w:hAnsi="Verdana" w:cs="Verdana Pro"/>
          <w:color w:val="000000" w:themeColor="text1"/>
          <w:lang w:val="es-419"/>
        </w:rPr>
        <w:t xml:space="preserve"> relacionadas con manejo y/o </w:t>
      </w:r>
      <w:r w:rsidRPr="00611315">
        <w:rPr>
          <w:rFonts w:ascii="Verdana" w:eastAsia="Verdana Pro" w:hAnsi="Verdana" w:cs="Verdana Pro"/>
          <w:color w:val="000000" w:themeColor="text1"/>
          <w:lang w:val="es-419"/>
        </w:rPr>
        <w:t>conducción</w:t>
      </w:r>
      <w:r w:rsidR="00547A20" w:rsidRPr="00611315">
        <w:rPr>
          <w:rFonts w:ascii="Verdana" w:eastAsia="Verdana Pro" w:hAnsi="Verdana" w:cs="Verdana Pro"/>
          <w:color w:val="000000" w:themeColor="text1"/>
          <w:lang w:val="es-419"/>
        </w:rPr>
        <w:t xml:space="preserve"> y/o </w:t>
      </w:r>
      <w:r w:rsidRPr="00611315">
        <w:rPr>
          <w:rFonts w:ascii="Verdana" w:eastAsia="Verdana Pro" w:hAnsi="Verdana" w:cs="Verdana Pro"/>
          <w:color w:val="000000" w:themeColor="text1"/>
          <w:lang w:val="es-419"/>
        </w:rPr>
        <w:t>captación</w:t>
      </w:r>
      <w:r w:rsidR="00547A20" w:rsidRPr="00611315">
        <w:rPr>
          <w:rFonts w:ascii="Verdana" w:eastAsia="Verdana Pro" w:hAnsi="Verdana" w:cs="Verdana Pro"/>
          <w:color w:val="000000" w:themeColor="text1"/>
          <w:lang w:val="es-419"/>
        </w:rPr>
        <w:t xml:space="preserve"> y/o almacenamiento de agua cruda y/o agua potable.</w:t>
      </w:r>
    </w:p>
    <w:p w14:paraId="02CBFDF7"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highlight w:val="yellow"/>
          <w:lang w:val="es-419"/>
        </w:rPr>
      </w:pPr>
    </w:p>
    <w:p w14:paraId="4270148B" w14:textId="7CF90204" w:rsidR="00DC2FAB" w:rsidRPr="00611315" w:rsidRDefault="006A238E"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lastRenderedPageBreak/>
        <w:t xml:space="preserve">A </w:t>
      </w:r>
      <w:proofErr w:type="gramStart"/>
      <w:r w:rsidR="008B0E6C" w:rsidRPr="00611315">
        <w:rPr>
          <w:rFonts w:ascii="Verdana" w:eastAsia="Verdana Pro" w:hAnsi="Verdana" w:cs="Verdana Pro"/>
          <w:color w:val="000000" w:themeColor="text1"/>
          <w:lang w:val="es-419"/>
        </w:rPr>
        <w:t>continuación</w:t>
      </w:r>
      <w:proofErr w:type="gramEnd"/>
      <w:r w:rsidRPr="00611315">
        <w:rPr>
          <w:rFonts w:ascii="Verdana" w:eastAsia="Verdana Pro" w:hAnsi="Verdana" w:cs="Verdana Pro"/>
          <w:color w:val="000000" w:themeColor="text1"/>
          <w:lang w:val="es-419"/>
        </w:rPr>
        <w:t xml:space="preserve"> se exponen criterios que fundamentan la </w:t>
      </w:r>
      <w:r w:rsidR="008B0E6C" w:rsidRPr="00611315">
        <w:rPr>
          <w:rFonts w:ascii="Verdana" w:eastAsia="Verdana Pro" w:hAnsi="Verdana" w:cs="Verdana Pro"/>
          <w:color w:val="000000" w:themeColor="text1"/>
          <w:lang w:val="es-419"/>
        </w:rPr>
        <w:t>creación</w:t>
      </w:r>
      <w:r w:rsidRPr="00611315">
        <w:rPr>
          <w:rFonts w:ascii="Verdana" w:eastAsia="Verdana Pro" w:hAnsi="Verdana" w:cs="Verdana Pro"/>
          <w:color w:val="000000" w:themeColor="text1"/>
          <w:lang w:val="es-419"/>
        </w:rPr>
        <w:t xml:space="preserve"> de</w:t>
      </w:r>
      <w:r w:rsidR="00091E23" w:rsidRPr="00611315">
        <w:rPr>
          <w:rFonts w:ascii="Verdana" w:eastAsia="Verdana Pro" w:hAnsi="Verdana" w:cs="Verdana Pro"/>
          <w:color w:val="000000" w:themeColor="text1"/>
          <w:lang w:val="es-419"/>
        </w:rPr>
        <w:t xml:space="preserve">l capítulo 9, dentro de la </w:t>
      </w:r>
      <w:r w:rsidR="008B0E6C" w:rsidRPr="00611315">
        <w:rPr>
          <w:rFonts w:ascii="Verdana" w:eastAsia="Verdana Pro" w:hAnsi="Verdana" w:cs="Verdana Pro"/>
          <w:color w:val="000000" w:themeColor="text1"/>
          <w:lang w:val="es-419"/>
        </w:rPr>
        <w:t>modificación</w:t>
      </w:r>
      <w:r w:rsidR="00091E23" w:rsidRPr="00611315">
        <w:rPr>
          <w:rFonts w:ascii="Verdana" w:eastAsia="Verdana Pro" w:hAnsi="Verdana" w:cs="Verdana Pro"/>
          <w:color w:val="000000" w:themeColor="text1"/>
          <w:lang w:val="es-419"/>
        </w:rPr>
        <w:t xml:space="preserve"> de los Documentos Tipo de Agua Potable y Saneamiento Básico, que igu</w:t>
      </w:r>
      <w:r w:rsidR="00DC2FAB" w:rsidRPr="00611315">
        <w:rPr>
          <w:rFonts w:ascii="Verdana" w:eastAsia="Verdana Pro" w:hAnsi="Verdana" w:cs="Verdana Pro"/>
          <w:color w:val="000000" w:themeColor="text1"/>
          <w:lang w:val="es-419"/>
        </w:rPr>
        <w:t>a</w:t>
      </w:r>
      <w:r w:rsidR="00091E23" w:rsidRPr="00611315">
        <w:rPr>
          <w:rFonts w:ascii="Verdana" w:eastAsia="Verdana Pro" w:hAnsi="Verdana" w:cs="Verdana Pro"/>
          <w:color w:val="000000" w:themeColor="text1"/>
          <w:lang w:val="es-419"/>
        </w:rPr>
        <w:t>lmente se encuentra</w:t>
      </w:r>
      <w:r w:rsidR="002078F3" w:rsidRPr="00611315">
        <w:rPr>
          <w:rFonts w:ascii="Verdana" w:eastAsia="Verdana Pro" w:hAnsi="Verdana" w:cs="Verdana Pro"/>
          <w:color w:val="000000" w:themeColor="text1"/>
          <w:lang w:val="es-419"/>
        </w:rPr>
        <w:t>n</w:t>
      </w:r>
      <w:r w:rsidR="00091E23" w:rsidRPr="00611315">
        <w:rPr>
          <w:rFonts w:ascii="Verdana" w:eastAsia="Verdana Pro" w:hAnsi="Verdana" w:cs="Verdana Pro"/>
          <w:color w:val="000000" w:themeColor="text1"/>
          <w:lang w:val="es-419"/>
        </w:rPr>
        <w:t xml:space="preserve"> am</w:t>
      </w:r>
      <w:r w:rsidR="00DC2FAB" w:rsidRPr="00611315">
        <w:rPr>
          <w:rFonts w:ascii="Verdana" w:eastAsia="Verdana Pro" w:hAnsi="Verdana" w:cs="Verdana Pro"/>
          <w:color w:val="000000" w:themeColor="text1"/>
          <w:lang w:val="es-419"/>
        </w:rPr>
        <w:t>p</w:t>
      </w:r>
      <w:r w:rsidR="00091E23" w:rsidRPr="00611315">
        <w:rPr>
          <w:rFonts w:ascii="Verdana" w:eastAsia="Verdana Pro" w:hAnsi="Verdana" w:cs="Verdana Pro"/>
          <w:color w:val="000000" w:themeColor="text1"/>
          <w:lang w:val="es-419"/>
        </w:rPr>
        <w:t>liamente documentado</w:t>
      </w:r>
      <w:r w:rsidR="002078F3" w:rsidRPr="00611315">
        <w:rPr>
          <w:rFonts w:ascii="Verdana" w:eastAsia="Verdana Pro" w:hAnsi="Verdana" w:cs="Verdana Pro"/>
          <w:color w:val="000000" w:themeColor="text1"/>
          <w:lang w:val="es-419"/>
        </w:rPr>
        <w:t>s</w:t>
      </w:r>
      <w:r w:rsidR="00091E23" w:rsidRPr="00611315">
        <w:rPr>
          <w:rFonts w:ascii="Verdana" w:eastAsia="Verdana Pro" w:hAnsi="Verdana" w:cs="Verdana Pro"/>
          <w:color w:val="000000" w:themeColor="text1"/>
          <w:lang w:val="es-419"/>
        </w:rPr>
        <w:t xml:space="preserve"> en la Memoria justificativa </w:t>
      </w:r>
      <w:r w:rsidR="00DC2FAB" w:rsidRPr="00611315">
        <w:rPr>
          <w:rFonts w:ascii="Verdana" w:eastAsia="Verdana Pro" w:hAnsi="Verdana" w:cs="Verdana Pro"/>
          <w:color w:val="000000" w:themeColor="text1"/>
          <w:lang w:val="es-419"/>
        </w:rPr>
        <w:t>“</w:t>
      </w:r>
      <w:r w:rsidR="00DC2FAB" w:rsidRPr="00954F93">
        <w:rPr>
          <w:rFonts w:ascii="Verdana" w:eastAsia="Verdana Pro" w:hAnsi="Verdana" w:cs="Verdana Pro"/>
          <w:i/>
          <w:iCs/>
          <w:color w:val="000000" w:themeColor="text1"/>
          <w:lang w:val="es-419"/>
        </w:rPr>
        <w:t>Por la cual se adopta la versión -2- de los documentos tipo para los procesos de licitación pública para obras de infraestructura de agua potable, saneamiento básico y estructuras hidráulicas; y se deroga la Resolución 248 de 2020</w:t>
      </w:r>
      <w:r w:rsidR="00092106" w:rsidRPr="00611315">
        <w:rPr>
          <w:rFonts w:ascii="Verdana" w:eastAsia="Verdana Pro" w:hAnsi="Verdana" w:cs="Verdana Pro"/>
          <w:color w:val="000000" w:themeColor="text1"/>
          <w:lang w:val="es-419"/>
        </w:rPr>
        <w:t>”.</w:t>
      </w:r>
    </w:p>
    <w:p w14:paraId="2033490B" w14:textId="77777777" w:rsidR="00092106" w:rsidRPr="00611315" w:rsidRDefault="00092106"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66DAAD2B" w14:textId="78CBEDD6" w:rsidR="00547A20" w:rsidRPr="00611315" w:rsidRDefault="00A07572"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De acuerdo con lo establecido en e</w:t>
      </w:r>
      <w:r w:rsidR="00547A20" w:rsidRPr="00611315">
        <w:rPr>
          <w:rFonts w:ascii="Verdana" w:eastAsia="Verdana Pro" w:hAnsi="Verdana" w:cs="Verdana Pro"/>
          <w:color w:val="000000" w:themeColor="text1"/>
          <w:lang w:val="es-419"/>
        </w:rPr>
        <w:t xml:space="preserve">l Plan Nacional de Desarrollo 2022-2026 </w:t>
      </w:r>
      <w:r w:rsidRPr="00611315">
        <w:rPr>
          <w:rFonts w:ascii="Verdana" w:eastAsia="Verdana Pro" w:hAnsi="Verdana" w:cs="Verdana Pro"/>
          <w:color w:val="000000" w:themeColor="text1"/>
          <w:lang w:val="es-419"/>
        </w:rPr>
        <w:t xml:space="preserve">que </w:t>
      </w:r>
      <w:r w:rsidR="00547A20" w:rsidRPr="00611315">
        <w:rPr>
          <w:rFonts w:ascii="Verdana" w:eastAsia="Verdana Pro" w:hAnsi="Verdana" w:cs="Verdana Pro"/>
          <w:color w:val="000000" w:themeColor="text1"/>
          <w:lang w:val="es-419"/>
        </w:rPr>
        <w:t xml:space="preserve">reconoce que el derecho humano al agua y su provisión universal se garantizará de manera integral, asegurando la disponibilidad, el acceso y la calidad del servicio, mediante la protección del mínimo vital para la población más vulnerable. En </w:t>
      </w:r>
      <w:r w:rsidR="00AB28F5" w:rsidRPr="00611315">
        <w:rPr>
          <w:rFonts w:ascii="Verdana" w:eastAsia="Verdana Pro" w:hAnsi="Verdana" w:cs="Verdana Pro"/>
          <w:color w:val="000000" w:themeColor="text1"/>
          <w:lang w:val="es-419"/>
        </w:rPr>
        <w:t>el que adicionalmente</w:t>
      </w:r>
      <w:r w:rsidR="00547A20" w:rsidRPr="00611315">
        <w:rPr>
          <w:rFonts w:ascii="Verdana" w:eastAsia="Verdana Pro" w:hAnsi="Verdana" w:cs="Verdana Pro"/>
          <w:color w:val="000000" w:themeColor="text1"/>
          <w:lang w:val="es-419"/>
        </w:rPr>
        <w:t xml:space="preserve">, </w:t>
      </w:r>
      <w:r w:rsidR="00AB28F5" w:rsidRPr="00611315">
        <w:rPr>
          <w:rFonts w:ascii="Verdana" w:eastAsia="Verdana Pro" w:hAnsi="Verdana" w:cs="Verdana Pro"/>
          <w:color w:val="000000" w:themeColor="text1"/>
          <w:lang w:val="es-419"/>
        </w:rPr>
        <w:t xml:space="preserve">se </w:t>
      </w:r>
      <w:r w:rsidR="00547A20" w:rsidRPr="00611315">
        <w:rPr>
          <w:rFonts w:ascii="Verdana" w:eastAsia="Verdana Pro" w:hAnsi="Verdana" w:cs="Verdana Pro"/>
          <w:color w:val="000000" w:themeColor="text1"/>
          <w:lang w:val="es-419"/>
        </w:rPr>
        <w:t>indica que se promoverán propuestas normativas que establezcan los lineamientos necesarios para asegurar el acceso al agua y al saneamiento básico en el país, considerando esquemas diferenciales y la provisión mediante medios alternativos. Esto incluirá la reglamentación del mínimo vital de agua, definiendo los aspectos necesarios para su implementación sin implicar gratuidad, y precisando criterios de focalización, financiación, beneficiarios y aplicación con enfoque diferencial, entre otros elementos.</w:t>
      </w:r>
    </w:p>
    <w:p w14:paraId="6E322C8D"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15E41D94"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 xml:space="preserve">En resumen, el Plan Nacional de Desarrollo 2022–2026 “Colombia Potencia Mundial de la Vida” reconoce al agua como un recurso estratégico y un eje transversal para el desarrollo sostenible y el cumplimiento del ODS 6. En este marco, la transformación de ordenación del territorio alrededor del agua y justicia ambiental busca garantizar el acceso equitativo al agua, promover su gestión sostenible, fortalecer la infraestructura hídrica y la resiliencia territorial, gestionar riesgos por desastres y variabilidad climática, y fomentar la resolución de conflictos socioambientales mediante la gobernanza local, la adopción de tecnologías de tratamiento de aguas residuales, sistemas de drenaje sostenible y soluciones basadas en la naturaleza, consolidando así un desarrollo ambiental, social y económico integral. Adicionalmente, se garantiza el derecho humano al agua, asegurando su disponibilidad, acceso y calidad, con especial atención a la </w:t>
      </w:r>
      <w:r w:rsidRPr="00611315">
        <w:rPr>
          <w:rFonts w:ascii="Verdana" w:eastAsia="Verdana Pro" w:hAnsi="Verdana" w:cs="Verdana Pro"/>
          <w:color w:val="000000" w:themeColor="text1"/>
          <w:lang w:val="es-419"/>
        </w:rPr>
        <w:lastRenderedPageBreak/>
        <w:t>población más vulnerable, mediante lineamientos que permitan su provisión de manera justa y diferenciada.</w:t>
      </w:r>
    </w:p>
    <w:p w14:paraId="6B4F7015"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618BD41B"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La Agencia Nacional de Contratación Pública – Colombia Compra Eficiente considera que, garantizar el acceso al agua para consumo humano y al saneamiento básico es esencial para avanzar en la construcción de la paz, pues el ordenamiento del territorio alrededor del agua permite superar conflictos territoriales, ambientales y económicos, asegurando que el agua se reconozca como bien común y derecho fundamental para todas las comunidades.</w:t>
      </w:r>
    </w:p>
    <w:p w14:paraId="4C550106"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74152EA0"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Por su parte, debe indicarse que, de acuerdo con la Superintendencia de Servicios Públicos Domiciliarios, el país enfrenta retos significativos para implementar la transformación propuesta en el Plan Nacional de Desarrollo en torno al ordenamiento del territorio alrededor del agua, especialmente en lo relacionado con la sostenibilidad ambiental y el acceso a agua potable y saneamiento básico, así como para cumplir las metas de los Objetivos de Desarrollo Sostenible (ODS). Los desafíos se centran en ampliar la cobertura de los servicios, garantizar un tratamiento eficiente de aguas residuales y descontaminar las fuentes hídricas, lo que requiere la participación coordinada del Gobierno, las empresas prestadoras de servicios, las entidades del sector y los usuarios.</w:t>
      </w:r>
    </w:p>
    <w:p w14:paraId="6BAA9C18"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0B333B2F"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Para lograr estos objetivos, es fundamental fortalecer el Sistema de Inversiones en Agua Potable y Saneamiento Básico (SINAS), que permita orientar la inversión pública y privada en infraestructura de acueducto, alcantarillado y plantas de tratamiento de aguas residuales. La modernización de estos sistemas implica la adopción de tecnologías avanzadas que optimicen la depuración, promuevan el reúso del agua y el aprovechamiento de subproductos, impulsando modelos de economía circular dentro de una política integral de gestión hídrica que garantice eficiencia, sostenibilidad y protección de los recursos.</w:t>
      </w:r>
    </w:p>
    <w:p w14:paraId="4772344B"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034D0042"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 xml:space="preserve">Asimismo, se requiere una gestión interinstitucional articulada que involucre a entidades estatales y comunidades locales en la definición de lineamientos de </w:t>
      </w:r>
      <w:r w:rsidRPr="00611315">
        <w:rPr>
          <w:rFonts w:ascii="Verdana" w:eastAsia="Verdana Pro" w:hAnsi="Verdana" w:cs="Verdana Pro"/>
          <w:color w:val="000000" w:themeColor="text1"/>
          <w:lang w:val="es-419"/>
        </w:rPr>
        <w:lastRenderedPageBreak/>
        <w:t>política pública adaptados a las necesidades territoriales. Esto incluye vigilancia y control de la operación de la infraestructura existente, especialmente plantas de tratamiento y obras inconclusas, para evitar impactos sanitarios y ambientales. Todo ello debe apoyarse en un gobierno de datos confiable, que permita tomar decisiones oportunas y basadas en información de calidad, fortaleciendo así la gobernanza abierta, participativa y descentralizada en el sector de agua y saneamiento básico.</w:t>
      </w:r>
    </w:p>
    <w:p w14:paraId="3C0FA3BE"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3F09799B"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r w:rsidRPr="00611315">
        <w:rPr>
          <w:rFonts w:ascii="Verdana" w:eastAsia="Verdana Pro" w:hAnsi="Verdana" w:cs="Verdana Pro"/>
          <w:color w:val="000000" w:themeColor="text1"/>
          <w:lang w:val="es-419"/>
        </w:rPr>
        <w:t>Ante ese panorama, y de conformidad con los datos estadísticos del comportamiento anual en donde se encontró que la inversión en obras de infraestructura de agua potable y saneamiento básico está en constante aumento, la Agencia Nacional de Contratación Pública - Colombia Compra Eficiente encuentra oportuno y conveniente que las entidades estatales tengan a disposición la segunda versión de los documentos tipo para los procesos de licitación pública para obras de infraestructura de agua potable, saneamiento básico y estructuras hidráulicas. De tal manera que los recursos dirigidos al eje transversal sean invertidos con mayor eficiencia y transparencia.</w:t>
      </w:r>
    </w:p>
    <w:p w14:paraId="698B0805" w14:textId="77777777" w:rsidR="00547A20" w:rsidRPr="00611315" w:rsidRDefault="00547A20" w:rsidP="00547A20">
      <w:pPr>
        <w:pStyle w:val="Prrafodelista"/>
        <w:tabs>
          <w:tab w:val="left" w:pos="7937"/>
        </w:tabs>
        <w:spacing w:line="276" w:lineRule="auto"/>
        <w:ind w:right="140"/>
        <w:rPr>
          <w:rFonts w:ascii="Verdana" w:eastAsia="Verdana Pro" w:hAnsi="Verdana" w:cs="Verdana Pro"/>
          <w:color w:val="000000" w:themeColor="text1"/>
          <w:lang w:val="es-419"/>
        </w:rPr>
      </w:pPr>
    </w:p>
    <w:p w14:paraId="15BFAA6B" w14:textId="4F53B8AE"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De acuerdo con el marco </w:t>
      </w:r>
      <w:r w:rsidR="006F2570" w:rsidRPr="008B0E6C">
        <w:rPr>
          <w:rFonts w:ascii="Verdana" w:eastAsia="Verdana Pro" w:hAnsi="Verdana" w:cs="Verdana Pro"/>
          <w:color w:val="000000" w:themeColor="text1"/>
          <w:sz w:val="22"/>
          <w:szCs w:val="22"/>
          <w:lang w:val="es-419"/>
        </w:rPr>
        <w:t>normativo</w:t>
      </w:r>
      <w:r w:rsidRPr="008B0E6C">
        <w:rPr>
          <w:rFonts w:ascii="Verdana" w:eastAsia="Verdana Pro" w:hAnsi="Verdana" w:cs="Verdana Pro"/>
          <w:color w:val="000000" w:themeColor="text1"/>
          <w:sz w:val="22"/>
          <w:szCs w:val="22"/>
          <w:lang w:val="es-419"/>
        </w:rPr>
        <w:t xml:space="preserve"> anterior, para la presente modificación, se incorpora</w:t>
      </w:r>
      <w:r w:rsidR="00EE31A9" w:rsidRPr="008B0E6C">
        <w:rPr>
          <w:rFonts w:ascii="Verdana" w:eastAsia="Verdana Pro" w:hAnsi="Verdana" w:cs="Verdana Pro"/>
          <w:color w:val="000000" w:themeColor="text1"/>
          <w:sz w:val="22"/>
          <w:szCs w:val="22"/>
          <w:lang w:val="es-419"/>
        </w:rPr>
        <w:t xml:space="preserve"> el capítulo 9 - </w:t>
      </w:r>
      <w:r w:rsidR="004403F1" w:rsidRPr="008B0E6C">
        <w:rPr>
          <w:rFonts w:ascii="Verdana" w:eastAsia="Verdana Pro" w:hAnsi="Verdana" w:cs="Verdana Pro"/>
          <w:color w:val="000000" w:themeColor="text1"/>
          <w:sz w:val="22"/>
          <w:szCs w:val="22"/>
          <w:lang w:val="es-419"/>
        </w:rPr>
        <w:t>PROYECTOS Y/U OBRAS DE INFRAESTRUCTURA PARA ESTRUCTURAS HIDRAULICAS RELACIONADAS CON MANEJO Y/O CONDUCCION Y/O CAPTACION Y/O ALMACENAMIENTO DE AGUA CRUDA Y/O AGUA POTABLE, que a</w:t>
      </w:r>
      <w:r w:rsidR="00366297" w:rsidRPr="008B0E6C">
        <w:rPr>
          <w:rFonts w:ascii="Verdana" w:eastAsia="Verdana Pro" w:hAnsi="Verdana" w:cs="Verdana Pro"/>
          <w:color w:val="000000" w:themeColor="text1"/>
          <w:sz w:val="22"/>
          <w:szCs w:val="22"/>
          <w:lang w:val="es-419"/>
        </w:rPr>
        <w:t xml:space="preserve"> </w:t>
      </w:r>
      <w:r w:rsidR="004403F1" w:rsidRPr="008B0E6C">
        <w:rPr>
          <w:rFonts w:ascii="Verdana" w:eastAsia="Verdana Pro" w:hAnsi="Verdana" w:cs="Verdana Pro"/>
          <w:color w:val="000000" w:themeColor="text1"/>
          <w:sz w:val="22"/>
          <w:szCs w:val="22"/>
          <w:lang w:val="es-419"/>
        </w:rPr>
        <w:t>su vez incluye</w:t>
      </w:r>
      <w:r w:rsidRPr="008B0E6C">
        <w:rPr>
          <w:rFonts w:ascii="Verdana" w:eastAsia="Verdana Pro" w:hAnsi="Verdana" w:cs="Verdana Pro"/>
          <w:color w:val="000000" w:themeColor="text1"/>
          <w:sz w:val="22"/>
          <w:szCs w:val="22"/>
          <w:lang w:val="es-419"/>
        </w:rPr>
        <w:t xml:space="preserve"> las siguientes </w:t>
      </w:r>
      <w:r w:rsidR="006F2570" w:rsidRPr="008B0E6C">
        <w:rPr>
          <w:rFonts w:ascii="Verdana" w:eastAsia="Verdana Pro" w:hAnsi="Verdana" w:cs="Verdana Pro"/>
          <w:color w:val="000000" w:themeColor="text1"/>
          <w:sz w:val="22"/>
          <w:szCs w:val="22"/>
          <w:lang w:val="es-419"/>
        </w:rPr>
        <w:t>actividades</w:t>
      </w:r>
      <w:r w:rsidRPr="008B0E6C">
        <w:rPr>
          <w:rFonts w:ascii="Verdana" w:eastAsia="Verdana Pro" w:hAnsi="Verdana" w:cs="Verdana Pro"/>
          <w:color w:val="000000" w:themeColor="text1"/>
          <w:sz w:val="22"/>
          <w:szCs w:val="22"/>
          <w:lang w:val="es-419"/>
        </w:rPr>
        <w:t xml:space="preserve"> en la matriz de experiencia:</w:t>
      </w:r>
    </w:p>
    <w:p w14:paraId="74F99559"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p>
    <w:p w14:paraId="25E3664E"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9.1. Proyectos de construcción y/o ampliación y/o reconstrucción y/o adecuación y/o conservación y/o intervención y/o mantenimiento y/o mejoramiento y/o modificación y/u optimización y/o rehabilitación y/o reparación de presas y/o represas de tierra y/o concreto y/o enrocado y/u otro tipo de material.</w:t>
      </w:r>
    </w:p>
    <w:p w14:paraId="1FD87243"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4DA44975"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9.2. Proyectos de construcción y/o ampliación y/o reconstrucción y/o adecuación y/o conservación y/o intervención y/o mantenimiento y/o mejoramiento y/o modificación y/u optimización y/o rehabilitación y/o reparación de vertederos y/o aliviaderos.</w:t>
      </w:r>
    </w:p>
    <w:p w14:paraId="32A2F488"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308BD5E1" w14:textId="4C7F51B1"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9.3. Proyectos de construcción y/o ampliación y/o reconstrucción y/o adecuación y/o conservación y/o intervención y/o mantenimiento y/o mejoramiento y/o modificación y/u optimización y/o rehabilitación y/</w:t>
      </w:r>
      <w:r w:rsidR="00D82866" w:rsidRPr="008B0E6C">
        <w:rPr>
          <w:rFonts w:ascii="Verdana" w:eastAsia="Verdana Pro" w:hAnsi="Verdana" w:cs="Verdana Pro"/>
          <w:color w:val="000000" w:themeColor="text1"/>
          <w:sz w:val="22"/>
          <w:szCs w:val="22"/>
        </w:rPr>
        <w:t>o reparación</w:t>
      </w:r>
      <w:r w:rsidRPr="008B0E6C">
        <w:rPr>
          <w:rFonts w:ascii="Verdana" w:eastAsia="Verdana Pro" w:hAnsi="Verdana" w:cs="Verdana Pro"/>
          <w:color w:val="000000" w:themeColor="text1"/>
          <w:sz w:val="22"/>
          <w:szCs w:val="22"/>
        </w:rPr>
        <w:t xml:space="preserve"> de estructuras de </w:t>
      </w:r>
      <w:r w:rsidR="00366297" w:rsidRPr="008B0E6C">
        <w:rPr>
          <w:rFonts w:ascii="Verdana" w:eastAsia="Verdana Pro" w:hAnsi="Verdana" w:cs="Verdana Pro"/>
          <w:color w:val="000000" w:themeColor="text1"/>
          <w:sz w:val="22"/>
          <w:szCs w:val="22"/>
        </w:rPr>
        <w:t>captación</w:t>
      </w:r>
      <w:r w:rsidRPr="008B0E6C">
        <w:rPr>
          <w:rFonts w:ascii="Verdana" w:eastAsia="Verdana Pro" w:hAnsi="Verdana" w:cs="Verdana Pro"/>
          <w:color w:val="000000" w:themeColor="text1"/>
          <w:sz w:val="22"/>
          <w:szCs w:val="22"/>
        </w:rPr>
        <w:t xml:space="preserve"> y/o bocatomas y/u obras complementarias.</w:t>
      </w:r>
    </w:p>
    <w:p w14:paraId="7F98F5B9"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2A17A402"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9.4 proyectos de construcción y/o ampliación y/o reconstrucción y/o adecuación y/o conservación y/o intervención y/o mantenimiento y/o mejoramiento y/o modificación y/u optimización y/o rehabilitación y/o reparación de sistemas de almacenamiento tipo embalses o similares y/u obras complementarias.</w:t>
      </w:r>
    </w:p>
    <w:p w14:paraId="67FBA67C"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3C2EC102" w14:textId="3CF8BC30"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 xml:space="preserve">9.5 proyectos de construcción y/o ampliación y/o reconstrucción y/o adecuación y/o conservación y/o intervención y/o mantenimiento y/o mejoramiento y/o modificación y/u optimización y/o rehabilitación de reservorios y/o lagunas artificiales y/o estanques de </w:t>
      </w:r>
      <w:r w:rsidR="00366297" w:rsidRPr="008B0E6C">
        <w:rPr>
          <w:rFonts w:ascii="Verdana" w:eastAsia="Verdana Pro" w:hAnsi="Verdana" w:cs="Verdana Pro"/>
          <w:color w:val="000000" w:themeColor="text1"/>
          <w:sz w:val="22"/>
          <w:szCs w:val="22"/>
        </w:rPr>
        <w:t>regulación</w:t>
      </w:r>
      <w:r w:rsidRPr="008B0E6C">
        <w:rPr>
          <w:rFonts w:ascii="Verdana" w:eastAsia="Verdana Pro" w:hAnsi="Verdana" w:cs="Verdana Pro"/>
          <w:color w:val="000000" w:themeColor="text1"/>
          <w:sz w:val="22"/>
          <w:szCs w:val="22"/>
        </w:rPr>
        <w:t xml:space="preserve"> y/u obras complementarias.</w:t>
      </w:r>
    </w:p>
    <w:p w14:paraId="68AF3B06"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25783218" w14:textId="4FF09B04"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 xml:space="preserve">9.6 proyectos de construcción y/o ampliación y/o reconstrucción y/o adecuación y/o conservación y/o </w:t>
      </w:r>
      <w:r w:rsidR="00D82866" w:rsidRPr="008B0E6C">
        <w:rPr>
          <w:rFonts w:ascii="Verdana" w:eastAsia="Verdana Pro" w:hAnsi="Verdana" w:cs="Verdana Pro"/>
          <w:color w:val="000000" w:themeColor="text1"/>
          <w:sz w:val="22"/>
          <w:szCs w:val="22"/>
        </w:rPr>
        <w:t>intervención y</w:t>
      </w:r>
      <w:r w:rsidRPr="008B0E6C">
        <w:rPr>
          <w:rFonts w:ascii="Verdana" w:eastAsia="Verdana Pro" w:hAnsi="Verdana" w:cs="Verdana Pro"/>
          <w:color w:val="000000" w:themeColor="text1"/>
          <w:sz w:val="22"/>
          <w:szCs w:val="22"/>
        </w:rPr>
        <w:t xml:space="preserve">/o mantenimiento y/o mejoramiento y/o modificación y/u optimización y/o rehabilitación y/o reparación de </w:t>
      </w:r>
      <w:r w:rsidR="00D82866" w:rsidRPr="008B0E6C">
        <w:rPr>
          <w:rFonts w:ascii="Verdana" w:eastAsia="Verdana Pro" w:hAnsi="Verdana" w:cs="Verdana Pro"/>
          <w:color w:val="000000" w:themeColor="text1"/>
          <w:sz w:val="22"/>
          <w:szCs w:val="22"/>
        </w:rPr>
        <w:t>canales hidráulicos</w:t>
      </w:r>
      <w:r w:rsidRPr="008B0E6C">
        <w:rPr>
          <w:rFonts w:ascii="Verdana" w:eastAsia="Verdana Pro" w:hAnsi="Verdana" w:cs="Verdana Pro"/>
          <w:color w:val="000000" w:themeColor="text1"/>
          <w:sz w:val="22"/>
          <w:szCs w:val="22"/>
        </w:rPr>
        <w:t xml:space="preserve"> revestidos y/o no revestidos y/u obras complementarias.</w:t>
      </w:r>
    </w:p>
    <w:p w14:paraId="0F267F30"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52EA1E51"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9.7 proyectos de construcción y/o ampliación y/o reconstrucción y/o adecuación y/o conservación y/o mantenimiento y/o mejoramiento y/u optimización y/o rehabilitación de cuencas abastecedoras de acueductos y/u obras complementarias.</w:t>
      </w:r>
    </w:p>
    <w:p w14:paraId="7A99E702"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7D4032E8" w14:textId="20E4B9A8"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9.8 proyectos de construcción y/o reconstrucción y/o rehabilitación y/o mejoramiento y/o conservación y/o mantenimiento de cuerpos de agua naturales y/o artificiales y/</w:t>
      </w:r>
      <w:r w:rsidR="00D82866" w:rsidRPr="008B0E6C">
        <w:rPr>
          <w:rFonts w:ascii="Verdana" w:eastAsia="Verdana Pro" w:hAnsi="Verdana" w:cs="Verdana Pro"/>
          <w:color w:val="000000" w:themeColor="text1"/>
          <w:sz w:val="22"/>
          <w:szCs w:val="22"/>
        </w:rPr>
        <w:t>o navegables</w:t>
      </w:r>
      <w:r w:rsidRPr="008B0E6C">
        <w:rPr>
          <w:rFonts w:ascii="Verdana" w:eastAsia="Verdana Pro" w:hAnsi="Verdana" w:cs="Verdana Pro"/>
          <w:color w:val="000000" w:themeColor="text1"/>
          <w:sz w:val="22"/>
          <w:szCs w:val="22"/>
        </w:rPr>
        <w:t xml:space="preserve"> y/o no navegables.</w:t>
      </w:r>
    </w:p>
    <w:p w14:paraId="22EDDFCD"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1AAF7625" w14:textId="3171B511"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 xml:space="preserve">9.9. Proyectos de construcción y/o reconstrucción y/o rehabilitación y/o mejoramiento y/o conservación y/o mantenimiento de fuentes hídricas con </w:t>
      </w:r>
      <w:r w:rsidR="00512167" w:rsidRPr="008B0E6C">
        <w:rPr>
          <w:rFonts w:ascii="Verdana" w:eastAsia="Verdana Pro" w:hAnsi="Verdana" w:cs="Verdana Pro"/>
          <w:color w:val="000000" w:themeColor="text1"/>
          <w:sz w:val="22"/>
          <w:szCs w:val="22"/>
        </w:rPr>
        <w:t>propósitos</w:t>
      </w:r>
      <w:r w:rsidRPr="008B0E6C">
        <w:rPr>
          <w:rFonts w:ascii="Verdana" w:eastAsia="Verdana Pro" w:hAnsi="Verdana" w:cs="Verdana Pro"/>
          <w:color w:val="000000" w:themeColor="text1"/>
          <w:sz w:val="22"/>
          <w:szCs w:val="22"/>
        </w:rPr>
        <w:t xml:space="preserve"> de </w:t>
      </w:r>
      <w:r w:rsidR="00512167" w:rsidRPr="008B0E6C">
        <w:rPr>
          <w:rFonts w:ascii="Verdana" w:eastAsia="Verdana Pro" w:hAnsi="Verdana" w:cs="Verdana Pro"/>
          <w:color w:val="000000" w:themeColor="text1"/>
          <w:sz w:val="22"/>
          <w:szCs w:val="22"/>
        </w:rPr>
        <w:t>descontaminación</w:t>
      </w:r>
      <w:r w:rsidRPr="008B0E6C">
        <w:rPr>
          <w:rFonts w:ascii="Verdana" w:eastAsia="Verdana Pro" w:hAnsi="Verdana" w:cs="Verdana Pro"/>
          <w:color w:val="000000" w:themeColor="text1"/>
          <w:sz w:val="22"/>
          <w:szCs w:val="22"/>
        </w:rPr>
        <w:t>.</w:t>
      </w:r>
    </w:p>
    <w:p w14:paraId="58542588"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2F30C62C" w14:textId="2B044B2E"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 xml:space="preserve">9.10 proyectos de limpieza y/o </w:t>
      </w:r>
      <w:r w:rsidR="00512167" w:rsidRPr="008B0E6C">
        <w:rPr>
          <w:rFonts w:ascii="Verdana" w:eastAsia="Verdana Pro" w:hAnsi="Verdana" w:cs="Verdana Pro"/>
          <w:color w:val="000000" w:themeColor="text1"/>
          <w:sz w:val="22"/>
          <w:szCs w:val="22"/>
        </w:rPr>
        <w:t>adecuación</w:t>
      </w:r>
      <w:r w:rsidRPr="008B0E6C">
        <w:rPr>
          <w:rFonts w:ascii="Verdana" w:eastAsia="Verdana Pro" w:hAnsi="Verdana" w:cs="Verdana Pro"/>
          <w:color w:val="000000" w:themeColor="text1"/>
          <w:sz w:val="22"/>
          <w:szCs w:val="22"/>
        </w:rPr>
        <w:t xml:space="preserve"> y/o mantenimiento y/o mejoramiento y/o </w:t>
      </w:r>
      <w:r w:rsidR="00512167" w:rsidRPr="008B0E6C">
        <w:rPr>
          <w:rFonts w:ascii="Verdana" w:eastAsia="Verdana Pro" w:hAnsi="Verdana" w:cs="Verdana Pro"/>
          <w:color w:val="000000" w:themeColor="text1"/>
          <w:sz w:val="22"/>
          <w:szCs w:val="22"/>
        </w:rPr>
        <w:t>conservación</w:t>
      </w:r>
      <w:r w:rsidRPr="008B0E6C">
        <w:rPr>
          <w:rFonts w:ascii="Verdana" w:eastAsia="Verdana Pro" w:hAnsi="Verdana" w:cs="Verdana Pro"/>
          <w:color w:val="000000" w:themeColor="text1"/>
          <w:sz w:val="22"/>
          <w:szCs w:val="22"/>
        </w:rPr>
        <w:t xml:space="preserve"> de represas que abastecen sistemas de acueductos.</w:t>
      </w:r>
    </w:p>
    <w:p w14:paraId="7D2F51CF"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p>
    <w:p w14:paraId="1B626B83" w14:textId="6A1E985F" w:rsidR="00547A20" w:rsidRPr="008B0E6C" w:rsidRDefault="00547A20" w:rsidP="00547A20">
      <w:pPr>
        <w:pStyle w:val="Prrafodelista"/>
        <w:numPr>
          <w:ilvl w:val="0"/>
          <w:numId w:val="103"/>
        </w:numPr>
        <w:spacing w:line="276" w:lineRule="auto"/>
        <w:rPr>
          <w:rFonts w:ascii="Verdana" w:eastAsia="Verdana Pro" w:hAnsi="Verdana" w:cs="Verdana Pro"/>
          <w:color w:val="000000" w:themeColor="text1"/>
          <w:lang w:val="es-419"/>
        </w:rPr>
      </w:pPr>
      <w:r w:rsidRPr="008B0E6C">
        <w:rPr>
          <w:rFonts w:ascii="Verdana" w:eastAsia="Verdana Pro" w:hAnsi="Verdana" w:cs="Verdana Pro"/>
          <w:b/>
          <w:bCs/>
          <w:color w:val="000000" w:themeColor="text1"/>
          <w:lang w:val="es-419"/>
        </w:rPr>
        <w:t xml:space="preserve">Capítulo 10 - </w:t>
      </w:r>
      <w:r w:rsidRPr="008B0E6C">
        <w:rPr>
          <w:rFonts w:ascii="Verdana" w:eastAsia="Verdana Pro" w:hAnsi="Verdana" w:cs="Verdana Pro"/>
          <w:color w:val="000000" w:themeColor="text1"/>
          <w:lang w:val="es-419"/>
        </w:rPr>
        <w:t xml:space="preserve">Proyectos y/u obras de infraestructura para riego y/o, drenaje y/o </w:t>
      </w:r>
      <w:r w:rsidR="006F2570" w:rsidRPr="008B0E6C">
        <w:rPr>
          <w:rFonts w:ascii="Verdana" w:eastAsia="Verdana Pro" w:hAnsi="Verdana" w:cs="Verdana Pro"/>
          <w:color w:val="000000" w:themeColor="text1"/>
          <w:lang w:val="es-419"/>
        </w:rPr>
        <w:t>protección</w:t>
      </w:r>
      <w:r w:rsidRPr="008B0E6C">
        <w:rPr>
          <w:rFonts w:ascii="Verdana" w:eastAsia="Verdana Pro" w:hAnsi="Verdana" w:cs="Verdana Pro"/>
          <w:color w:val="000000" w:themeColor="text1"/>
          <w:lang w:val="es-419"/>
        </w:rPr>
        <w:t xml:space="preserve"> contra inundaciones para </w:t>
      </w:r>
      <w:r w:rsidR="006F2570" w:rsidRPr="008B0E6C">
        <w:rPr>
          <w:rFonts w:ascii="Verdana" w:eastAsia="Verdana Pro" w:hAnsi="Verdana" w:cs="Verdana Pro"/>
          <w:color w:val="000000" w:themeColor="text1"/>
          <w:lang w:val="es-419"/>
        </w:rPr>
        <w:t>adecuación</w:t>
      </w:r>
      <w:r w:rsidRPr="008B0E6C">
        <w:rPr>
          <w:rFonts w:ascii="Verdana" w:eastAsia="Verdana Pro" w:hAnsi="Verdana" w:cs="Verdana Pro"/>
          <w:color w:val="000000" w:themeColor="text1"/>
          <w:lang w:val="es-419"/>
        </w:rPr>
        <w:t xml:space="preserve"> de tierras – Articulado con el Plan Nacional de Riego 2020-2039 y CONPES 4184 DE 2026</w:t>
      </w:r>
    </w:p>
    <w:p w14:paraId="29C33710" w14:textId="77777777" w:rsidR="00547A20" w:rsidRPr="008B0E6C" w:rsidRDefault="00547A20" w:rsidP="00547A20">
      <w:pPr>
        <w:pStyle w:val="Prrafodelista"/>
        <w:tabs>
          <w:tab w:val="left" w:pos="7937"/>
        </w:tabs>
        <w:ind w:left="360" w:right="140"/>
        <w:rPr>
          <w:rFonts w:ascii="Verdana" w:eastAsia="Verdana Pro" w:hAnsi="Verdana" w:cs="Verdana Pro"/>
          <w:b/>
          <w:bCs/>
          <w:color w:val="000000" w:themeColor="text1"/>
        </w:rPr>
      </w:pPr>
    </w:p>
    <w:p w14:paraId="2E8AED01" w14:textId="32C8710B" w:rsidR="00366297" w:rsidRPr="008B0E6C" w:rsidRDefault="00366297" w:rsidP="00547A20">
      <w:pPr>
        <w:pStyle w:val="Prrafodelista"/>
        <w:tabs>
          <w:tab w:val="left" w:pos="7937"/>
        </w:tabs>
        <w:ind w:left="360" w:right="140"/>
        <w:rPr>
          <w:rFonts w:ascii="Verdana" w:eastAsia="Verdana Pro" w:hAnsi="Verdana" w:cs="Verdana Pro"/>
          <w:color w:val="000000" w:themeColor="text1"/>
        </w:rPr>
      </w:pPr>
      <w:r w:rsidRPr="008B0E6C">
        <w:rPr>
          <w:rFonts w:ascii="Verdana" w:eastAsia="Verdana Pro" w:hAnsi="Verdana" w:cs="Verdana Pro"/>
          <w:color w:val="000000" w:themeColor="text1"/>
        </w:rPr>
        <w:t>En consonancia con el capítulo anterior</w:t>
      </w:r>
      <w:r w:rsidR="004C6FFE" w:rsidRPr="008B0E6C">
        <w:rPr>
          <w:rFonts w:ascii="Verdana" w:eastAsia="Verdana Pro" w:hAnsi="Verdana" w:cs="Verdana Pro"/>
          <w:color w:val="000000" w:themeColor="text1"/>
        </w:rPr>
        <w:t>,</w:t>
      </w:r>
      <w:r w:rsidRPr="008B0E6C">
        <w:rPr>
          <w:rFonts w:ascii="Verdana" w:eastAsia="Verdana Pro" w:hAnsi="Verdana" w:cs="Verdana Pro"/>
          <w:color w:val="000000" w:themeColor="text1"/>
        </w:rPr>
        <w:t xml:space="preserve"> a </w:t>
      </w:r>
      <w:proofErr w:type="gramStart"/>
      <w:r w:rsidRPr="008B0E6C">
        <w:rPr>
          <w:rFonts w:ascii="Verdana" w:eastAsia="Verdana Pro" w:hAnsi="Verdana" w:cs="Verdana Pro"/>
          <w:color w:val="000000" w:themeColor="text1"/>
        </w:rPr>
        <w:t>continuación</w:t>
      </w:r>
      <w:proofErr w:type="gramEnd"/>
      <w:r w:rsidRPr="008B0E6C">
        <w:rPr>
          <w:rFonts w:ascii="Verdana" w:eastAsia="Verdana Pro" w:hAnsi="Verdana" w:cs="Verdana Pro"/>
          <w:color w:val="000000" w:themeColor="text1"/>
        </w:rPr>
        <w:t xml:space="preserve"> se presentan los</w:t>
      </w:r>
      <w:r w:rsidR="004C6FFE" w:rsidRPr="008B0E6C">
        <w:rPr>
          <w:rFonts w:ascii="Verdana" w:eastAsia="Verdana Pro" w:hAnsi="Verdana" w:cs="Verdana Pro"/>
          <w:color w:val="000000" w:themeColor="text1"/>
        </w:rPr>
        <w:t xml:space="preserve"> argumentos </w:t>
      </w:r>
      <w:r w:rsidRPr="008B0E6C">
        <w:rPr>
          <w:rFonts w:ascii="Verdana" w:eastAsia="Verdana Pro" w:hAnsi="Verdana" w:cs="Verdana Pro"/>
          <w:color w:val="000000" w:themeColor="text1"/>
        </w:rPr>
        <w:t xml:space="preserve">que </w:t>
      </w:r>
      <w:r w:rsidR="004C6FFE" w:rsidRPr="008B0E6C">
        <w:rPr>
          <w:rFonts w:ascii="Verdana" w:eastAsia="Verdana Pro" w:hAnsi="Verdana" w:cs="Verdana Pro"/>
          <w:color w:val="000000" w:themeColor="text1"/>
        </w:rPr>
        <w:t>podrían</w:t>
      </w:r>
      <w:r w:rsidRPr="008B0E6C">
        <w:rPr>
          <w:rFonts w:ascii="Verdana" w:eastAsia="Verdana Pro" w:hAnsi="Verdana" w:cs="Verdana Pro"/>
          <w:color w:val="000000" w:themeColor="text1"/>
        </w:rPr>
        <w:t xml:space="preserve"> justificar la creación de </w:t>
      </w:r>
      <w:proofErr w:type="gramStart"/>
      <w:r w:rsidRPr="008B0E6C">
        <w:rPr>
          <w:rFonts w:ascii="Verdana" w:eastAsia="Verdana Pro" w:hAnsi="Verdana" w:cs="Verdana Pro"/>
          <w:color w:val="000000" w:themeColor="text1"/>
        </w:rPr>
        <w:t>esta capítulo</w:t>
      </w:r>
      <w:proofErr w:type="gramEnd"/>
      <w:r w:rsidRPr="008B0E6C">
        <w:rPr>
          <w:rFonts w:ascii="Verdana" w:eastAsia="Verdana Pro" w:hAnsi="Verdana" w:cs="Verdana Pro"/>
          <w:color w:val="000000" w:themeColor="text1"/>
        </w:rPr>
        <w:t xml:space="preserve">, para incorporar en las matrices de experiencia respectivas y que se encuentra igualmente descrito en la memoria justificativa que </w:t>
      </w:r>
      <w:r w:rsidR="004C6FFE" w:rsidRPr="008B0E6C">
        <w:rPr>
          <w:rFonts w:ascii="Verdana" w:eastAsia="Verdana Pro" w:hAnsi="Verdana" w:cs="Verdana Pro"/>
          <w:color w:val="000000" w:themeColor="text1"/>
        </w:rPr>
        <w:t>adopta la versión 2 de la presente modificación</w:t>
      </w:r>
      <w:r w:rsidRPr="008B0E6C">
        <w:rPr>
          <w:rFonts w:ascii="Verdana" w:eastAsia="Verdana Pro" w:hAnsi="Verdana" w:cs="Verdana Pro"/>
          <w:color w:val="000000" w:themeColor="text1"/>
        </w:rPr>
        <w:t>:</w:t>
      </w:r>
    </w:p>
    <w:p w14:paraId="73996BE9" w14:textId="77777777" w:rsidR="00366297" w:rsidRPr="008B0E6C" w:rsidRDefault="00366297" w:rsidP="00547A20">
      <w:pPr>
        <w:pStyle w:val="Prrafodelista"/>
        <w:tabs>
          <w:tab w:val="left" w:pos="7937"/>
        </w:tabs>
        <w:ind w:left="360" w:right="140"/>
        <w:rPr>
          <w:rFonts w:ascii="Verdana" w:eastAsia="Verdana Pro" w:hAnsi="Verdana" w:cs="Verdana Pro"/>
          <w:color w:val="000000" w:themeColor="text1"/>
        </w:rPr>
      </w:pPr>
    </w:p>
    <w:p w14:paraId="41243CAD"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8B0E6C">
        <w:rPr>
          <w:rFonts w:ascii="Verdana" w:eastAsia="Verdana Pro" w:hAnsi="Verdana" w:cs="Verdana Pro"/>
          <w:color w:val="000000" w:themeColor="text1"/>
        </w:rPr>
        <w:t>El Ministerio de Agricultura y Desarrollo Rural, mediante la Resolución 311 del 29 de diciembre del 2020, adoptó el Plan Nacional de Riego 2020-2039, con un horizonte a 20 años para alcanzar una cobertura de 10</w:t>
      </w:r>
      <w:r w:rsidRPr="008B0E6C">
        <w:rPr>
          <w:rFonts w:ascii="Arial" w:eastAsia="Verdana Pro" w:hAnsi="Arial" w:cs="Arial"/>
          <w:color w:val="000000" w:themeColor="text1"/>
        </w:rPr>
        <w:t> </w:t>
      </w:r>
      <w:r w:rsidRPr="008B0E6C">
        <w:rPr>
          <w:rFonts w:ascii="Verdana" w:eastAsia="Verdana Pro" w:hAnsi="Verdana" w:cs="Verdana Pro"/>
          <w:color w:val="000000" w:themeColor="text1"/>
        </w:rPr>
        <w:t>% del total de tierras con potencial para riego, que beneficiará a alrededor de 110.000 productores rurales.</w:t>
      </w:r>
    </w:p>
    <w:p w14:paraId="263886DA"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619A100B"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El Plan Nacional de Riego 2020-2039, es un programa de acciones que responde a la necesidad de construir e implementar una nueva visión de la adecuación de tierras en la planificación del riego que permita superar los obstáculos a los que se ha enfrentado este componente de la política agropecuaria nacional e incrementar de manera significativa el adecuado aprovechamiento del riego en la actividad productiva rural.</w:t>
      </w:r>
    </w:p>
    <w:p w14:paraId="6E664E56"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65D81900"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El Plan Nacional de Riego propone un conjunto de acciones para, en un período de veinte años, alcanzar una cobertura de 10 % del área potencialmente apta para ser habilitada mediante riego planificado. Se trata de inversiones en construcción de infraestructura nueva y adecuación de la existente y de acciones de fortalecimiento institucional orientadas a que el proceso de toma de decisiones se fundamente en criterios objetivos de focalización y priorización.</w:t>
      </w:r>
    </w:p>
    <w:p w14:paraId="2E43F416"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7FF7B6B9"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 xml:space="preserve">El Plan Nacional de Riego para el periodo 2020-2039 contempla la incorporación de aproximadamente 620.000 hectáreas nuevas dotadas con infraestructura de riego. A esto se suman diferentes intervenciones en distritos que ya existen —como rehabilitación, ampliación, modernización y complementación—, lo que permitirá </w:t>
      </w:r>
      <w:r w:rsidRPr="00611315">
        <w:rPr>
          <w:rFonts w:ascii="Verdana" w:eastAsia="Verdana Pro" w:hAnsi="Verdana" w:cs="Verdana Pro"/>
          <w:color w:val="000000" w:themeColor="text1"/>
        </w:rPr>
        <w:lastRenderedPageBreak/>
        <w:t>poner en funcionamiento 744.926 hectáreas adicionales respecto a las 1.100.027 hectáreas que actualmente cuentan con obras de riego.</w:t>
      </w:r>
    </w:p>
    <w:p w14:paraId="5D29C307"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262BCC12"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Según el Plan Nacional de Riego, si no se llevaran a cabo las inversiones contempladas en este, Colombia presentaría uno de los niveles de cobertura en riego más bajos frente a los países con los que compite en el ámbito agrícola, manteniéndose en el 6 %. Además, si continúa la tendencia reciente de baja inversión en este sector, el país apenas lograría aumentar la cobertura en riego en un punto porcentual, lo que reflejaría un avance muy limitado.</w:t>
      </w:r>
    </w:p>
    <w:p w14:paraId="794090EC"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3D04AB64"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En este sentido, la adecuación de tierras se entiende como un servicio público orientado al desarrollo rural, que se materializa mediante la construcción de infraestructura destinada al riego, drenaje y control de inundaciones. A esto se suman acciones complementarias que buscan incrementar la productividad, los ingresos de los productores y mejorar sus condiciones de vida, promoviendo un manejo integral, eficiente y sostenible dentro del ordenamiento productivo del territorio.</w:t>
      </w:r>
    </w:p>
    <w:p w14:paraId="772FE654"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03A41DE7"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En este contexto, el Plan Nacional de Riego busca orientar la planificación y puesta en marcha de una nueva generación de distritos de riego que presenten una adecuada rentabilidad tanto económica como social. Esto permitiría incentivar la participación del sector privado en procesos como la construcción, operación y mantenimiento de la infraestructura, principalmente en proyectos de gran escala. De esta manera, se pretende garantizar la sostenibilidad técnica, económica, social y ambiental de los nuevos distritos de riego.</w:t>
      </w:r>
    </w:p>
    <w:p w14:paraId="4A1BE449"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2B11954B"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La puesta en marcha de infraestructura destinada al riego contribuirá a aumentar la productividad en el sector agrícola, ya que permitirá una mayor producción y, en consecuencia, incrementará la disponibilidad de alimentos. Asimismo, el desarrollo asociado a los distritos de riego favorecerá el aumento del poder adquisitivo de la población, lo que a su vez facilitará mejores condiciones de alimentación.</w:t>
      </w:r>
    </w:p>
    <w:p w14:paraId="5C9930BE"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7BEFC256"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 xml:space="preserve">En el mismo sentido, de acuerdo con el documento CONPES 4184 del 27 de febrero de </w:t>
      </w:r>
      <w:proofErr w:type="gramStart"/>
      <w:r w:rsidRPr="00611315">
        <w:rPr>
          <w:rFonts w:ascii="Verdana" w:eastAsia="Verdana Pro" w:hAnsi="Verdana" w:cs="Verdana Pro"/>
          <w:color w:val="000000" w:themeColor="text1"/>
        </w:rPr>
        <w:t>2026 ,</w:t>
      </w:r>
      <w:proofErr w:type="gramEnd"/>
      <w:r w:rsidRPr="00611315">
        <w:rPr>
          <w:rFonts w:ascii="Verdana" w:eastAsia="Verdana Pro" w:hAnsi="Verdana" w:cs="Verdana Pro"/>
          <w:color w:val="000000" w:themeColor="text1"/>
        </w:rPr>
        <w:t xml:space="preserve"> en relación con el uso del riego mediante distritos para el desarrollo de procesos productivos agropecuarios, Colombia posee una amplia superficie con potencial para ser irrigada. No obstante, el país presenta uno de los niveles más bajos de cobertura de riego frente a su área potencial. A esto se suma que no se han finalizado distritos de riego de gran escala desde finales de la década de 1990, ni proyectos de mediana escala desde la década de 1980.</w:t>
      </w:r>
    </w:p>
    <w:p w14:paraId="37FF4ADD"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57E7D03C"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Como resultado, la cobertura de riego existente es insuficiente para aprovechar plenamente el potencial productivo del país. De acuerdo con datos del Viceministerio de Desarrollo Rural con corte a octubre de 2025, Colombia cuenta con aproximadamente 1,1 millones de hectáreas bajo riego, mientras que el potencial estimado alcanza 18,4 millones de hectáreas.</w:t>
      </w:r>
    </w:p>
    <w:p w14:paraId="732C605D"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0879D66F"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 xml:space="preserve">De </w:t>
      </w:r>
      <w:proofErr w:type="gramStart"/>
      <w:r w:rsidRPr="00611315">
        <w:rPr>
          <w:rFonts w:ascii="Verdana" w:eastAsia="Verdana Pro" w:hAnsi="Verdana" w:cs="Verdana Pro"/>
          <w:color w:val="000000" w:themeColor="text1"/>
        </w:rPr>
        <w:t>esas 1,1 millones</w:t>
      </w:r>
      <w:proofErr w:type="gramEnd"/>
      <w:r w:rsidRPr="00611315">
        <w:rPr>
          <w:rFonts w:ascii="Verdana" w:eastAsia="Verdana Pro" w:hAnsi="Verdana" w:cs="Verdana Pro"/>
          <w:color w:val="000000" w:themeColor="text1"/>
        </w:rPr>
        <w:t xml:space="preserve"> de hectáreas adecuadas, 361.963 hectáreas se han desarrollado con recursos públicos, distribuidas en 781 distritos de riego, de los cuales solo el 74 % se encuentra en operación. Además, dentro de los 80 distritos de riego que son propiedad de la ADR, que abarcan 162.355 hectáreas, únicamente el 66 % está actualmente en funcionamiento.</w:t>
      </w:r>
    </w:p>
    <w:p w14:paraId="45242389"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167415FD"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En este sentido, con el objetivo de fortalecer la gestión sostenible del suelo y mejorar la eficiencia y equidad del uso del agua para riego, el Ministerio de Ambiente y Desarrollo Sostenible, en concurrencia con el Ministerio de Agricultura y Desarrollo Rural, durante el periodo entre 2026 y 2036 diseñará e implementará una hoja de ruta para la articulación e implementación del Plan Nacional de Riego y el Plan Nacional de Riego para la Economía Campesina, Familiar y Comunitaria. Esta hoja de ruta definirá los mecanismos de coordinación interinstitucional, el cronograma de ejecución, las metas de cobertura y los criterios de priorización territorial, así como los indicadores de seguimiento y evaluación. Estos lineamientos se incorporarán en los planes regionales y locales de riego, garantizando una gestión del recurso hídrico eficiente, equitativa y sostenible.</w:t>
      </w:r>
    </w:p>
    <w:p w14:paraId="7E7C4EDE"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01EA9130"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De acuerdo con lo anterior, la disponibilidad de infraestructura de riego, drenaje y control de inundaciones constituye un elemento clave para impulsar el desarrollo del sector agropecuario y fortalecer el desarrollo rural. En un país como Colombia, que cuenta con un amplio potencial de tierras aptas para riego, la construcción y adecuada gestión de este tipo de infraestructura permite incrementar la productividad agrícola, mejorar la disponibilidad de alimentos y generar mayores ingresos para los productores rurales. Sin embargo, los niveles actuales de cobertura de riego siguen siendo limitados frente al potencial existente, lo que evidencia la necesidad de promover proyectos que amplíen y fortalezcan los distritos de riego en el territorio nacional.</w:t>
      </w:r>
    </w:p>
    <w:p w14:paraId="1ED09F8D"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4485B825"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 xml:space="preserve">En este contexto, la planeación, construcción y mantenimiento de obras de adecuación de tierras requieren capacidades técnicas y experiencia específica, debido a la complejidad de las intervenciones asociadas al manejo del recurso </w:t>
      </w:r>
      <w:r w:rsidRPr="00611315">
        <w:rPr>
          <w:rFonts w:ascii="Verdana" w:eastAsia="Verdana Pro" w:hAnsi="Verdana" w:cs="Verdana Pro"/>
          <w:color w:val="000000" w:themeColor="text1"/>
        </w:rPr>
        <w:lastRenderedPageBreak/>
        <w:t>hídrico, la construcción de canales, sistemas de drenaje y estructuras de protección frente a inundaciones. Por ello, resulta fundamental que los procesos de contratación pública incluyan criterios que permitan identificar y seleccionar proponentes con experiencia comprobada en este tipo de proyectos, garantizando así la calidad, funcionalidad y sostenibilidad de las obras ejecutadas.</w:t>
      </w:r>
    </w:p>
    <w:p w14:paraId="58F63EB4" w14:textId="77777777" w:rsidR="00547A20" w:rsidRPr="00611315" w:rsidRDefault="00547A20" w:rsidP="00547A20">
      <w:pPr>
        <w:pStyle w:val="Prrafodelista"/>
        <w:tabs>
          <w:tab w:val="left" w:pos="7937"/>
        </w:tabs>
        <w:ind w:left="360" w:right="140"/>
        <w:rPr>
          <w:rFonts w:ascii="Verdana" w:eastAsia="Verdana Pro" w:hAnsi="Verdana" w:cs="Verdana Pro"/>
          <w:color w:val="000000" w:themeColor="text1"/>
        </w:rPr>
      </w:pPr>
    </w:p>
    <w:p w14:paraId="79D0625E" w14:textId="77777777" w:rsidR="00547A20" w:rsidRPr="008B0E6C" w:rsidRDefault="00547A20" w:rsidP="00547A20">
      <w:pPr>
        <w:pStyle w:val="Prrafodelista"/>
        <w:tabs>
          <w:tab w:val="left" w:pos="7937"/>
        </w:tabs>
        <w:ind w:left="360" w:right="140"/>
        <w:rPr>
          <w:rFonts w:ascii="Verdana" w:eastAsia="Verdana Pro" w:hAnsi="Verdana" w:cs="Verdana Pro"/>
          <w:color w:val="000000" w:themeColor="text1"/>
        </w:rPr>
      </w:pPr>
      <w:r w:rsidRPr="00611315">
        <w:rPr>
          <w:rFonts w:ascii="Verdana" w:eastAsia="Verdana Pro" w:hAnsi="Verdana" w:cs="Verdana Pro"/>
          <w:color w:val="000000" w:themeColor="text1"/>
        </w:rPr>
        <w:t xml:space="preserve">En consecuencia, la inclusión de actividades relacionadas con infraestructura para riego, drenaje y protección contra inundaciones dentro de la Matriz 1 – Experiencia de los documentos tipo de licitación de obra pública de infraestructura de agua potable, saneamiento básico y estructuras hidráulicas resulta pertinente y necesaria. Esto permite reconocer la similitud técnica y constructiva entre este tipo de obras hidráulicas, asegurando que los oferentes cuenten con experiencia </w:t>
      </w:r>
      <w:r w:rsidRPr="008B0E6C">
        <w:rPr>
          <w:rFonts w:ascii="Verdana" w:eastAsia="Verdana Pro" w:hAnsi="Verdana" w:cs="Verdana Pro"/>
          <w:color w:val="000000" w:themeColor="text1"/>
        </w:rPr>
        <w:t>relevante en el manejo y ejecución de infraestructuras que involucren conducción, control y manejo de agua, lo cual contribuye a mejorar la eficiencia de los procesos contractuales y a garantizar la adecuada ejecución de proyectos orientados a la adecuación de tierras.</w:t>
      </w:r>
    </w:p>
    <w:p w14:paraId="4A5AAE54" w14:textId="7B260BBE"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r w:rsidRPr="008B0E6C">
        <w:rPr>
          <w:rFonts w:ascii="Verdana" w:eastAsia="Verdana Pro" w:hAnsi="Verdana" w:cs="Verdana Pro"/>
          <w:color w:val="000000" w:themeColor="text1"/>
          <w:sz w:val="22"/>
          <w:szCs w:val="22"/>
          <w:lang w:val="es-419"/>
        </w:rPr>
        <w:t xml:space="preserve">De acuerdo con el marco </w:t>
      </w:r>
      <w:r w:rsidR="006F2570" w:rsidRPr="008B0E6C">
        <w:rPr>
          <w:rFonts w:ascii="Verdana" w:eastAsia="Verdana Pro" w:hAnsi="Verdana" w:cs="Verdana Pro"/>
          <w:color w:val="000000" w:themeColor="text1"/>
          <w:sz w:val="22"/>
          <w:szCs w:val="22"/>
          <w:lang w:val="es-419"/>
        </w:rPr>
        <w:t>normativo</w:t>
      </w:r>
      <w:r w:rsidRPr="008B0E6C">
        <w:rPr>
          <w:rFonts w:ascii="Verdana" w:eastAsia="Verdana Pro" w:hAnsi="Verdana" w:cs="Verdana Pro"/>
          <w:color w:val="000000" w:themeColor="text1"/>
          <w:sz w:val="22"/>
          <w:szCs w:val="22"/>
          <w:lang w:val="es-419"/>
        </w:rPr>
        <w:t xml:space="preserve"> anterior, para la </w:t>
      </w:r>
      <w:r w:rsidR="006F2570" w:rsidRPr="008B0E6C">
        <w:rPr>
          <w:rFonts w:ascii="Verdana" w:eastAsia="Verdana Pro" w:hAnsi="Verdana" w:cs="Verdana Pro"/>
          <w:color w:val="000000" w:themeColor="text1"/>
          <w:sz w:val="22"/>
          <w:szCs w:val="22"/>
          <w:lang w:val="es-419"/>
        </w:rPr>
        <w:t>presente</w:t>
      </w:r>
      <w:r w:rsidRPr="008B0E6C">
        <w:rPr>
          <w:rFonts w:ascii="Verdana" w:eastAsia="Verdana Pro" w:hAnsi="Verdana" w:cs="Verdana Pro"/>
          <w:color w:val="000000" w:themeColor="text1"/>
          <w:sz w:val="22"/>
          <w:szCs w:val="22"/>
          <w:lang w:val="es-419"/>
        </w:rPr>
        <w:t xml:space="preserve"> modificación, se incorpora</w:t>
      </w:r>
      <w:r w:rsidR="00BE6689" w:rsidRPr="008B0E6C">
        <w:rPr>
          <w:rFonts w:ascii="Verdana" w:eastAsia="Verdana Pro" w:hAnsi="Verdana" w:cs="Verdana Pro"/>
          <w:color w:val="000000" w:themeColor="text1"/>
          <w:sz w:val="22"/>
          <w:szCs w:val="22"/>
          <w:lang w:val="es-419"/>
        </w:rPr>
        <w:t xml:space="preserve"> el </w:t>
      </w:r>
      <w:r w:rsidR="00D82866" w:rsidRPr="008B0E6C">
        <w:rPr>
          <w:rFonts w:ascii="Verdana" w:eastAsia="Verdana Pro" w:hAnsi="Verdana" w:cs="Verdana Pro"/>
          <w:color w:val="000000" w:themeColor="text1"/>
          <w:sz w:val="22"/>
          <w:szCs w:val="22"/>
          <w:lang w:val="es-419"/>
        </w:rPr>
        <w:t>capítulo</w:t>
      </w:r>
      <w:r w:rsidR="00BE6689" w:rsidRPr="008B0E6C">
        <w:rPr>
          <w:rFonts w:ascii="Verdana" w:eastAsia="Verdana Pro" w:hAnsi="Verdana" w:cs="Verdana Pro"/>
          <w:color w:val="000000" w:themeColor="text1"/>
          <w:sz w:val="22"/>
          <w:szCs w:val="22"/>
          <w:lang w:val="es-419"/>
        </w:rPr>
        <w:t xml:space="preserve"> </w:t>
      </w:r>
      <w:r w:rsidR="00091AE8" w:rsidRPr="008B0E6C">
        <w:rPr>
          <w:rFonts w:ascii="Verdana" w:eastAsia="Verdana Pro" w:hAnsi="Verdana" w:cs="Verdana Pro"/>
          <w:color w:val="000000" w:themeColor="text1"/>
          <w:sz w:val="22"/>
          <w:szCs w:val="22"/>
          <w:lang w:val="es-419"/>
        </w:rPr>
        <w:t xml:space="preserve">10.  PROYECTOS Y/U OBRAS DE INFRAESTRUCTURA PARA RIEGO Y/O, DRENAJE Y/O PROTECCION CONTRA INUNDACIONES PARA ADECUACION DE TIERRAS, </w:t>
      </w:r>
      <w:proofErr w:type="gramStart"/>
      <w:r w:rsidR="00091AE8" w:rsidRPr="008B0E6C">
        <w:rPr>
          <w:rFonts w:ascii="Verdana" w:eastAsia="Verdana Pro" w:hAnsi="Verdana" w:cs="Verdana Pro"/>
          <w:color w:val="000000" w:themeColor="text1"/>
          <w:sz w:val="22"/>
          <w:szCs w:val="22"/>
          <w:lang w:val="es-419"/>
        </w:rPr>
        <w:t>que</w:t>
      </w:r>
      <w:proofErr w:type="gramEnd"/>
      <w:r w:rsidR="00091AE8" w:rsidRPr="008B0E6C">
        <w:rPr>
          <w:rFonts w:ascii="Verdana" w:eastAsia="Verdana Pro" w:hAnsi="Verdana" w:cs="Verdana Pro"/>
          <w:color w:val="000000" w:themeColor="text1"/>
          <w:sz w:val="22"/>
          <w:szCs w:val="22"/>
          <w:lang w:val="es-419"/>
        </w:rPr>
        <w:t xml:space="preserve"> a su vez, incluye</w:t>
      </w:r>
      <w:r w:rsidRPr="008B0E6C">
        <w:rPr>
          <w:rFonts w:ascii="Verdana" w:eastAsia="Verdana Pro" w:hAnsi="Verdana" w:cs="Verdana Pro"/>
          <w:color w:val="000000" w:themeColor="text1"/>
          <w:sz w:val="22"/>
          <w:szCs w:val="22"/>
          <w:lang w:val="es-419"/>
        </w:rPr>
        <w:t xml:space="preserve"> las siguientes </w:t>
      </w:r>
      <w:r w:rsidR="006F2570" w:rsidRPr="008B0E6C">
        <w:rPr>
          <w:rFonts w:ascii="Verdana" w:eastAsia="Verdana Pro" w:hAnsi="Verdana" w:cs="Verdana Pro"/>
          <w:color w:val="000000" w:themeColor="text1"/>
          <w:sz w:val="22"/>
          <w:szCs w:val="22"/>
          <w:lang w:val="es-419"/>
        </w:rPr>
        <w:t>actividades</w:t>
      </w:r>
      <w:r w:rsidRPr="008B0E6C">
        <w:rPr>
          <w:rFonts w:ascii="Verdana" w:eastAsia="Verdana Pro" w:hAnsi="Verdana" w:cs="Verdana Pro"/>
          <w:color w:val="000000" w:themeColor="text1"/>
          <w:sz w:val="22"/>
          <w:szCs w:val="22"/>
          <w:lang w:val="es-419"/>
        </w:rPr>
        <w:t xml:space="preserve"> en la matriz de experiencia:</w:t>
      </w:r>
    </w:p>
    <w:p w14:paraId="13DEA1DD" w14:textId="77777777" w:rsidR="00547A20" w:rsidRPr="008B0E6C" w:rsidRDefault="00547A20" w:rsidP="00547A20">
      <w:pPr>
        <w:tabs>
          <w:tab w:val="left" w:pos="7937"/>
        </w:tabs>
        <w:spacing w:line="276" w:lineRule="auto"/>
        <w:ind w:right="140"/>
        <w:jc w:val="both"/>
        <w:rPr>
          <w:rFonts w:ascii="Verdana" w:eastAsia="Verdana Pro" w:hAnsi="Verdana" w:cs="Verdana Pro"/>
          <w:color w:val="000000" w:themeColor="text1"/>
          <w:sz w:val="22"/>
          <w:szCs w:val="22"/>
          <w:lang w:val="es-419"/>
        </w:rPr>
      </w:pPr>
    </w:p>
    <w:p w14:paraId="5EF44A7D" w14:textId="1D117B22"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10.1. Proyectos de construcción y/o ampliación y/o reconstrucción y/o adecuación y/o conservación y/o intervención y/o instalación y/o mantenimiento y/o mejoramiento y/o modificación u optimización y/o rehabilitación y/o reposición y/o reparación y/o restauración y/</w:t>
      </w:r>
      <w:r w:rsidR="00D82866" w:rsidRPr="008B0E6C">
        <w:rPr>
          <w:rFonts w:ascii="Verdana" w:eastAsia="Verdana Pro" w:hAnsi="Verdana" w:cs="Verdana Pro"/>
          <w:color w:val="000000" w:themeColor="text1"/>
          <w:sz w:val="22"/>
          <w:szCs w:val="22"/>
        </w:rPr>
        <w:t>o terminación</w:t>
      </w:r>
      <w:r w:rsidRPr="008B0E6C">
        <w:rPr>
          <w:rFonts w:ascii="Verdana" w:eastAsia="Verdana Pro" w:hAnsi="Verdana" w:cs="Verdana Pro"/>
          <w:color w:val="000000" w:themeColor="text1"/>
          <w:sz w:val="22"/>
          <w:szCs w:val="22"/>
        </w:rPr>
        <w:t xml:space="preserve"> de sistemas de riego por gravedad y/o sistemas de riego presurizados (aspersión y/o goteo).</w:t>
      </w:r>
    </w:p>
    <w:p w14:paraId="5CDA87E2"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469BC736" w14:textId="1619D400"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10.2. Proyectos de construcción y/o ampliación y/o reconstrucción y/o adecuación y/o conservación y/o intervención y/o instalación y/o mantenimiento y/o mejoramiento y/o modificación u optimización y/o rehabilitación y/o reposición y/o reparación y/o restauración y/</w:t>
      </w:r>
      <w:r w:rsidR="00D82866" w:rsidRPr="008B0E6C">
        <w:rPr>
          <w:rFonts w:ascii="Verdana" w:eastAsia="Verdana Pro" w:hAnsi="Verdana" w:cs="Verdana Pro"/>
          <w:color w:val="000000" w:themeColor="text1"/>
          <w:sz w:val="22"/>
          <w:szCs w:val="22"/>
        </w:rPr>
        <w:t>o terminación</w:t>
      </w:r>
      <w:r w:rsidRPr="008B0E6C">
        <w:rPr>
          <w:rFonts w:ascii="Verdana" w:eastAsia="Verdana Pro" w:hAnsi="Verdana" w:cs="Verdana Pro"/>
          <w:color w:val="000000" w:themeColor="text1"/>
          <w:sz w:val="22"/>
          <w:szCs w:val="22"/>
        </w:rPr>
        <w:t xml:space="preserve"> de estaciones de bombeo y/o energía.</w:t>
      </w:r>
    </w:p>
    <w:p w14:paraId="613641D9"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79891CDC" w14:textId="67F4622E"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 xml:space="preserve">10.3. Proyectos de construcción y/o ampliación y/o reconstrucción y/o adecuación y/o conservación y/o intervención y/o instalación y/o </w:t>
      </w:r>
      <w:r w:rsidRPr="008B0E6C">
        <w:rPr>
          <w:rFonts w:ascii="Verdana" w:eastAsia="Verdana Pro" w:hAnsi="Verdana" w:cs="Verdana Pro"/>
          <w:color w:val="000000" w:themeColor="text1"/>
          <w:sz w:val="22"/>
          <w:szCs w:val="22"/>
        </w:rPr>
        <w:lastRenderedPageBreak/>
        <w:t>mantenimiento y/o mejoramiento y/o modificación u optimización y/o rehabilitación y/o reposición y/o reparación y/o restauración y/</w:t>
      </w:r>
      <w:r w:rsidR="00D82866" w:rsidRPr="008B0E6C">
        <w:rPr>
          <w:rFonts w:ascii="Verdana" w:eastAsia="Verdana Pro" w:hAnsi="Verdana" w:cs="Verdana Pro"/>
          <w:color w:val="000000" w:themeColor="text1"/>
          <w:sz w:val="22"/>
          <w:szCs w:val="22"/>
        </w:rPr>
        <w:t>o terminación</w:t>
      </w:r>
      <w:r w:rsidRPr="008B0E6C">
        <w:rPr>
          <w:rFonts w:ascii="Verdana" w:eastAsia="Verdana Pro" w:hAnsi="Verdana" w:cs="Verdana Pro"/>
          <w:color w:val="000000" w:themeColor="text1"/>
          <w:sz w:val="22"/>
          <w:szCs w:val="22"/>
        </w:rPr>
        <w:t xml:space="preserve"> de obras complementarias y/o de protección contra inundaciones y/o defensas y/o encauzamientos.</w:t>
      </w:r>
    </w:p>
    <w:p w14:paraId="1C252DDE"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595D608F" w14:textId="0E2C2C4E"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10.4. Proyectos de construcción y/o ampliación y/o reconstrucción y/o adecuación y/o conservación y/o intervención y/o instalación y/o mantenimiento y/o mejoramiento y/o modificación u optimización y/o rehabilitación y/o reposición y/o reparación y/o restauración y/</w:t>
      </w:r>
      <w:r w:rsidR="00D82866" w:rsidRPr="008B0E6C">
        <w:rPr>
          <w:rFonts w:ascii="Verdana" w:eastAsia="Verdana Pro" w:hAnsi="Verdana" w:cs="Verdana Pro"/>
          <w:color w:val="000000" w:themeColor="text1"/>
          <w:sz w:val="22"/>
          <w:szCs w:val="22"/>
        </w:rPr>
        <w:t>o terminación</w:t>
      </w:r>
      <w:r w:rsidRPr="008B0E6C">
        <w:rPr>
          <w:rFonts w:ascii="Verdana" w:eastAsia="Verdana Pro" w:hAnsi="Verdana" w:cs="Verdana Pro"/>
          <w:color w:val="000000" w:themeColor="text1"/>
          <w:sz w:val="22"/>
          <w:szCs w:val="22"/>
        </w:rPr>
        <w:t xml:space="preserve"> y/u obras complementarias de caminos de servicio.</w:t>
      </w:r>
    </w:p>
    <w:p w14:paraId="6E4E2FA7"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4887147A"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10.5. Proyectos de construcción y/o ampliación y/o reconstrucción y/o adecuación y/o conservación y/o intervención y/o instalación y/o mantenimiento y/o mejoramiento y/o modificación u optimización y/o rehabilitación y/o reposición y/o reparación y/o restauración y/o terminación de cerramientos y/o cercas.</w:t>
      </w:r>
    </w:p>
    <w:p w14:paraId="01295B13"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2A9797B5"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10.6. Proyectos de construcción y/o ampliación y/o reconstrucción y/o adecuación y/o conservación y/o intervención y/o instalación y/o mantenimiento y/o mejoramiento y/o modificación u optimización y/o rehabilitación y/o reposición y/o reparación y/o restauración y/o terminación de señalización.</w:t>
      </w:r>
    </w:p>
    <w:p w14:paraId="14A3D040"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6B78EFE4" w14:textId="22DEC07F"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10.7. Proyectos de construcción y/o ampliación y/o reconstrucción y/o adecuación y/o conservación y/o intervención y/o instalación y/o mantenimiento y/o mejoramiento y/o modificación y/u optimización y/o rehabilitación y/o reposición y/o reparación y/o restauración y/</w:t>
      </w:r>
      <w:r w:rsidR="00D82866" w:rsidRPr="008B0E6C">
        <w:rPr>
          <w:rFonts w:ascii="Verdana" w:eastAsia="Verdana Pro" w:hAnsi="Verdana" w:cs="Verdana Pro"/>
          <w:color w:val="000000" w:themeColor="text1"/>
          <w:sz w:val="22"/>
          <w:szCs w:val="22"/>
        </w:rPr>
        <w:t>o terminación</w:t>
      </w:r>
      <w:r w:rsidRPr="008B0E6C">
        <w:rPr>
          <w:rFonts w:ascii="Verdana" w:eastAsia="Verdana Pro" w:hAnsi="Verdana" w:cs="Verdana Pro"/>
          <w:color w:val="000000" w:themeColor="text1"/>
          <w:sz w:val="22"/>
          <w:szCs w:val="22"/>
        </w:rPr>
        <w:t xml:space="preserve"> de obras de drenaje (drenes agrícolas y/</w:t>
      </w:r>
      <w:proofErr w:type="spellStart"/>
      <w:r w:rsidRPr="008B0E6C">
        <w:rPr>
          <w:rFonts w:ascii="Verdana" w:eastAsia="Verdana Pro" w:hAnsi="Verdana" w:cs="Verdana Pro"/>
          <w:color w:val="000000" w:themeColor="text1"/>
          <w:sz w:val="22"/>
          <w:szCs w:val="22"/>
        </w:rPr>
        <w:t>o</w:t>
      </w:r>
      <w:proofErr w:type="spellEnd"/>
      <w:r w:rsidRPr="008B0E6C">
        <w:rPr>
          <w:rFonts w:ascii="Verdana" w:eastAsia="Verdana Pro" w:hAnsi="Verdana" w:cs="Verdana Pro"/>
          <w:color w:val="000000" w:themeColor="text1"/>
          <w:sz w:val="22"/>
          <w:szCs w:val="22"/>
        </w:rPr>
        <w:t xml:space="preserve"> obras de drenaje en general).</w:t>
      </w:r>
    </w:p>
    <w:p w14:paraId="1997EEB6"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74AD74FC" w14:textId="413CFA42"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10.8. Proyectos de construcción y/o ampliación y/o reconstrucción y/o adecuación y/</w:t>
      </w:r>
      <w:r w:rsidR="00D82866" w:rsidRPr="008B0E6C">
        <w:rPr>
          <w:rFonts w:ascii="Verdana" w:eastAsia="Verdana Pro" w:hAnsi="Verdana" w:cs="Verdana Pro"/>
          <w:color w:val="000000" w:themeColor="text1"/>
          <w:sz w:val="22"/>
          <w:szCs w:val="22"/>
        </w:rPr>
        <w:t>o intervención</w:t>
      </w:r>
      <w:r w:rsidRPr="008B0E6C">
        <w:rPr>
          <w:rFonts w:ascii="Verdana" w:eastAsia="Verdana Pro" w:hAnsi="Verdana" w:cs="Verdana Pro"/>
          <w:color w:val="000000" w:themeColor="text1"/>
          <w:sz w:val="22"/>
          <w:szCs w:val="22"/>
        </w:rPr>
        <w:t xml:space="preserve"> y/o instalación y/o mantenimiento y/o mejoramiento y/o modificación y/u optimización y/o rehabilitación y/o reposición y/o reparación y/o restauración y/o terminación y/o modernización de equipos eléctricos y/o electromecánicos.</w:t>
      </w:r>
    </w:p>
    <w:p w14:paraId="3D6DE294" w14:textId="77777777"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p>
    <w:p w14:paraId="3B9A2B59" w14:textId="14E0E2C2" w:rsidR="00547A20" w:rsidRPr="008B0E6C" w:rsidRDefault="00547A20" w:rsidP="00547A20">
      <w:pPr>
        <w:tabs>
          <w:tab w:val="left" w:pos="7937"/>
        </w:tabs>
        <w:spacing w:line="276" w:lineRule="auto"/>
        <w:ind w:left="720" w:right="140"/>
        <w:jc w:val="both"/>
        <w:rPr>
          <w:rFonts w:ascii="Verdana" w:eastAsia="Verdana Pro" w:hAnsi="Verdana" w:cs="Verdana Pro"/>
          <w:color w:val="000000" w:themeColor="text1"/>
          <w:sz w:val="22"/>
          <w:szCs w:val="22"/>
        </w:rPr>
      </w:pPr>
      <w:r w:rsidRPr="008B0E6C">
        <w:rPr>
          <w:rFonts w:ascii="Verdana" w:eastAsia="Verdana Pro" w:hAnsi="Verdana" w:cs="Verdana Pro"/>
          <w:color w:val="000000" w:themeColor="text1"/>
          <w:sz w:val="22"/>
          <w:szCs w:val="22"/>
        </w:rPr>
        <w:t>10.9. Proyectos de construcción y/o ampliación y/o reconstrucción y/o adecuación y/</w:t>
      </w:r>
      <w:r w:rsidR="00D82866" w:rsidRPr="008B0E6C">
        <w:rPr>
          <w:rFonts w:ascii="Verdana" w:eastAsia="Verdana Pro" w:hAnsi="Verdana" w:cs="Verdana Pro"/>
          <w:color w:val="000000" w:themeColor="text1"/>
          <w:sz w:val="22"/>
          <w:szCs w:val="22"/>
        </w:rPr>
        <w:t>o intervención</w:t>
      </w:r>
      <w:r w:rsidRPr="008B0E6C">
        <w:rPr>
          <w:rFonts w:ascii="Verdana" w:eastAsia="Verdana Pro" w:hAnsi="Verdana" w:cs="Verdana Pro"/>
          <w:color w:val="000000" w:themeColor="text1"/>
          <w:sz w:val="22"/>
          <w:szCs w:val="22"/>
        </w:rPr>
        <w:t xml:space="preserve"> y/o instalación y/o mantenimiento y/o mejoramiento y/o modificación y/u optimización y/o rehabilitación y/o reposición y/o reparación y/o restauración y/o terminación y/o modernización de reservorios y/</w:t>
      </w:r>
      <w:proofErr w:type="spellStart"/>
      <w:r w:rsidRPr="008B0E6C">
        <w:rPr>
          <w:rFonts w:ascii="Verdana" w:eastAsia="Verdana Pro" w:hAnsi="Verdana" w:cs="Verdana Pro"/>
          <w:color w:val="000000" w:themeColor="text1"/>
          <w:sz w:val="22"/>
          <w:szCs w:val="22"/>
        </w:rPr>
        <w:t>o</w:t>
      </w:r>
      <w:proofErr w:type="spellEnd"/>
      <w:r w:rsidRPr="008B0E6C">
        <w:rPr>
          <w:rFonts w:ascii="Verdana" w:eastAsia="Verdana Pro" w:hAnsi="Verdana" w:cs="Verdana Pro"/>
          <w:color w:val="000000" w:themeColor="text1"/>
          <w:sz w:val="22"/>
          <w:szCs w:val="22"/>
        </w:rPr>
        <w:t xml:space="preserve"> obras de regulación.</w:t>
      </w:r>
    </w:p>
    <w:p w14:paraId="05CA7534" w14:textId="77777777" w:rsidR="004D10D8" w:rsidRPr="008B0E6C" w:rsidRDefault="004D10D8" w:rsidP="449377F1">
      <w:pPr>
        <w:tabs>
          <w:tab w:val="left" w:pos="7937"/>
        </w:tabs>
        <w:spacing w:line="276" w:lineRule="auto"/>
        <w:ind w:right="140"/>
        <w:jc w:val="both"/>
        <w:rPr>
          <w:rFonts w:ascii="Verdana" w:hAnsi="Verdana" w:cs="Arial"/>
          <w:sz w:val="22"/>
          <w:szCs w:val="22"/>
        </w:rPr>
      </w:pPr>
    </w:p>
    <w:p w14:paraId="1D6E334A" w14:textId="48E0BAA4" w:rsidR="004D10D8" w:rsidRPr="008B0E6C" w:rsidRDefault="004D10D8" w:rsidP="0DFDB792">
      <w:pPr>
        <w:jc w:val="both"/>
        <w:rPr>
          <w:rFonts w:ascii="Verdana" w:hAnsi="Verdana" w:cs="Arial"/>
          <w:sz w:val="22"/>
          <w:szCs w:val="22"/>
        </w:rPr>
      </w:pPr>
      <w:r w:rsidRPr="008B0E6C">
        <w:rPr>
          <w:rFonts w:ascii="Verdana" w:hAnsi="Verdana" w:cs="Arial"/>
          <w:sz w:val="22"/>
          <w:szCs w:val="22"/>
        </w:rPr>
        <w:t xml:space="preserve">La determinación de crear estos nuevos capítulos hace necesario ajustar </w:t>
      </w:r>
      <w:r w:rsidR="00F00125" w:rsidRPr="008B0E6C">
        <w:rPr>
          <w:rFonts w:ascii="Verdana" w:hAnsi="Verdana" w:cs="Arial"/>
          <w:sz w:val="22"/>
          <w:szCs w:val="22"/>
        </w:rPr>
        <w:t xml:space="preserve">de </w:t>
      </w:r>
      <w:r w:rsidR="00B032E4" w:rsidRPr="008B0E6C">
        <w:rPr>
          <w:rFonts w:ascii="Verdana" w:hAnsi="Verdana" w:cs="Arial"/>
          <w:sz w:val="22"/>
          <w:szCs w:val="22"/>
        </w:rPr>
        <w:t xml:space="preserve">denominación de los Documentos Tipo de agua potable y saneamiento </w:t>
      </w:r>
      <w:r w:rsidR="00D82866" w:rsidRPr="008B0E6C">
        <w:rPr>
          <w:rFonts w:ascii="Verdana" w:hAnsi="Verdana" w:cs="Arial"/>
          <w:sz w:val="22"/>
          <w:szCs w:val="22"/>
        </w:rPr>
        <w:t>básico y</w:t>
      </w:r>
      <w:r w:rsidR="00B032E4" w:rsidRPr="008B0E6C">
        <w:rPr>
          <w:rFonts w:ascii="Verdana" w:hAnsi="Verdana" w:cs="Arial"/>
          <w:sz w:val="22"/>
          <w:szCs w:val="22"/>
        </w:rPr>
        <w:t xml:space="preserve"> para la</w:t>
      </w:r>
      <w:r w:rsidR="003D108B" w:rsidRPr="008B0E6C">
        <w:rPr>
          <w:rFonts w:ascii="Verdana" w:hAnsi="Verdana" w:cs="Arial"/>
          <w:sz w:val="22"/>
          <w:szCs w:val="22"/>
        </w:rPr>
        <w:t xml:space="preserve"> versión -2- </w:t>
      </w:r>
      <w:r w:rsidR="00B032E4" w:rsidRPr="008B0E6C">
        <w:rPr>
          <w:rFonts w:ascii="Verdana" w:hAnsi="Verdana" w:cs="Arial"/>
          <w:sz w:val="22"/>
          <w:szCs w:val="22"/>
        </w:rPr>
        <w:t>definirlo como</w:t>
      </w:r>
      <w:r w:rsidR="003D108B" w:rsidRPr="008B0E6C">
        <w:rPr>
          <w:rFonts w:ascii="Verdana" w:hAnsi="Verdana" w:cs="Arial"/>
          <w:sz w:val="22"/>
          <w:szCs w:val="22"/>
        </w:rPr>
        <w:t xml:space="preserve"> </w:t>
      </w:r>
      <w:r w:rsidR="00B032E4" w:rsidRPr="008B0E6C">
        <w:rPr>
          <w:rFonts w:ascii="Verdana" w:hAnsi="Verdana" w:cs="Arial"/>
          <w:sz w:val="22"/>
          <w:szCs w:val="22"/>
        </w:rPr>
        <w:t>“</w:t>
      </w:r>
      <w:r w:rsidR="003D108B" w:rsidRPr="008B0E6C">
        <w:rPr>
          <w:rFonts w:ascii="Verdana" w:hAnsi="Verdana" w:cs="Arial"/>
          <w:sz w:val="22"/>
          <w:szCs w:val="22"/>
        </w:rPr>
        <w:t>obras de infraestructura de agua potable, saneamiento básico y estructuras hidráulicas</w:t>
      </w:r>
      <w:r w:rsidR="00B032E4" w:rsidRPr="008B0E6C">
        <w:rPr>
          <w:rFonts w:ascii="Verdana" w:hAnsi="Verdana" w:cs="Arial"/>
          <w:sz w:val="22"/>
          <w:szCs w:val="22"/>
        </w:rPr>
        <w:t>”.</w:t>
      </w:r>
    </w:p>
    <w:p w14:paraId="44D7495B" w14:textId="59D88A4A" w:rsidR="449377F1" w:rsidRPr="008B0E6C" w:rsidRDefault="449377F1" w:rsidP="449377F1">
      <w:pPr>
        <w:tabs>
          <w:tab w:val="left" w:pos="7937"/>
        </w:tabs>
        <w:spacing w:line="276" w:lineRule="auto"/>
        <w:ind w:right="140"/>
        <w:jc w:val="both"/>
        <w:rPr>
          <w:rFonts w:ascii="Verdana" w:eastAsia="Verdana Pro" w:hAnsi="Verdana" w:cs="Verdana Pro"/>
          <w:color w:val="000000" w:themeColor="text1"/>
          <w:sz w:val="22"/>
          <w:szCs w:val="22"/>
          <w:lang w:val="es-419"/>
        </w:rPr>
      </w:pPr>
    </w:p>
    <w:p w14:paraId="08DEFA84" w14:textId="1BA061B3" w:rsidR="00E7045E" w:rsidRPr="008B0E6C" w:rsidRDefault="6C43E738" w:rsidP="449377F1">
      <w:pPr>
        <w:jc w:val="both"/>
        <w:rPr>
          <w:rFonts w:ascii="Verdana" w:eastAsia="Arial" w:hAnsi="Verdana" w:cs="Arial"/>
          <w:b/>
          <w:bCs/>
          <w:sz w:val="22"/>
          <w:szCs w:val="22"/>
        </w:rPr>
      </w:pPr>
      <w:r w:rsidRPr="008B0E6C">
        <w:rPr>
          <w:rFonts w:ascii="Verdana" w:eastAsia="Arial" w:hAnsi="Verdana" w:cs="Arial"/>
          <w:b/>
          <w:bCs/>
          <w:sz w:val="22"/>
          <w:szCs w:val="22"/>
        </w:rPr>
        <w:t xml:space="preserve">Principales </w:t>
      </w:r>
      <w:r w:rsidR="7A7D00A0" w:rsidRPr="008B0E6C">
        <w:rPr>
          <w:rFonts w:ascii="Verdana" w:eastAsia="Arial" w:hAnsi="Verdana" w:cs="Arial"/>
          <w:b/>
          <w:bCs/>
          <w:sz w:val="22"/>
          <w:szCs w:val="22"/>
        </w:rPr>
        <w:t>a</w:t>
      </w:r>
      <w:r w:rsidRPr="008B0E6C">
        <w:rPr>
          <w:rFonts w:ascii="Verdana" w:eastAsia="Arial" w:hAnsi="Verdana" w:cs="Arial"/>
          <w:b/>
          <w:bCs/>
          <w:sz w:val="22"/>
          <w:szCs w:val="22"/>
        </w:rPr>
        <w:t xml:space="preserve">justes </w:t>
      </w:r>
      <w:r w:rsidR="31E683A5" w:rsidRPr="008B0E6C">
        <w:rPr>
          <w:rFonts w:ascii="Verdana" w:eastAsia="Arial" w:hAnsi="Verdana" w:cs="Arial"/>
          <w:b/>
          <w:bCs/>
          <w:sz w:val="22"/>
          <w:szCs w:val="22"/>
        </w:rPr>
        <w:t>t</w:t>
      </w:r>
      <w:r w:rsidRPr="008B0E6C">
        <w:rPr>
          <w:rFonts w:ascii="Verdana" w:eastAsia="Arial" w:hAnsi="Verdana" w:cs="Arial"/>
          <w:b/>
          <w:bCs/>
          <w:sz w:val="22"/>
          <w:szCs w:val="22"/>
        </w:rPr>
        <w:t xml:space="preserve">écnicos </w:t>
      </w:r>
      <w:r w:rsidR="479C28AE" w:rsidRPr="008B0E6C">
        <w:rPr>
          <w:rFonts w:ascii="Verdana" w:eastAsia="Arial" w:hAnsi="Verdana" w:cs="Arial"/>
          <w:b/>
          <w:bCs/>
          <w:sz w:val="22"/>
          <w:szCs w:val="22"/>
        </w:rPr>
        <w:t>i</w:t>
      </w:r>
      <w:r w:rsidRPr="008B0E6C">
        <w:rPr>
          <w:rFonts w:ascii="Verdana" w:eastAsia="Arial" w:hAnsi="Verdana" w:cs="Arial"/>
          <w:b/>
          <w:bCs/>
          <w:sz w:val="22"/>
          <w:szCs w:val="22"/>
        </w:rPr>
        <w:t xml:space="preserve">ncorporados en el </w:t>
      </w:r>
      <w:r w:rsidR="4B2B48E2" w:rsidRPr="008B0E6C">
        <w:rPr>
          <w:rFonts w:ascii="Verdana" w:eastAsia="Arial" w:hAnsi="Verdana" w:cs="Arial"/>
          <w:b/>
          <w:bCs/>
          <w:sz w:val="22"/>
          <w:szCs w:val="22"/>
        </w:rPr>
        <w:t xml:space="preserve">Anexo 3 - </w:t>
      </w:r>
      <w:r w:rsidRPr="008B0E6C">
        <w:rPr>
          <w:rFonts w:ascii="Verdana" w:eastAsia="Arial" w:hAnsi="Verdana" w:cs="Arial"/>
          <w:b/>
          <w:bCs/>
          <w:sz w:val="22"/>
          <w:szCs w:val="22"/>
        </w:rPr>
        <w:t>Glosario:</w:t>
      </w:r>
    </w:p>
    <w:p w14:paraId="6D3D4363" w14:textId="77777777" w:rsidR="00E7045E" w:rsidRPr="008B0E6C" w:rsidRDefault="00E7045E" w:rsidP="00E7045E">
      <w:pPr>
        <w:jc w:val="both"/>
        <w:rPr>
          <w:rFonts w:ascii="Verdana" w:hAnsi="Verdana" w:cs="Arial"/>
          <w:sz w:val="22"/>
          <w:szCs w:val="22"/>
          <w:lang w:val="es-MX"/>
        </w:rPr>
      </w:pPr>
    </w:p>
    <w:p w14:paraId="7FAF3C26" w14:textId="77777777" w:rsidR="00D77817" w:rsidRPr="008B0E6C" w:rsidRDefault="00D77817" w:rsidP="00A1160D">
      <w:pPr>
        <w:numPr>
          <w:ilvl w:val="0"/>
          <w:numId w:val="118"/>
        </w:numPr>
        <w:jc w:val="both"/>
        <w:rPr>
          <w:rFonts w:ascii="Verdana" w:hAnsi="Verdana" w:cs="Arial"/>
          <w:sz w:val="22"/>
          <w:szCs w:val="22"/>
          <w:lang w:val="es-ES"/>
        </w:rPr>
      </w:pPr>
      <w:r w:rsidRPr="008B0E6C">
        <w:rPr>
          <w:rFonts w:ascii="Verdana" w:hAnsi="Verdana" w:cs="Arial"/>
          <w:sz w:val="22"/>
          <w:szCs w:val="22"/>
          <w:lang w:val="es-ES"/>
        </w:rPr>
        <w:t>De manera general se actualizó el “Anexo 3 – Glosario de Licitación de Obra Pública de Infraestructura de Agua Potable y Saneamiento Básico, en el que se incluyen nuevas definiciones, se ajusta la redacción en algunas existente y se incluyen notas aclaratorias, las cuales surgieron de las consultas recibidas de ciudadanos, de entidades técnicas y especializadas y en general de las revisiones efectuadas por el equipo técnico de la Agencia.</w:t>
      </w:r>
    </w:p>
    <w:p w14:paraId="00A382A8" w14:textId="77777777" w:rsidR="00D77817" w:rsidRPr="008B0E6C" w:rsidRDefault="00D77817" w:rsidP="00D77817">
      <w:pPr>
        <w:jc w:val="both"/>
        <w:rPr>
          <w:rFonts w:ascii="Verdana" w:hAnsi="Verdana" w:cs="Arial"/>
          <w:sz w:val="22"/>
          <w:szCs w:val="22"/>
          <w:lang w:val="es-ES"/>
        </w:rPr>
      </w:pPr>
    </w:p>
    <w:p w14:paraId="1BD81C75" w14:textId="77777777" w:rsidR="00D77817" w:rsidRPr="008B0E6C" w:rsidRDefault="00D77817" w:rsidP="00A1160D">
      <w:pPr>
        <w:numPr>
          <w:ilvl w:val="0"/>
          <w:numId w:val="118"/>
        </w:numPr>
        <w:jc w:val="both"/>
        <w:rPr>
          <w:rFonts w:ascii="Verdana" w:hAnsi="Verdana" w:cs="Arial"/>
          <w:sz w:val="22"/>
          <w:szCs w:val="22"/>
          <w:lang w:val="es-ES"/>
        </w:rPr>
      </w:pPr>
      <w:r w:rsidRPr="008B0E6C">
        <w:rPr>
          <w:rFonts w:ascii="Verdana" w:hAnsi="Verdana" w:cs="Arial"/>
          <w:sz w:val="22"/>
          <w:szCs w:val="22"/>
          <w:lang w:val="es-ES"/>
        </w:rPr>
        <w:t>Se incorpora para el Glosario Técnico Especifico consideraciones relacionadas con el cumplimiento de la normatividad Ambiental:</w:t>
      </w:r>
    </w:p>
    <w:p w14:paraId="4CC87B89" w14:textId="77777777" w:rsidR="00D77817" w:rsidRPr="008B0E6C" w:rsidRDefault="00D77817" w:rsidP="00D77817">
      <w:pPr>
        <w:jc w:val="both"/>
        <w:rPr>
          <w:rFonts w:ascii="Verdana" w:hAnsi="Verdana" w:cs="Arial"/>
          <w:sz w:val="22"/>
          <w:szCs w:val="22"/>
          <w:lang w:val="es-ES"/>
        </w:rPr>
      </w:pPr>
    </w:p>
    <w:p w14:paraId="7EBAB198" w14:textId="5708979C" w:rsidR="00D77817" w:rsidRPr="00954F93" w:rsidRDefault="00D77817" w:rsidP="00954F93">
      <w:pPr>
        <w:pStyle w:val="Prrafodelista"/>
        <w:numPr>
          <w:ilvl w:val="1"/>
          <w:numId w:val="118"/>
        </w:numPr>
        <w:rPr>
          <w:rFonts w:ascii="Verdana" w:hAnsi="Verdana" w:cs="Arial"/>
          <w:i/>
          <w:iCs/>
          <w:lang w:val="es-ES"/>
        </w:rPr>
      </w:pPr>
      <w:r w:rsidRPr="008B0E6C">
        <w:rPr>
          <w:rFonts w:ascii="Verdana" w:hAnsi="Verdana" w:cs="Arial"/>
          <w:i/>
          <w:iCs/>
          <w:lang w:val="es-ES"/>
        </w:rPr>
        <w:t>“En materia ambiental, deben considerar lo previsto en la ley 99 de 1993, el decreto 1076 de 2015 “Por medio del cual se expide el Decreto Único Reglamentario del Sector Ambiente y Desarrollo Sostenible”, así como la Ley 1682 de 2013, el Decreto - Ley 2811 de 1974 (Código Nacional de Recursos Naturales Renovables), Ley 373 de 1997 Por la cual se establece el programa para el uso eficiente y ahorro del agua, entre otras o aquellas que modifiquen, sustituyan o adicionen.”</w:t>
      </w:r>
    </w:p>
    <w:p w14:paraId="2A080F12" w14:textId="237DC629" w:rsidR="00D77817" w:rsidRPr="00954F93" w:rsidRDefault="00D77817" w:rsidP="00954F93">
      <w:pPr>
        <w:numPr>
          <w:ilvl w:val="0"/>
          <w:numId w:val="118"/>
        </w:numPr>
        <w:jc w:val="both"/>
        <w:rPr>
          <w:rFonts w:ascii="Verdana" w:hAnsi="Verdana" w:cs="Arial"/>
          <w:lang w:val="es-ES"/>
        </w:rPr>
      </w:pPr>
      <w:r w:rsidRPr="008B0E6C">
        <w:rPr>
          <w:rFonts w:ascii="Verdana" w:hAnsi="Verdana" w:cs="Arial"/>
          <w:sz w:val="22"/>
          <w:szCs w:val="22"/>
          <w:lang w:val="es-ES"/>
        </w:rPr>
        <w:t>De manera particular, se complementaron las definiciones, relacionadas con intervenciones de ampliación, construcción, mejoramiento, rehabilitación, reconstrucción, restauración, restitución, recuperación, mantenimiento y mejoramiento, que son aplicadas en la Matriz 1 - Experiencia para los diferentes capítulos.</w:t>
      </w:r>
    </w:p>
    <w:p w14:paraId="1236EE13" w14:textId="77777777" w:rsidR="00D77817" w:rsidRPr="008B0E6C" w:rsidRDefault="00D77817" w:rsidP="00D77817">
      <w:pPr>
        <w:jc w:val="both"/>
        <w:rPr>
          <w:rFonts w:ascii="Verdana" w:hAnsi="Verdana" w:cs="Arial"/>
          <w:sz w:val="22"/>
          <w:szCs w:val="22"/>
          <w:lang w:val="es-ES"/>
        </w:rPr>
      </w:pPr>
    </w:p>
    <w:p w14:paraId="6057FBC8" w14:textId="77777777" w:rsidR="00D77817" w:rsidRPr="008B0E6C" w:rsidRDefault="00D77817" w:rsidP="00A1160D">
      <w:pPr>
        <w:numPr>
          <w:ilvl w:val="0"/>
          <w:numId w:val="118"/>
        </w:numPr>
        <w:jc w:val="both"/>
        <w:rPr>
          <w:rFonts w:ascii="Verdana" w:hAnsi="Verdana" w:cs="Arial"/>
          <w:sz w:val="22"/>
          <w:szCs w:val="22"/>
          <w:lang w:val="es-ES"/>
        </w:rPr>
      </w:pPr>
      <w:r w:rsidRPr="008B0E6C">
        <w:rPr>
          <w:rFonts w:ascii="Verdana" w:hAnsi="Verdana" w:cs="Arial"/>
          <w:sz w:val="22"/>
          <w:szCs w:val="22"/>
          <w:lang w:val="es-ES"/>
        </w:rPr>
        <w:lastRenderedPageBreak/>
        <w:t>Se incorporan nuevas definiciones que complementan los nuevos capítulos: 9. Proyectos y/u obras de infraestructura para estructuras hidráulicas relacionadas con manejo y/o conducción y/o captación y/o almacenamiento de agua cruda y/o agua potable y 10. Proyectos y/u obras de infraestructura para riego y/o, drenaje y/o protección contra inundaciones para adecuación de tierras.</w:t>
      </w:r>
    </w:p>
    <w:p w14:paraId="2A63204B" w14:textId="77777777" w:rsidR="00D77817" w:rsidRPr="008B0E6C" w:rsidRDefault="00D77817" w:rsidP="00D77817">
      <w:pPr>
        <w:ind w:left="720"/>
        <w:jc w:val="both"/>
        <w:rPr>
          <w:rFonts w:ascii="Verdana" w:hAnsi="Verdana" w:cs="Arial"/>
          <w:sz w:val="22"/>
          <w:szCs w:val="22"/>
          <w:lang w:val="es-ES"/>
        </w:rPr>
      </w:pPr>
    </w:p>
    <w:p w14:paraId="37DAA1A8" w14:textId="6F04E11B" w:rsidR="00D77817" w:rsidRPr="008B0E6C" w:rsidRDefault="00D77817" w:rsidP="00A1160D">
      <w:pPr>
        <w:numPr>
          <w:ilvl w:val="0"/>
          <w:numId w:val="118"/>
        </w:numPr>
        <w:jc w:val="both"/>
        <w:rPr>
          <w:rFonts w:ascii="Verdana" w:hAnsi="Verdana" w:cs="Arial"/>
          <w:sz w:val="22"/>
          <w:szCs w:val="22"/>
          <w:lang w:val="es-ES"/>
        </w:rPr>
      </w:pPr>
      <w:r w:rsidRPr="008B0E6C">
        <w:rPr>
          <w:rFonts w:ascii="Verdana" w:hAnsi="Verdana" w:cs="Arial"/>
          <w:sz w:val="22"/>
          <w:szCs w:val="22"/>
          <w:lang w:val="es-ES"/>
        </w:rPr>
        <w:t xml:space="preserve">Se incluyeron en general nuevas definiciones, por ejemplo: Camino de servicio, desechos peligrosos, disposición en el suelo, Emergencia, Estanque de regulación, Estructura de captación, Fuente abastecedora de agua, Estación de bombeo, Gaviones, </w:t>
      </w:r>
      <w:r w:rsidR="001D44F1" w:rsidRPr="008B0E6C">
        <w:rPr>
          <w:rFonts w:ascii="Verdana" w:hAnsi="Verdana" w:cs="Arial"/>
          <w:sz w:val="22"/>
          <w:szCs w:val="22"/>
          <w:lang w:val="es-ES"/>
        </w:rPr>
        <w:t>macro medición</w:t>
      </w:r>
      <w:r w:rsidRPr="008B0E6C">
        <w:rPr>
          <w:rFonts w:ascii="Verdana" w:hAnsi="Verdana" w:cs="Arial"/>
          <w:sz w:val="22"/>
          <w:szCs w:val="22"/>
          <w:lang w:val="es-ES"/>
        </w:rPr>
        <w:t xml:space="preserve">, </w:t>
      </w:r>
      <w:r w:rsidR="001D44F1" w:rsidRPr="008B0E6C">
        <w:rPr>
          <w:rFonts w:ascii="Verdana" w:hAnsi="Verdana" w:cs="Arial"/>
          <w:sz w:val="22"/>
          <w:szCs w:val="22"/>
          <w:lang w:val="es-ES"/>
        </w:rPr>
        <w:t>micro medición</w:t>
      </w:r>
      <w:r w:rsidRPr="008B0E6C">
        <w:rPr>
          <w:rFonts w:ascii="Verdana" w:hAnsi="Verdana" w:cs="Arial"/>
          <w:sz w:val="22"/>
          <w:szCs w:val="22"/>
          <w:lang w:val="es-ES"/>
        </w:rPr>
        <w:t>, materiales alternativos o sostenibles Obra civil hidráulica, pérdidas, plan operacional de emergencia, relleno sanitario, represa, saneamiento básico, sedimentación, sistema de riego, sistemas sépticos, sostenibilidad, Tanques sépticos, Tratamiento, Vida útil, Vivienda Rural, Vivienda rural dispersa, Vivienda Urbana, entre otras.</w:t>
      </w:r>
    </w:p>
    <w:p w14:paraId="59787DA6" w14:textId="77777777" w:rsidR="00D77817" w:rsidRPr="008B0E6C" w:rsidRDefault="00D77817" w:rsidP="00D77817">
      <w:pPr>
        <w:jc w:val="both"/>
        <w:rPr>
          <w:rFonts w:ascii="Verdana" w:hAnsi="Verdana" w:cs="Arial"/>
          <w:sz w:val="22"/>
          <w:szCs w:val="22"/>
          <w:lang w:val="es-ES"/>
        </w:rPr>
      </w:pPr>
    </w:p>
    <w:p w14:paraId="7E793E6A" w14:textId="77777777" w:rsidR="00D77817" w:rsidRPr="008B0E6C" w:rsidRDefault="00D77817" w:rsidP="00A1160D">
      <w:pPr>
        <w:numPr>
          <w:ilvl w:val="0"/>
          <w:numId w:val="118"/>
        </w:numPr>
        <w:jc w:val="both"/>
        <w:rPr>
          <w:rFonts w:ascii="Verdana" w:hAnsi="Verdana" w:cs="Arial"/>
          <w:sz w:val="22"/>
          <w:szCs w:val="22"/>
          <w:lang w:val="es-ES"/>
        </w:rPr>
      </w:pPr>
      <w:r w:rsidRPr="008B0E6C">
        <w:rPr>
          <w:rFonts w:ascii="Verdana" w:hAnsi="Verdana" w:cs="Arial"/>
          <w:sz w:val="22"/>
          <w:szCs w:val="22"/>
          <w:lang w:val="es-ES"/>
        </w:rPr>
        <w:t>Se incorporaron definiciones del Glosario Técnico y jurídico de los sectores social y transporte, de manera que se unifiquen los términos que son comunes para los tres sectores.</w:t>
      </w:r>
    </w:p>
    <w:p w14:paraId="33D10BAB" w14:textId="77777777" w:rsidR="00497261" w:rsidRPr="008B0E6C" w:rsidRDefault="00497261" w:rsidP="00497261">
      <w:pPr>
        <w:jc w:val="both"/>
        <w:rPr>
          <w:rFonts w:ascii="Verdana" w:hAnsi="Verdana" w:cs="Arial"/>
          <w:sz w:val="22"/>
          <w:szCs w:val="22"/>
          <w:lang w:val="es-ES"/>
        </w:rPr>
      </w:pPr>
    </w:p>
    <w:p w14:paraId="726B91B2" w14:textId="77777777" w:rsidR="00497261" w:rsidRPr="00611315" w:rsidRDefault="00497261" w:rsidP="00497261">
      <w:pPr>
        <w:jc w:val="both"/>
        <w:rPr>
          <w:rFonts w:ascii="Verdana" w:hAnsi="Verdana" w:cs="Arial"/>
          <w:sz w:val="22"/>
          <w:szCs w:val="22"/>
          <w:highlight w:val="yellow"/>
          <w:lang w:val="es-ES"/>
        </w:rPr>
      </w:pPr>
    </w:p>
    <w:p w14:paraId="7121F11B" w14:textId="462EFAE0" w:rsidR="0059677C" w:rsidRPr="00362A02" w:rsidRDefault="00D82866" w:rsidP="00A1160D">
      <w:pPr>
        <w:pStyle w:val="Ttulo2"/>
        <w:numPr>
          <w:ilvl w:val="0"/>
          <w:numId w:val="82"/>
        </w:numPr>
        <w:rPr>
          <w:rFonts w:ascii="Verdana" w:hAnsi="Verdana" w:cs="Arial"/>
          <w:color w:val="auto"/>
          <w:szCs w:val="22"/>
        </w:rPr>
      </w:pPr>
      <w:bookmarkStart w:id="345" w:name="_Toc230851125"/>
      <w:bookmarkStart w:id="346" w:name="_Toc230869960"/>
      <w:bookmarkStart w:id="347" w:name="_Toc230962339"/>
      <w:bookmarkStart w:id="348" w:name="_Toc230851126"/>
      <w:bookmarkStart w:id="349" w:name="_Toc230869961"/>
      <w:bookmarkStart w:id="350" w:name="_Toc230962340"/>
      <w:bookmarkStart w:id="351" w:name="_Toc230851127"/>
      <w:bookmarkStart w:id="352" w:name="_Toc230869962"/>
      <w:bookmarkStart w:id="353" w:name="_Toc230962341"/>
      <w:bookmarkStart w:id="354" w:name="_Toc230851128"/>
      <w:bookmarkStart w:id="355" w:name="_Toc230869963"/>
      <w:bookmarkStart w:id="356" w:name="_Toc230962342"/>
      <w:bookmarkStart w:id="357" w:name="_Toc230851129"/>
      <w:bookmarkStart w:id="358" w:name="_Toc230869964"/>
      <w:bookmarkStart w:id="359" w:name="_Toc230962343"/>
      <w:bookmarkStart w:id="360" w:name="_Toc230851130"/>
      <w:bookmarkStart w:id="361" w:name="_Toc230869965"/>
      <w:bookmarkStart w:id="362" w:name="_Toc230962344"/>
      <w:bookmarkStart w:id="363" w:name="_Toc230851131"/>
      <w:bookmarkStart w:id="364" w:name="_Toc230869966"/>
      <w:bookmarkStart w:id="365" w:name="_Toc230962345"/>
      <w:bookmarkStart w:id="366" w:name="_Toc230851132"/>
      <w:bookmarkStart w:id="367" w:name="_Toc230869967"/>
      <w:bookmarkStart w:id="368" w:name="_Toc230962346"/>
      <w:bookmarkStart w:id="369" w:name="_Toc230851133"/>
      <w:bookmarkStart w:id="370" w:name="_Toc230869968"/>
      <w:bookmarkStart w:id="371" w:name="_Toc230962347"/>
      <w:bookmarkStart w:id="372" w:name="_Toc230851134"/>
      <w:bookmarkStart w:id="373" w:name="_Toc230869969"/>
      <w:bookmarkStart w:id="374" w:name="_Toc230962348"/>
      <w:bookmarkStart w:id="375" w:name="_Toc230851135"/>
      <w:bookmarkStart w:id="376" w:name="_Toc230869970"/>
      <w:bookmarkStart w:id="377" w:name="_Toc230962349"/>
      <w:bookmarkStart w:id="378" w:name="_Toc230851136"/>
      <w:bookmarkStart w:id="379" w:name="_Toc230869971"/>
      <w:bookmarkStart w:id="380" w:name="_Toc230962350"/>
      <w:bookmarkStart w:id="381" w:name="_Toc230851137"/>
      <w:bookmarkStart w:id="382" w:name="_Toc230869972"/>
      <w:bookmarkStart w:id="383" w:name="_Toc230962351"/>
      <w:bookmarkStart w:id="384" w:name="_Toc230851138"/>
      <w:bookmarkStart w:id="385" w:name="_Toc230869973"/>
      <w:bookmarkStart w:id="386" w:name="_Toc230962352"/>
      <w:bookmarkStart w:id="387" w:name="_Toc230851139"/>
      <w:bookmarkStart w:id="388" w:name="_Toc230869974"/>
      <w:bookmarkStart w:id="389" w:name="_Toc230962353"/>
      <w:bookmarkStart w:id="390" w:name="_Toc230851140"/>
      <w:bookmarkStart w:id="391" w:name="_Toc230869975"/>
      <w:bookmarkStart w:id="392" w:name="_Toc230962354"/>
      <w:bookmarkStart w:id="393" w:name="_Toc230851141"/>
      <w:bookmarkStart w:id="394" w:name="_Toc230869976"/>
      <w:bookmarkStart w:id="395" w:name="_Toc230962355"/>
      <w:bookmarkStart w:id="396" w:name="_Toc230851142"/>
      <w:bookmarkStart w:id="397" w:name="_Toc230869977"/>
      <w:bookmarkStart w:id="398" w:name="_Toc230962356"/>
      <w:bookmarkStart w:id="399" w:name="_Toc230851143"/>
      <w:bookmarkStart w:id="400" w:name="_Toc230869978"/>
      <w:bookmarkStart w:id="401" w:name="_Toc230962357"/>
      <w:bookmarkStart w:id="402" w:name="_Toc230851144"/>
      <w:bookmarkStart w:id="403" w:name="_Toc230869979"/>
      <w:bookmarkStart w:id="404" w:name="_Toc230962358"/>
      <w:bookmarkStart w:id="405" w:name="_Toc230851145"/>
      <w:bookmarkStart w:id="406" w:name="_Toc230869980"/>
      <w:bookmarkStart w:id="407" w:name="_Toc230962359"/>
      <w:bookmarkStart w:id="408" w:name="_Toc230851146"/>
      <w:bookmarkStart w:id="409" w:name="_Toc230869981"/>
      <w:bookmarkStart w:id="410" w:name="_Toc230962360"/>
      <w:bookmarkStart w:id="411" w:name="_Toc230851147"/>
      <w:bookmarkStart w:id="412" w:name="_Toc230869982"/>
      <w:bookmarkStart w:id="413" w:name="_Toc230962361"/>
      <w:bookmarkStart w:id="414" w:name="_Toc230851148"/>
      <w:bookmarkStart w:id="415" w:name="_Toc230869983"/>
      <w:bookmarkStart w:id="416" w:name="_Toc230962362"/>
      <w:bookmarkStart w:id="417" w:name="_Toc230851149"/>
      <w:bookmarkStart w:id="418" w:name="_Toc230869984"/>
      <w:bookmarkStart w:id="419" w:name="_Toc230962363"/>
      <w:bookmarkStart w:id="420" w:name="_Toc230851150"/>
      <w:bookmarkStart w:id="421" w:name="_Toc230869985"/>
      <w:bookmarkStart w:id="422" w:name="_Toc230962364"/>
      <w:bookmarkStart w:id="423" w:name="_Toc231368615"/>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r w:rsidRPr="00362A02">
        <w:rPr>
          <w:rFonts w:ascii="Verdana" w:hAnsi="Verdana" w:cs="Arial"/>
          <w:color w:val="auto"/>
        </w:rPr>
        <w:t>CAPACIDAD FINANCIERA Y ORGANIZACIONAL</w:t>
      </w:r>
      <w:bookmarkEnd w:id="423"/>
    </w:p>
    <w:p w14:paraId="5FD8338B" w14:textId="77777777" w:rsidR="00134437" w:rsidRDefault="00134437" w:rsidP="007A0AE0">
      <w:pPr>
        <w:pStyle w:val="Sinespaciado"/>
        <w:spacing w:line="276" w:lineRule="auto"/>
        <w:jc w:val="both"/>
        <w:rPr>
          <w:rFonts w:ascii="Verdana" w:hAnsi="Verdana" w:cs="Arial"/>
        </w:rPr>
      </w:pPr>
    </w:p>
    <w:p w14:paraId="39DCE5FF" w14:textId="043E521D" w:rsidR="007A0AE0" w:rsidRPr="00362A02" w:rsidRDefault="007A0AE0" w:rsidP="007A0AE0">
      <w:pPr>
        <w:pStyle w:val="Sinespaciado"/>
        <w:spacing w:line="276" w:lineRule="auto"/>
        <w:jc w:val="both"/>
        <w:rPr>
          <w:rFonts w:ascii="Verdana" w:hAnsi="Verdana" w:cs="Arial"/>
          <w:sz w:val="22"/>
          <w:szCs w:val="22"/>
        </w:rPr>
      </w:pPr>
      <w:r w:rsidRPr="00362A02">
        <w:rPr>
          <w:rFonts w:ascii="Verdana" w:hAnsi="Verdana" w:cs="Arial"/>
        </w:rPr>
        <w:t xml:space="preserve">Con base en los </w:t>
      </w:r>
      <w:r w:rsidRPr="00362A02">
        <w:rPr>
          <w:rFonts w:ascii="Verdana" w:eastAsia="Arial" w:hAnsi="Verdana" w:cs="Arial"/>
          <w:sz w:val="22"/>
          <w:szCs w:val="22"/>
          <w:lang w:val="es-CO" w:eastAsia="es-MX"/>
        </w:rPr>
        <w:t xml:space="preserve">códigos CIIU y actividad económica bajo los cuales se clasifican las empresas que prestan servicios de obra de infraestructura de </w:t>
      </w:r>
      <w:r w:rsidR="00E0479F">
        <w:rPr>
          <w:rFonts w:ascii="Verdana" w:eastAsia="Arial" w:hAnsi="Verdana" w:cs="Arial"/>
          <w:sz w:val="22"/>
          <w:szCs w:val="22"/>
          <w:lang w:val="es-CO" w:eastAsia="es-MX"/>
        </w:rPr>
        <w:t>agua potable y saneamiento básico</w:t>
      </w:r>
      <w:r w:rsidRPr="00362A02">
        <w:rPr>
          <w:rFonts w:ascii="Verdana" w:eastAsia="Arial" w:hAnsi="Verdana" w:cs="Arial"/>
          <w:sz w:val="22"/>
          <w:szCs w:val="22"/>
          <w:lang w:val="es-CO" w:eastAsia="es-MX"/>
        </w:rPr>
        <w:t xml:space="preserve"> (ver numeral I. Aspectos generales del sector)</w:t>
      </w:r>
      <w:r w:rsidRPr="00362A02">
        <w:rPr>
          <w:rFonts w:ascii="Verdana" w:hAnsi="Verdana" w:cs="Arial"/>
          <w:sz w:val="22"/>
          <w:szCs w:val="22"/>
        </w:rPr>
        <w:t xml:space="preserve">, </w:t>
      </w:r>
      <w:bookmarkStart w:id="424" w:name="_Hlk81924300"/>
      <w:r w:rsidRPr="00362A02">
        <w:rPr>
          <w:rFonts w:ascii="Verdana" w:hAnsi="Verdana" w:cs="Arial"/>
          <w:sz w:val="22"/>
          <w:szCs w:val="22"/>
        </w:rPr>
        <w:t>se analizan los indicadores financieros de las empresas del sector con corte a 31 de diciembre del año 202</w:t>
      </w:r>
      <w:r w:rsidR="00362A02" w:rsidRPr="00362A02">
        <w:rPr>
          <w:rFonts w:ascii="Verdana" w:hAnsi="Verdana" w:cs="Arial"/>
          <w:sz w:val="22"/>
          <w:szCs w:val="22"/>
        </w:rPr>
        <w:t>5</w:t>
      </w:r>
      <w:r w:rsidRPr="00362A02">
        <w:rPr>
          <w:rFonts w:ascii="Verdana" w:hAnsi="Verdana" w:cs="Arial"/>
          <w:sz w:val="22"/>
          <w:szCs w:val="22"/>
        </w:rPr>
        <w:t xml:space="preserve">. </w:t>
      </w:r>
    </w:p>
    <w:p w14:paraId="6A7034BC" w14:textId="77777777" w:rsidR="007A0AE0" w:rsidRPr="00362A02" w:rsidRDefault="007A0AE0" w:rsidP="007A0AE0">
      <w:pPr>
        <w:pStyle w:val="Sinespaciado"/>
        <w:spacing w:line="276" w:lineRule="auto"/>
        <w:jc w:val="both"/>
        <w:rPr>
          <w:rFonts w:ascii="Verdana" w:hAnsi="Verdana" w:cs="Arial"/>
          <w:sz w:val="22"/>
          <w:szCs w:val="22"/>
        </w:rPr>
      </w:pPr>
    </w:p>
    <w:p w14:paraId="6DA40CFA" w14:textId="77777777" w:rsidR="007A0AE0" w:rsidRPr="00E0479F" w:rsidRDefault="007A0AE0" w:rsidP="007A0AE0">
      <w:pPr>
        <w:pStyle w:val="Sinespaciado"/>
        <w:spacing w:line="276" w:lineRule="auto"/>
        <w:jc w:val="both"/>
        <w:rPr>
          <w:rFonts w:ascii="Verdana" w:hAnsi="Verdana" w:cs="Arial"/>
          <w:sz w:val="22"/>
          <w:szCs w:val="22"/>
        </w:rPr>
      </w:pPr>
      <w:r w:rsidRPr="00362A02">
        <w:rPr>
          <w:rFonts w:ascii="Verdana" w:hAnsi="Verdana" w:cs="Arial"/>
          <w:sz w:val="22"/>
          <w:szCs w:val="22"/>
        </w:rPr>
        <w:t xml:space="preserve">Para obtener la información de referencia para establecer los indicadores mínimos habilitantes, se realizaron búsquedas de las empresas clasificadas en los códigos CIIU </w:t>
      </w:r>
      <w:r w:rsidRPr="00E0479F">
        <w:rPr>
          <w:rFonts w:ascii="Verdana" w:hAnsi="Verdana" w:cs="Arial"/>
          <w:sz w:val="22"/>
          <w:szCs w:val="22"/>
        </w:rPr>
        <w:t>anteriormente señalados, en las siguientes bases de datos públicas que contienen la información de los estados financieros de las empresas:</w:t>
      </w:r>
    </w:p>
    <w:p w14:paraId="4992B640" w14:textId="77777777" w:rsidR="007A0AE0" w:rsidRPr="00E0479F" w:rsidRDefault="007A0AE0" w:rsidP="007A0AE0">
      <w:pPr>
        <w:pStyle w:val="Sinespaciado"/>
        <w:jc w:val="both"/>
        <w:rPr>
          <w:rFonts w:ascii="Verdana" w:hAnsi="Verdana" w:cs="Arial"/>
          <w:sz w:val="22"/>
          <w:szCs w:val="22"/>
        </w:rPr>
      </w:pPr>
    </w:p>
    <w:p w14:paraId="1C669097" w14:textId="77777777" w:rsidR="007A0AE0" w:rsidRPr="00E0479F" w:rsidRDefault="007A0AE0" w:rsidP="007A0AE0">
      <w:pPr>
        <w:pStyle w:val="Sinespaciado"/>
        <w:ind w:left="360"/>
        <w:jc w:val="both"/>
        <w:rPr>
          <w:rFonts w:ascii="Verdana" w:hAnsi="Verdana" w:cs="Arial"/>
          <w:b/>
          <w:bCs/>
          <w:i/>
          <w:iCs/>
          <w:sz w:val="22"/>
          <w:szCs w:val="22"/>
        </w:rPr>
      </w:pPr>
    </w:p>
    <w:bookmarkEnd w:id="424"/>
    <w:p w14:paraId="25C5B471" w14:textId="77777777" w:rsidR="007A0AE0" w:rsidRPr="00E0479F" w:rsidRDefault="007A0AE0" w:rsidP="007A0AE0">
      <w:pPr>
        <w:pStyle w:val="Prrafodelista"/>
        <w:numPr>
          <w:ilvl w:val="0"/>
          <w:numId w:val="56"/>
        </w:numPr>
        <w:autoSpaceDE w:val="0"/>
        <w:autoSpaceDN w:val="0"/>
        <w:spacing w:after="0" w:line="276" w:lineRule="auto"/>
        <w:ind w:left="360"/>
        <w:contextualSpacing w:val="0"/>
        <w:rPr>
          <w:rFonts w:ascii="Verdana" w:hAnsi="Verdana" w:cs="Arial"/>
          <w:color w:val="000000"/>
        </w:rPr>
      </w:pPr>
      <w:r w:rsidRPr="00E0479F">
        <w:rPr>
          <w:rFonts w:ascii="Verdana" w:hAnsi="Verdana" w:cs="Arial"/>
          <w:i/>
          <w:iCs/>
          <w:color w:val="000000"/>
          <w:u w:val="single"/>
        </w:rPr>
        <w:lastRenderedPageBreak/>
        <w:t>Registro Único Empresarial y Social- Confecámaras</w:t>
      </w:r>
      <w:r w:rsidRPr="00E0479F">
        <w:rPr>
          <w:rStyle w:val="Refdenotaalpie"/>
          <w:rFonts w:ascii="Verdana" w:hAnsi="Verdana" w:cs="Arial"/>
          <w:color w:val="000000"/>
        </w:rPr>
        <w:t xml:space="preserve"> </w:t>
      </w:r>
      <w:r w:rsidRPr="00E0479F">
        <w:rPr>
          <w:rStyle w:val="Refdenotaalpie"/>
          <w:rFonts w:ascii="Verdana" w:hAnsi="Verdana" w:cs="Arial"/>
          <w:color w:val="000000"/>
        </w:rPr>
        <w:footnoteReference w:id="30"/>
      </w:r>
      <w:r w:rsidRPr="00E0479F">
        <w:rPr>
          <w:rFonts w:ascii="Verdana" w:hAnsi="Verdana" w:cs="Arial"/>
          <w:color w:val="000000"/>
        </w:rPr>
        <w:t>:</w:t>
      </w:r>
    </w:p>
    <w:p w14:paraId="2CA826BF" w14:textId="77777777" w:rsidR="007A0AE0" w:rsidRPr="00E0479F" w:rsidRDefault="007A0AE0" w:rsidP="007A0AE0">
      <w:pPr>
        <w:pStyle w:val="Prrafodelista"/>
        <w:autoSpaceDE w:val="0"/>
        <w:autoSpaceDN w:val="0"/>
        <w:spacing w:after="0"/>
        <w:ind w:left="360"/>
        <w:rPr>
          <w:rFonts w:ascii="Verdana" w:hAnsi="Verdana" w:cs="Arial"/>
          <w:i/>
          <w:iCs/>
          <w:color w:val="000000"/>
          <w:sz w:val="20"/>
          <w:szCs w:val="20"/>
        </w:rPr>
      </w:pPr>
    </w:p>
    <w:p w14:paraId="49E3431B" w14:textId="77777777" w:rsidR="007A0AE0" w:rsidRPr="00E0479F" w:rsidRDefault="007A0AE0" w:rsidP="007A0AE0">
      <w:pPr>
        <w:autoSpaceDE w:val="0"/>
        <w:autoSpaceDN w:val="0"/>
        <w:ind w:left="360"/>
        <w:jc w:val="both"/>
        <w:rPr>
          <w:rFonts w:ascii="Verdana" w:hAnsi="Verdana" w:cs="Arial"/>
          <w:color w:val="000000"/>
          <w:sz w:val="22"/>
          <w:szCs w:val="22"/>
        </w:rPr>
      </w:pPr>
    </w:p>
    <w:p w14:paraId="2E9234DB" w14:textId="6539FF83" w:rsidR="007A0AE0" w:rsidRPr="00EA071B" w:rsidRDefault="007A0AE0" w:rsidP="007A0AE0">
      <w:pPr>
        <w:autoSpaceDE w:val="0"/>
        <w:autoSpaceDN w:val="0"/>
        <w:ind w:left="360"/>
        <w:jc w:val="both"/>
        <w:rPr>
          <w:rFonts w:ascii="Verdana" w:hAnsi="Verdana" w:cs="Arial"/>
          <w:color w:val="000000"/>
          <w:sz w:val="22"/>
          <w:szCs w:val="22"/>
        </w:rPr>
      </w:pPr>
      <w:r w:rsidRPr="00E0479F">
        <w:rPr>
          <w:rFonts w:ascii="Verdana" w:hAnsi="Verdana" w:cs="Arial"/>
          <w:color w:val="000000" w:themeColor="text1"/>
          <w:sz w:val="22"/>
          <w:szCs w:val="22"/>
        </w:rPr>
        <w:t xml:space="preserve">Mediante esta herramienta se identificaron los indicadores de las </w:t>
      </w:r>
      <w:r w:rsidR="00E0479F" w:rsidRPr="00E0479F">
        <w:rPr>
          <w:rFonts w:ascii="Verdana" w:hAnsi="Verdana" w:cs="Arial"/>
          <w:b/>
          <w:color w:val="000000" w:themeColor="text1"/>
          <w:sz w:val="22"/>
          <w:szCs w:val="22"/>
        </w:rPr>
        <w:t>QUINIENTAS OCHENTA Y NUEVE</w:t>
      </w:r>
      <w:r w:rsidRPr="00E0479F">
        <w:rPr>
          <w:rFonts w:ascii="Verdana" w:hAnsi="Verdana" w:cs="Arial"/>
          <w:b/>
          <w:color w:val="000000" w:themeColor="text1"/>
          <w:sz w:val="22"/>
          <w:szCs w:val="22"/>
        </w:rPr>
        <w:t xml:space="preserve"> (5</w:t>
      </w:r>
      <w:r w:rsidR="00E0479F" w:rsidRPr="00E0479F">
        <w:rPr>
          <w:rFonts w:ascii="Verdana" w:hAnsi="Verdana" w:cs="Arial"/>
          <w:b/>
          <w:color w:val="000000" w:themeColor="text1"/>
          <w:sz w:val="22"/>
          <w:szCs w:val="22"/>
        </w:rPr>
        <w:t>89</w:t>
      </w:r>
      <w:r w:rsidRPr="00E0479F">
        <w:rPr>
          <w:rFonts w:ascii="Verdana" w:hAnsi="Verdana" w:cs="Arial"/>
          <w:b/>
          <w:color w:val="000000" w:themeColor="text1"/>
          <w:sz w:val="22"/>
          <w:szCs w:val="22"/>
        </w:rPr>
        <w:t>)</w:t>
      </w:r>
      <w:r w:rsidRPr="00E0479F">
        <w:rPr>
          <w:rFonts w:ascii="Verdana" w:hAnsi="Verdana" w:cs="Arial"/>
          <w:color w:val="000000" w:themeColor="text1"/>
          <w:sz w:val="22"/>
          <w:szCs w:val="22"/>
        </w:rPr>
        <w:t xml:space="preserve"> empresas de la muestra, las cuales se encuentran </w:t>
      </w:r>
      <w:r w:rsidRPr="00EA071B">
        <w:rPr>
          <w:rFonts w:ascii="Verdana" w:hAnsi="Verdana" w:cs="Arial"/>
          <w:color w:val="000000" w:themeColor="text1"/>
          <w:sz w:val="22"/>
          <w:szCs w:val="22"/>
        </w:rPr>
        <w:t xml:space="preserve">clasificadas en los </w:t>
      </w:r>
      <w:r w:rsidR="32F70593" w:rsidRPr="00EA071B">
        <w:rPr>
          <w:rFonts w:ascii="Verdana" w:hAnsi="Verdana" w:cs="Arial"/>
          <w:color w:val="000000" w:themeColor="text1"/>
          <w:sz w:val="22"/>
          <w:szCs w:val="22"/>
        </w:rPr>
        <w:t>siguiente</w:t>
      </w:r>
      <w:r w:rsidR="226BA4A9" w:rsidRPr="00EA071B">
        <w:rPr>
          <w:rFonts w:ascii="Verdana" w:hAnsi="Verdana" w:cs="Arial"/>
          <w:color w:val="000000" w:themeColor="text1"/>
          <w:sz w:val="22"/>
          <w:szCs w:val="22"/>
        </w:rPr>
        <w:t>s</w:t>
      </w:r>
      <w:r w:rsidRPr="00EA071B">
        <w:rPr>
          <w:rFonts w:ascii="Verdana" w:hAnsi="Verdana" w:cs="Arial"/>
          <w:color w:val="000000" w:themeColor="text1"/>
          <w:sz w:val="22"/>
          <w:szCs w:val="22"/>
        </w:rPr>
        <w:t xml:space="preserve"> códigos CIIU:</w:t>
      </w:r>
    </w:p>
    <w:p w14:paraId="3A028B6D" w14:textId="77777777" w:rsidR="007A0AE0" w:rsidRPr="00EA071B" w:rsidRDefault="007A0AE0" w:rsidP="007A0AE0">
      <w:pPr>
        <w:autoSpaceDE w:val="0"/>
        <w:autoSpaceDN w:val="0"/>
        <w:ind w:left="360"/>
        <w:jc w:val="both"/>
        <w:rPr>
          <w:rFonts w:ascii="Verdana" w:hAnsi="Verdana" w:cs="Arial"/>
          <w:color w:val="000000"/>
          <w:sz w:val="22"/>
          <w:szCs w:val="22"/>
        </w:rPr>
      </w:pPr>
    </w:p>
    <w:p w14:paraId="0EABB496" w14:textId="77777777" w:rsidR="007A0AE0" w:rsidRPr="00EA071B" w:rsidRDefault="007A0AE0" w:rsidP="007A0AE0">
      <w:pPr>
        <w:autoSpaceDE w:val="0"/>
        <w:autoSpaceDN w:val="0"/>
        <w:ind w:left="360"/>
        <w:jc w:val="both"/>
        <w:rPr>
          <w:rFonts w:ascii="Verdana" w:hAnsi="Verdana" w:cs="Arial"/>
          <w:b/>
          <w:bCs/>
          <w:i/>
          <w:iCs/>
          <w:color w:val="000000"/>
          <w:sz w:val="22"/>
          <w:szCs w:val="22"/>
          <w:u w:val="single"/>
        </w:rPr>
      </w:pPr>
      <w:r w:rsidRPr="00EA071B">
        <w:rPr>
          <w:rFonts w:ascii="Verdana" w:hAnsi="Verdana" w:cs="Arial"/>
          <w:b/>
          <w:bCs/>
          <w:i/>
          <w:iCs/>
          <w:color w:val="000000"/>
          <w:sz w:val="22"/>
          <w:szCs w:val="22"/>
          <w:u w:val="single"/>
        </w:rPr>
        <w:t>Principales</w:t>
      </w:r>
    </w:p>
    <w:p w14:paraId="6C3B85C1" w14:textId="77777777" w:rsidR="007A0AE0" w:rsidRPr="00EA071B" w:rsidRDefault="007A0AE0" w:rsidP="007A0AE0">
      <w:pPr>
        <w:autoSpaceDE w:val="0"/>
        <w:autoSpaceDN w:val="0"/>
        <w:ind w:left="360"/>
        <w:jc w:val="both"/>
        <w:rPr>
          <w:rFonts w:ascii="Verdana" w:hAnsi="Verdana" w:cs="Arial"/>
          <w:b/>
          <w:bCs/>
          <w:color w:val="000000"/>
          <w:sz w:val="22"/>
          <w:szCs w:val="22"/>
        </w:rPr>
      </w:pPr>
    </w:p>
    <w:p w14:paraId="42871DD9" w14:textId="16A58491" w:rsidR="007A0AE0" w:rsidRPr="00EA071B" w:rsidRDefault="007A0AE0" w:rsidP="007A0AE0">
      <w:pPr>
        <w:autoSpaceDE w:val="0"/>
        <w:autoSpaceDN w:val="0"/>
        <w:ind w:left="360"/>
        <w:jc w:val="both"/>
        <w:rPr>
          <w:rFonts w:ascii="Verdana" w:hAnsi="Verdana" w:cs="Arial"/>
          <w:color w:val="000000"/>
          <w:sz w:val="22"/>
          <w:szCs w:val="22"/>
        </w:rPr>
      </w:pPr>
      <w:r w:rsidRPr="00EA071B">
        <w:rPr>
          <w:rFonts w:ascii="Verdana" w:hAnsi="Verdana" w:cs="Arial"/>
          <w:b/>
          <w:bCs/>
          <w:color w:val="000000"/>
          <w:sz w:val="22"/>
          <w:szCs w:val="22"/>
        </w:rPr>
        <w:t xml:space="preserve">F4220 - </w:t>
      </w:r>
      <w:r w:rsidRPr="00EA071B">
        <w:rPr>
          <w:rFonts w:ascii="Verdana" w:hAnsi="Verdana" w:cs="Arial"/>
          <w:color w:val="000000"/>
          <w:sz w:val="22"/>
          <w:szCs w:val="22"/>
        </w:rPr>
        <w:t>Construcción de proyectos de servicio público con un total de 1</w:t>
      </w:r>
      <w:r w:rsidR="00992ADD">
        <w:rPr>
          <w:rFonts w:ascii="Verdana" w:hAnsi="Verdana" w:cs="Arial"/>
          <w:color w:val="000000"/>
          <w:sz w:val="22"/>
          <w:szCs w:val="22"/>
        </w:rPr>
        <w:t>82</w:t>
      </w:r>
      <w:r w:rsidRPr="00EA071B">
        <w:rPr>
          <w:rFonts w:ascii="Verdana" w:hAnsi="Verdana" w:cs="Arial"/>
          <w:color w:val="000000"/>
          <w:sz w:val="22"/>
          <w:szCs w:val="22"/>
        </w:rPr>
        <w:t xml:space="preserve"> empresas y </w:t>
      </w:r>
      <w:r w:rsidRPr="00EA071B">
        <w:rPr>
          <w:rFonts w:ascii="Verdana" w:hAnsi="Verdana" w:cs="Arial"/>
          <w:b/>
          <w:bCs/>
          <w:color w:val="000000"/>
          <w:sz w:val="22"/>
          <w:szCs w:val="22"/>
        </w:rPr>
        <w:t xml:space="preserve">F4290 - </w:t>
      </w:r>
      <w:r w:rsidRPr="00EA071B">
        <w:rPr>
          <w:rFonts w:ascii="Verdana" w:hAnsi="Verdana" w:cs="Arial"/>
          <w:color w:val="000000"/>
          <w:sz w:val="22"/>
          <w:szCs w:val="22"/>
        </w:rPr>
        <w:t xml:space="preserve">Construcción de otras obras de ingeniería civil con un total de </w:t>
      </w:r>
      <w:r w:rsidR="00992ADD">
        <w:rPr>
          <w:rFonts w:ascii="Verdana" w:hAnsi="Verdana" w:cs="Arial"/>
          <w:color w:val="000000"/>
          <w:sz w:val="22"/>
          <w:szCs w:val="22"/>
        </w:rPr>
        <w:t>33</w:t>
      </w:r>
      <w:r w:rsidRPr="00EA071B">
        <w:rPr>
          <w:rFonts w:ascii="Verdana" w:hAnsi="Verdana" w:cs="Arial"/>
          <w:color w:val="000000"/>
          <w:sz w:val="22"/>
          <w:szCs w:val="22"/>
        </w:rPr>
        <w:t>6 empresas.</w:t>
      </w:r>
    </w:p>
    <w:p w14:paraId="5490D47D" w14:textId="77777777" w:rsidR="007A0AE0" w:rsidRPr="00E92A79" w:rsidRDefault="007A0AE0" w:rsidP="007A0AE0">
      <w:pPr>
        <w:autoSpaceDE w:val="0"/>
        <w:autoSpaceDN w:val="0"/>
        <w:ind w:left="360"/>
        <w:jc w:val="both"/>
        <w:rPr>
          <w:rFonts w:ascii="Verdana" w:hAnsi="Verdana" w:cs="Arial"/>
          <w:color w:val="000000"/>
          <w:sz w:val="22"/>
          <w:szCs w:val="22"/>
        </w:rPr>
      </w:pPr>
    </w:p>
    <w:p w14:paraId="5334A443" w14:textId="77777777" w:rsidR="007A0AE0" w:rsidRPr="00E92A79" w:rsidRDefault="007A0AE0" w:rsidP="007A0AE0">
      <w:pPr>
        <w:autoSpaceDE w:val="0"/>
        <w:autoSpaceDN w:val="0"/>
        <w:ind w:left="360"/>
        <w:jc w:val="both"/>
        <w:rPr>
          <w:rFonts w:ascii="Verdana" w:hAnsi="Verdana" w:cs="Arial"/>
          <w:b/>
          <w:bCs/>
          <w:i/>
          <w:iCs/>
          <w:color w:val="000000"/>
          <w:sz w:val="22"/>
          <w:szCs w:val="22"/>
          <w:u w:val="single"/>
        </w:rPr>
      </w:pPr>
      <w:r w:rsidRPr="00E92A79">
        <w:rPr>
          <w:rFonts w:ascii="Verdana" w:hAnsi="Verdana" w:cs="Arial"/>
          <w:b/>
          <w:bCs/>
          <w:i/>
          <w:iCs/>
          <w:color w:val="000000"/>
          <w:sz w:val="22"/>
          <w:szCs w:val="22"/>
          <w:u w:val="single"/>
        </w:rPr>
        <w:t>Secundarios</w:t>
      </w:r>
    </w:p>
    <w:p w14:paraId="3110C737" w14:textId="77777777" w:rsidR="008F4D99" w:rsidRDefault="008F4D99" w:rsidP="007A0AE0">
      <w:pPr>
        <w:autoSpaceDE w:val="0"/>
        <w:autoSpaceDN w:val="0"/>
        <w:ind w:left="360"/>
        <w:jc w:val="both"/>
        <w:rPr>
          <w:rFonts w:ascii="Verdana" w:hAnsi="Verdana" w:cs="Arial"/>
          <w:b/>
          <w:bCs/>
          <w:i/>
          <w:iCs/>
          <w:color w:val="000000"/>
          <w:sz w:val="22"/>
          <w:szCs w:val="22"/>
          <w:highlight w:val="yellow"/>
          <w:u w:val="single"/>
        </w:rPr>
      </w:pPr>
    </w:p>
    <w:p w14:paraId="1E95972B" w14:textId="45D3DE99" w:rsidR="008F4D99" w:rsidRPr="00100BE6" w:rsidRDefault="008F4D99" w:rsidP="008F4D99">
      <w:pPr>
        <w:autoSpaceDE w:val="0"/>
        <w:autoSpaceDN w:val="0"/>
        <w:ind w:left="360"/>
        <w:jc w:val="both"/>
        <w:rPr>
          <w:rFonts w:ascii="Verdana" w:hAnsi="Verdana" w:cs="Arial"/>
          <w:color w:val="000000"/>
          <w:sz w:val="22"/>
          <w:szCs w:val="22"/>
        </w:rPr>
      </w:pPr>
      <w:r w:rsidRPr="00100BE6">
        <w:rPr>
          <w:rFonts w:ascii="Verdana" w:hAnsi="Verdana" w:cs="Arial"/>
          <w:b/>
          <w:bCs/>
          <w:color w:val="000000"/>
          <w:sz w:val="22"/>
          <w:szCs w:val="22"/>
        </w:rPr>
        <w:t>2511</w:t>
      </w:r>
      <w:r w:rsidRPr="00100BE6">
        <w:rPr>
          <w:rFonts w:ascii="Verdana" w:hAnsi="Verdana" w:cs="Arial"/>
          <w:color w:val="000000"/>
          <w:sz w:val="22"/>
          <w:szCs w:val="22"/>
        </w:rPr>
        <w:t xml:space="preserve"> - Fabricación de productos metálicos para uso estructural</w:t>
      </w:r>
      <w:r w:rsidR="00100BE6">
        <w:rPr>
          <w:rFonts w:ascii="Verdana" w:hAnsi="Verdana" w:cs="Arial"/>
          <w:color w:val="000000"/>
          <w:sz w:val="22"/>
          <w:szCs w:val="22"/>
        </w:rPr>
        <w:t xml:space="preserve"> con un total de 1 empresa; </w:t>
      </w:r>
      <w:r w:rsidRPr="00100BE6">
        <w:rPr>
          <w:rFonts w:ascii="Verdana" w:hAnsi="Verdana" w:cs="Arial"/>
          <w:b/>
          <w:bCs/>
          <w:color w:val="000000"/>
          <w:sz w:val="22"/>
          <w:szCs w:val="22"/>
        </w:rPr>
        <w:t>3312</w:t>
      </w:r>
      <w:r w:rsidRPr="00100BE6">
        <w:rPr>
          <w:rFonts w:ascii="Verdana" w:hAnsi="Verdana" w:cs="Arial"/>
          <w:color w:val="000000"/>
          <w:sz w:val="22"/>
          <w:szCs w:val="22"/>
        </w:rPr>
        <w:t xml:space="preserve"> - Mantenimiento y reparación especializado de maquinaria y equipo</w:t>
      </w:r>
      <w:r w:rsidR="00100BE6">
        <w:rPr>
          <w:rFonts w:ascii="Verdana" w:hAnsi="Verdana" w:cs="Arial"/>
          <w:color w:val="000000"/>
          <w:sz w:val="22"/>
          <w:szCs w:val="22"/>
        </w:rPr>
        <w:t xml:space="preserve"> con un total de </w:t>
      </w:r>
      <w:r w:rsidR="00BB2099">
        <w:rPr>
          <w:rFonts w:ascii="Verdana" w:hAnsi="Verdana" w:cs="Arial"/>
          <w:color w:val="000000"/>
          <w:sz w:val="22"/>
          <w:szCs w:val="22"/>
        </w:rPr>
        <w:t xml:space="preserve">4 empresas; </w:t>
      </w:r>
      <w:r w:rsidRPr="00BB2099">
        <w:rPr>
          <w:rFonts w:ascii="Verdana" w:hAnsi="Verdana" w:cs="Arial"/>
          <w:b/>
          <w:bCs/>
          <w:color w:val="000000"/>
          <w:sz w:val="22"/>
          <w:szCs w:val="22"/>
        </w:rPr>
        <w:t>3314</w:t>
      </w:r>
      <w:r w:rsidRPr="00100BE6">
        <w:rPr>
          <w:rFonts w:ascii="Verdana" w:hAnsi="Verdana" w:cs="Arial"/>
          <w:color w:val="000000"/>
          <w:sz w:val="22"/>
          <w:szCs w:val="22"/>
        </w:rPr>
        <w:t xml:space="preserve"> - Mantenimiento y reparación especializado de equipo eléctrico</w:t>
      </w:r>
      <w:r w:rsidR="00BB2099">
        <w:rPr>
          <w:rFonts w:ascii="Verdana" w:hAnsi="Verdana" w:cs="Arial"/>
          <w:color w:val="000000"/>
          <w:sz w:val="22"/>
          <w:szCs w:val="22"/>
        </w:rPr>
        <w:t xml:space="preserve"> con un total de 1 empresa; </w:t>
      </w:r>
      <w:r w:rsidRPr="00BB2099">
        <w:rPr>
          <w:rFonts w:ascii="Verdana" w:hAnsi="Verdana" w:cs="Arial"/>
          <w:b/>
          <w:bCs/>
          <w:color w:val="000000"/>
          <w:sz w:val="22"/>
          <w:szCs w:val="22"/>
        </w:rPr>
        <w:t>3600</w:t>
      </w:r>
      <w:r w:rsidR="00BB2099">
        <w:rPr>
          <w:rFonts w:ascii="Verdana" w:hAnsi="Verdana" w:cs="Arial"/>
          <w:b/>
          <w:bCs/>
          <w:color w:val="000000"/>
          <w:sz w:val="22"/>
          <w:szCs w:val="22"/>
        </w:rPr>
        <w:t xml:space="preserve"> - </w:t>
      </w:r>
      <w:r w:rsidRPr="00100BE6">
        <w:rPr>
          <w:rFonts w:ascii="Verdana" w:hAnsi="Verdana" w:cs="Arial"/>
          <w:color w:val="000000"/>
          <w:sz w:val="22"/>
          <w:szCs w:val="22"/>
        </w:rPr>
        <w:t>Captación, tratamiento y distribución de agua</w:t>
      </w:r>
      <w:r w:rsidR="00BB2099">
        <w:rPr>
          <w:rFonts w:ascii="Verdana" w:hAnsi="Verdana" w:cs="Arial"/>
          <w:color w:val="000000"/>
          <w:sz w:val="22"/>
          <w:szCs w:val="22"/>
        </w:rPr>
        <w:t xml:space="preserve"> con un total de 1 empresa; </w:t>
      </w:r>
      <w:r w:rsidRPr="00BB2099">
        <w:rPr>
          <w:rFonts w:ascii="Verdana" w:hAnsi="Verdana" w:cs="Arial"/>
          <w:b/>
          <w:bCs/>
          <w:color w:val="000000"/>
          <w:sz w:val="22"/>
          <w:szCs w:val="22"/>
        </w:rPr>
        <w:t>4111</w:t>
      </w:r>
      <w:r w:rsidR="00BB2099">
        <w:rPr>
          <w:rFonts w:ascii="Verdana" w:hAnsi="Verdana" w:cs="Arial"/>
          <w:color w:val="000000"/>
          <w:sz w:val="22"/>
          <w:szCs w:val="22"/>
        </w:rPr>
        <w:t xml:space="preserve"> - </w:t>
      </w:r>
      <w:r w:rsidRPr="00100BE6">
        <w:rPr>
          <w:rFonts w:ascii="Verdana" w:hAnsi="Verdana" w:cs="Arial"/>
          <w:color w:val="000000"/>
          <w:sz w:val="22"/>
          <w:szCs w:val="22"/>
        </w:rPr>
        <w:t>Construcción de edificios residenciales</w:t>
      </w:r>
      <w:r w:rsidR="00BB2099">
        <w:rPr>
          <w:rFonts w:ascii="Verdana" w:hAnsi="Verdana" w:cs="Arial"/>
          <w:color w:val="000000"/>
          <w:sz w:val="22"/>
          <w:szCs w:val="22"/>
        </w:rPr>
        <w:t xml:space="preserve"> con un total de 2 empresas; </w:t>
      </w:r>
      <w:r w:rsidRPr="00BB2099">
        <w:rPr>
          <w:rFonts w:ascii="Verdana" w:hAnsi="Verdana" w:cs="Arial"/>
          <w:b/>
          <w:bCs/>
          <w:color w:val="000000"/>
          <w:sz w:val="22"/>
          <w:szCs w:val="22"/>
        </w:rPr>
        <w:t>4112</w:t>
      </w:r>
      <w:r w:rsidR="00BB2099">
        <w:rPr>
          <w:rFonts w:ascii="Verdana" w:hAnsi="Verdana" w:cs="Arial"/>
          <w:color w:val="000000"/>
          <w:sz w:val="22"/>
          <w:szCs w:val="22"/>
        </w:rPr>
        <w:t xml:space="preserve"> - </w:t>
      </w:r>
      <w:r w:rsidRPr="00100BE6">
        <w:rPr>
          <w:rFonts w:ascii="Verdana" w:hAnsi="Verdana" w:cs="Arial"/>
          <w:color w:val="000000"/>
          <w:sz w:val="22"/>
          <w:szCs w:val="22"/>
        </w:rPr>
        <w:t>Construcción de edificios no residenciales</w:t>
      </w:r>
      <w:r w:rsidR="00BB2099">
        <w:rPr>
          <w:rFonts w:ascii="Verdana" w:hAnsi="Verdana" w:cs="Arial"/>
          <w:color w:val="000000"/>
          <w:sz w:val="22"/>
          <w:szCs w:val="22"/>
        </w:rPr>
        <w:t xml:space="preserve"> con un total de 5 empresas;  </w:t>
      </w:r>
      <w:r w:rsidRPr="001A1403">
        <w:rPr>
          <w:rFonts w:ascii="Verdana" w:hAnsi="Verdana" w:cs="Arial"/>
          <w:b/>
          <w:bCs/>
          <w:color w:val="000000"/>
          <w:sz w:val="22"/>
          <w:szCs w:val="22"/>
        </w:rPr>
        <w:t>4210</w:t>
      </w:r>
      <w:r w:rsidR="001A1403">
        <w:rPr>
          <w:rFonts w:ascii="Verdana" w:hAnsi="Verdana" w:cs="Arial"/>
          <w:b/>
          <w:bCs/>
          <w:color w:val="000000"/>
          <w:sz w:val="22"/>
          <w:szCs w:val="22"/>
        </w:rPr>
        <w:t xml:space="preserve"> - </w:t>
      </w:r>
      <w:r w:rsidRPr="00100BE6">
        <w:rPr>
          <w:rFonts w:ascii="Verdana" w:hAnsi="Verdana" w:cs="Arial"/>
          <w:color w:val="000000"/>
          <w:sz w:val="22"/>
          <w:szCs w:val="22"/>
        </w:rPr>
        <w:t>Construcción de carreteras y vías de ferrocarril</w:t>
      </w:r>
      <w:r w:rsidR="001A1403">
        <w:rPr>
          <w:rFonts w:ascii="Verdana" w:hAnsi="Verdana" w:cs="Arial"/>
          <w:color w:val="000000"/>
          <w:sz w:val="22"/>
          <w:szCs w:val="22"/>
        </w:rPr>
        <w:t xml:space="preserve"> con un total de 20 empresas;</w:t>
      </w:r>
      <w:r w:rsidR="00E63800">
        <w:rPr>
          <w:rFonts w:ascii="Verdana" w:hAnsi="Verdana" w:cs="Arial"/>
          <w:color w:val="000000"/>
          <w:sz w:val="22"/>
          <w:szCs w:val="22"/>
        </w:rPr>
        <w:t xml:space="preserve"> </w:t>
      </w:r>
      <w:r w:rsidRPr="00E63800">
        <w:rPr>
          <w:rFonts w:ascii="Verdana" w:hAnsi="Verdana" w:cs="Arial"/>
          <w:b/>
          <w:bCs/>
          <w:color w:val="000000"/>
          <w:sz w:val="22"/>
          <w:szCs w:val="22"/>
        </w:rPr>
        <w:t>4321</w:t>
      </w:r>
      <w:r w:rsidR="00E63800">
        <w:rPr>
          <w:rFonts w:ascii="Verdana" w:hAnsi="Verdana" w:cs="Arial"/>
          <w:color w:val="000000"/>
          <w:sz w:val="22"/>
          <w:szCs w:val="22"/>
        </w:rPr>
        <w:t xml:space="preserve"> - </w:t>
      </w:r>
      <w:r w:rsidRPr="00100BE6">
        <w:rPr>
          <w:rFonts w:ascii="Verdana" w:hAnsi="Verdana" w:cs="Arial"/>
          <w:color w:val="000000"/>
          <w:sz w:val="22"/>
          <w:szCs w:val="22"/>
        </w:rPr>
        <w:t>Instalaciones eléctricas</w:t>
      </w:r>
      <w:r w:rsidR="00E63800">
        <w:rPr>
          <w:rFonts w:ascii="Verdana" w:hAnsi="Verdana" w:cs="Arial"/>
          <w:color w:val="000000"/>
          <w:sz w:val="22"/>
          <w:szCs w:val="22"/>
        </w:rPr>
        <w:t xml:space="preserve"> con un total de 1 empresa; </w:t>
      </w:r>
      <w:r w:rsidRPr="00E63800">
        <w:rPr>
          <w:rFonts w:ascii="Verdana" w:hAnsi="Verdana" w:cs="Arial"/>
          <w:b/>
          <w:bCs/>
          <w:color w:val="000000"/>
          <w:sz w:val="22"/>
          <w:szCs w:val="22"/>
        </w:rPr>
        <w:t>4322</w:t>
      </w:r>
      <w:r w:rsidR="00E63800">
        <w:rPr>
          <w:rFonts w:ascii="Verdana" w:hAnsi="Verdana" w:cs="Arial"/>
          <w:b/>
          <w:bCs/>
          <w:color w:val="000000"/>
          <w:sz w:val="22"/>
          <w:szCs w:val="22"/>
        </w:rPr>
        <w:t xml:space="preserve"> - </w:t>
      </w:r>
      <w:r w:rsidRPr="00100BE6">
        <w:rPr>
          <w:rFonts w:ascii="Verdana" w:hAnsi="Verdana" w:cs="Arial"/>
          <w:color w:val="000000"/>
          <w:sz w:val="22"/>
          <w:szCs w:val="22"/>
        </w:rPr>
        <w:t>Instalaciones de fontanería, calefacción y aire acondicionado</w:t>
      </w:r>
      <w:r w:rsidR="00E63800">
        <w:rPr>
          <w:rFonts w:ascii="Verdana" w:hAnsi="Verdana" w:cs="Arial"/>
          <w:color w:val="000000"/>
          <w:sz w:val="22"/>
          <w:szCs w:val="22"/>
        </w:rPr>
        <w:t xml:space="preserve"> con un total de 1 empresa; </w:t>
      </w:r>
      <w:r w:rsidRPr="00E63800">
        <w:rPr>
          <w:rFonts w:ascii="Verdana" w:hAnsi="Verdana" w:cs="Arial"/>
          <w:b/>
          <w:bCs/>
          <w:color w:val="000000"/>
          <w:sz w:val="22"/>
          <w:szCs w:val="22"/>
        </w:rPr>
        <w:t>4330</w:t>
      </w:r>
      <w:r w:rsidR="00E63800">
        <w:rPr>
          <w:rFonts w:ascii="Verdana" w:hAnsi="Verdana" w:cs="Arial"/>
          <w:color w:val="000000"/>
          <w:sz w:val="22"/>
          <w:szCs w:val="22"/>
        </w:rPr>
        <w:t xml:space="preserve"> - </w:t>
      </w:r>
      <w:r w:rsidRPr="00100BE6">
        <w:rPr>
          <w:rFonts w:ascii="Verdana" w:hAnsi="Verdana" w:cs="Arial"/>
          <w:color w:val="000000"/>
          <w:sz w:val="22"/>
          <w:szCs w:val="22"/>
        </w:rPr>
        <w:t>Terminación y acabado de edificios y obras de ingeniería civil</w:t>
      </w:r>
      <w:r w:rsidR="00E63800">
        <w:rPr>
          <w:rFonts w:ascii="Verdana" w:hAnsi="Verdana" w:cs="Arial"/>
          <w:color w:val="000000"/>
          <w:sz w:val="22"/>
          <w:szCs w:val="22"/>
        </w:rPr>
        <w:t xml:space="preserve"> con un total de 1 empresa; </w:t>
      </w:r>
      <w:r w:rsidRPr="001801EC">
        <w:rPr>
          <w:rFonts w:ascii="Verdana" w:hAnsi="Verdana" w:cs="Arial"/>
          <w:b/>
          <w:bCs/>
          <w:color w:val="000000"/>
          <w:sz w:val="22"/>
          <w:szCs w:val="22"/>
        </w:rPr>
        <w:t>4390</w:t>
      </w:r>
      <w:r w:rsidR="001801EC">
        <w:rPr>
          <w:rFonts w:ascii="Verdana" w:hAnsi="Verdana" w:cs="Arial"/>
          <w:color w:val="000000"/>
          <w:sz w:val="22"/>
          <w:szCs w:val="22"/>
        </w:rPr>
        <w:t xml:space="preserve"> -</w:t>
      </w:r>
      <w:r w:rsidR="00E63800">
        <w:rPr>
          <w:rFonts w:ascii="Verdana" w:hAnsi="Verdana" w:cs="Arial"/>
          <w:color w:val="000000"/>
          <w:sz w:val="22"/>
          <w:szCs w:val="22"/>
        </w:rPr>
        <w:t xml:space="preserve"> </w:t>
      </w:r>
      <w:r w:rsidRPr="00100BE6">
        <w:rPr>
          <w:rFonts w:ascii="Verdana" w:hAnsi="Verdana" w:cs="Arial"/>
          <w:color w:val="000000"/>
          <w:sz w:val="22"/>
          <w:szCs w:val="22"/>
        </w:rPr>
        <w:t>Otras actividades especializadas para la construcción de edificios y obras de ingeniería civil</w:t>
      </w:r>
      <w:r w:rsidR="001801EC">
        <w:rPr>
          <w:rFonts w:ascii="Verdana" w:hAnsi="Verdana" w:cs="Arial"/>
          <w:color w:val="000000"/>
          <w:sz w:val="22"/>
          <w:szCs w:val="22"/>
        </w:rPr>
        <w:t xml:space="preserve"> con un total de 8 empresas; </w:t>
      </w:r>
      <w:r w:rsidRPr="001801EC">
        <w:rPr>
          <w:rFonts w:ascii="Verdana" w:hAnsi="Verdana" w:cs="Arial"/>
          <w:b/>
          <w:bCs/>
          <w:color w:val="000000"/>
          <w:sz w:val="22"/>
          <w:szCs w:val="22"/>
        </w:rPr>
        <w:t>4659</w:t>
      </w:r>
      <w:r w:rsidR="001801EC">
        <w:rPr>
          <w:rFonts w:ascii="Verdana" w:hAnsi="Verdana" w:cs="Arial"/>
          <w:b/>
          <w:bCs/>
          <w:color w:val="000000"/>
          <w:sz w:val="22"/>
          <w:szCs w:val="22"/>
        </w:rPr>
        <w:t xml:space="preserve"> - </w:t>
      </w:r>
      <w:r w:rsidRPr="00100BE6">
        <w:rPr>
          <w:rFonts w:ascii="Verdana" w:hAnsi="Verdana" w:cs="Arial"/>
          <w:color w:val="000000"/>
          <w:sz w:val="22"/>
          <w:szCs w:val="22"/>
        </w:rPr>
        <w:t xml:space="preserve">Comercio al por mayor de otros tipos de maquinaria y equipo </w:t>
      </w:r>
      <w:proofErr w:type="spellStart"/>
      <w:r w:rsidRPr="00100BE6">
        <w:rPr>
          <w:rFonts w:ascii="Verdana" w:hAnsi="Verdana" w:cs="Arial"/>
          <w:color w:val="000000"/>
          <w:sz w:val="22"/>
          <w:szCs w:val="22"/>
        </w:rPr>
        <w:t>n.c.p</w:t>
      </w:r>
      <w:proofErr w:type="spellEnd"/>
      <w:r w:rsidRPr="00100BE6">
        <w:rPr>
          <w:rFonts w:ascii="Verdana" w:hAnsi="Verdana" w:cs="Arial"/>
          <w:color w:val="000000"/>
          <w:sz w:val="22"/>
          <w:szCs w:val="22"/>
        </w:rPr>
        <w:t>.</w:t>
      </w:r>
      <w:r w:rsidR="001801EC">
        <w:rPr>
          <w:rFonts w:ascii="Verdana" w:hAnsi="Verdana" w:cs="Arial"/>
          <w:color w:val="000000"/>
          <w:sz w:val="22"/>
          <w:szCs w:val="22"/>
        </w:rPr>
        <w:t xml:space="preserve"> con un total de 1 empresa; </w:t>
      </w:r>
      <w:r w:rsidRPr="001801EC">
        <w:rPr>
          <w:rFonts w:ascii="Verdana" w:hAnsi="Verdana" w:cs="Arial"/>
          <w:b/>
          <w:bCs/>
          <w:color w:val="000000"/>
          <w:sz w:val="22"/>
          <w:szCs w:val="22"/>
        </w:rPr>
        <w:t>4663</w:t>
      </w:r>
      <w:r w:rsidR="001801EC">
        <w:rPr>
          <w:rFonts w:ascii="Verdana" w:hAnsi="Verdana" w:cs="Arial"/>
          <w:color w:val="000000"/>
          <w:sz w:val="22"/>
          <w:szCs w:val="22"/>
        </w:rPr>
        <w:t xml:space="preserve"> - </w:t>
      </w:r>
      <w:r w:rsidRPr="00100BE6">
        <w:rPr>
          <w:rFonts w:ascii="Verdana" w:hAnsi="Verdana" w:cs="Arial"/>
          <w:color w:val="000000"/>
          <w:sz w:val="22"/>
          <w:szCs w:val="22"/>
        </w:rPr>
        <w:t>Comercio al por mayor de materiales de construcción, artículos de ferretería, pinturas, productos de vidrio, equipo y materiales de fontanería y calefacción</w:t>
      </w:r>
      <w:r w:rsidR="001801EC">
        <w:rPr>
          <w:rFonts w:ascii="Verdana" w:hAnsi="Verdana" w:cs="Arial"/>
          <w:color w:val="000000"/>
          <w:sz w:val="22"/>
          <w:szCs w:val="22"/>
        </w:rPr>
        <w:t xml:space="preserve"> con un total de 1 empresa; </w:t>
      </w:r>
      <w:r w:rsidRPr="001801EC">
        <w:rPr>
          <w:rFonts w:ascii="Verdana" w:hAnsi="Verdana" w:cs="Arial"/>
          <w:b/>
          <w:bCs/>
          <w:color w:val="000000"/>
          <w:sz w:val="22"/>
          <w:szCs w:val="22"/>
        </w:rPr>
        <w:t>4690</w:t>
      </w:r>
      <w:r w:rsidR="001801EC">
        <w:rPr>
          <w:rFonts w:ascii="Verdana" w:hAnsi="Verdana" w:cs="Arial"/>
          <w:color w:val="000000"/>
          <w:sz w:val="22"/>
          <w:szCs w:val="22"/>
        </w:rPr>
        <w:t xml:space="preserve"> - </w:t>
      </w:r>
      <w:r w:rsidRPr="00100BE6">
        <w:rPr>
          <w:rFonts w:ascii="Verdana" w:hAnsi="Verdana" w:cs="Arial"/>
          <w:color w:val="000000"/>
          <w:sz w:val="22"/>
          <w:szCs w:val="22"/>
        </w:rPr>
        <w:t>Comercio al por mayor no especializado</w:t>
      </w:r>
      <w:r w:rsidR="001801EC">
        <w:rPr>
          <w:rFonts w:ascii="Verdana" w:hAnsi="Verdana" w:cs="Arial"/>
          <w:color w:val="000000"/>
          <w:sz w:val="22"/>
          <w:szCs w:val="22"/>
        </w:rPr>
        <w:t xml:space="preserve"> con un total de 1 empresa; </w:t>
      </w:r>
      <w:r w:rsidRPr="003344C1">
        <w:rPr>
          <w:rFonts w:ascii="Verdana" w:hAnsi="Verdana" w:cs="Arial"/>
          <w:b/>
          <w:bCs/>
          <w:color w:val="000000"/>
          <w:sz w:val="22"/>
          <w:szCs w:val="22"/>
        </w:rPr>
        <w:t>7020</w:t>
      </w:r>
      <w:r w:rsidR="003344C1">
        <w:rPr>
          <w:rFonts w:ascii="Verdana" w:hAnsi="Verdana" w:cs="Arial"/>
          <w:b/>
          <w:bCs/>
          <w:color w:val="000000"/>
          <w:sz w:val="22"/>
          <w:szCs w:val="22"/>
        </w:rPr>
        <w:t xml:space="preserve"> - </w:t>
      </w:r>
      <w:r w:rsidRPr="00100BE6">
        <w:rPr>
          <w:rFonts w:ascii="Verdana" w:hAnsi="Verdana" w:cs="Arial"/>
          <w:color w:val="000000"/>
          <w:sz w:val="22"/>
          <w:szCs w:val="22"/>
        </w:rPr>
        <w:t>Actividades de consultaría de gestión</w:t>
      </w:r>
      <w:r w:rsidR="003344C1">
        <w:rPr>
          <w:rFonts w:ascii="Verdana" w:hAnsi="Verdana" w:cs="Arial"/>
          <w:color w:val="000000"/>
          <w:sz w:val="22"/>
          <w:szCs w:val="22"/>
        </w:rPr>
        <w:t xml:space="preserve"> con un total de 1 empresa; </w:t>
      </w:r>
      <w:r w:rsidRPr="003344C1">
        <w:rPr>
          <w:rFonts w:ascii="Verdana" w:hAnsi="Verdana" w:cs="Arial"/>
          <w:b/>
          <w:bCs/>
          <w:color w:val="000000"/>
          <w:sz w:val="22"/>
          <w:szCs w:val="22"/>
        </w:rPr>
        <w:t>7110</w:t>
      </w:r>
      <w:r w:rsidR="003344C1">
        <w:rPr>
          <w:rFonts w:ascii="Verdana" w:hAnsi="Verdana" w:cs="Arial"/>
          <w:color w:val="000000"/>
          <w:sz w:val="22"/>
          <w:szCs w:val="22"/>
        </w:rPr>
        <w:t xml:space="preserve"> - </w:t>
      </w:r>
      <w:r w:rsidRPr="00100BE6">
        <w:rPr>
          <w:rFonts w:ascii="Verdana" w:hAnsi="Verdana" w:cs="Arial"/>
          <w:color w:val="000000"/>
          <w:sz w:val="22"/>
          <w:szCs w:val="22"/>
        </w:rPr>
        <w:t>Actividades de arquitectura e ingeniería y otras actividades conexas de consultoría técnica</w:t>
      </w:r>
      <w:r w:rsidR="003344C1">
        <w:rPr>
          <w:rFonts w:ascii="Verdana" w:hAnsi="Verdana" w:cs="Arial"/>
          <w:color w:val="000000"/>
          <w:sz w:val="22"/>
          <w:szCs w:val="22"/>
        </w:rPr>
        <w:t xml:space="preserve"> con un total de 1 empresa; </w:t>
      </w:r>
      <w:r w:rsidRPr="003344C1">
        <w:rPr>
          <w:rFonts w:ascii="Verdana" w:hAnsi="Verdana" w:cs="Arial"/>
          <w:b/>
          <w:bCs/>
          <w:color w:val="000000"/>
          <w:sz w:val="22"/>
          <w:szCs w:val="22"/>
        </w:rPr>
        <w:t>7111</w:t>
      </w:r>
      <w:r w:rsidR="003344C1">
        <w:rPr>
          <w:rFonts w:ascii="Verdana" w:hAnsi="Verdana" w:cs="Arial"/>
          <w:color w:val="000000"/>
          <w:sz w:val="22"/>
          <w:szCs w:val="22"/>
        </w:rPr>
        <w:t xml:space="preserve"> - </w:t>
      </w:r>
      <w:r w:rsidRPr="00100BE6">
        <w:rPr>
          <w:rFonts w:ascii="Verdana" w:hAnsi="Verdana" w:cs="Arial"/>
          <w:color w:val="000000"/>
          <w:sz w:val="22"/>
          <w:szCs w:val="22"/>
        </w:rPr>
        <w:t>Actividades de arquitectura</w:t>
      </w:r>
      <w:r w:rsidR="003344C1">
        <w:rPr>
          <w:rFonts w:ascii="Verdana" w:hAnsi="Verdana" w:cs="Arial"/>
          <w:color w:val="000000"/>
          <w:sz w:val="22"/>
          <w:szCs w:val="22"/>
        </w:rPr>
        <w:t xml:space="preserve"> con un total de 1 empresa; </w:t>
      </w:r>
      <w:r w:rsidRPr="003344C1">
        <w:rPr>
          <w:rFonts w:ascii="Verdana" w:hAnsi="Verdana" w:cs="Arial"/>
          <w:b/>
          <w:bCs/>
          <w:color w:val="000000"/>
          <w:sz w:val="22"/>
          <w:szCs w:val="22"/>
        </w:rPr>
        <w:t>7112</w:t>
      </w:r>
      <w:r w:rsidR="003344C1">
        <w:rPr>
          <w:rFonts w:ascii="Verdana" w:hAnsi="Verdana" w:cs="Arial"/>
          <w:b/>
          <w:bCs/>
          <w:color w:val="000000"/>
          <w:sz w:val="22"/>
          <w:szCs w:val="22"/>
        </w:rPr>
        <w:t xml:space="preserve"> - </w:t>
      </w:r>
      <w:r w:rsidRPr="00100BE6">
        <w:rPr>
          <w:rFonts w:ascii="Verdana" w:hAnsi="Verdana" w:cs="Arial"/>
          <w:color w:val="000000"/>
          <w:sz w:val="22"/>
          <w:szCs w:val="22"/>
        </w:rPr>
        <w:t>Actividades de ingeniería y otras actividades conexas de consultoría</w:t>
      </w:r>
      <w:r w:rsidR="003344C1">
        <w:rPr>
          <w:rFonts w:ascii="Verdana" w:hAnsi="Verdana" w:cs="Arial"/>
          <w:color w:val="000000"/>
          <w:sz w:val="22"/>
          <w:szCs w:val="22"/>
        </w:rPr>
        <w:t xml:space="preserve"> con un total de 18 empresas; </w:t>
      </w:r>
      <w:r w:rsidRPr="00E92A79">
        <w:rPr>
          <w:rFonts w:ascii="Verdana" w:hAnsi="Verdana" w:cs="Arial"/>
          <w:b/>
          <w:bCs/>
          <w:color w:val="000000"/>
          <w:sz w:val="22"/>
          <w:szCs w:val="22"/>
        </w:rPr>
        <w:t>8129</w:t>
      </w:r>
      <w:r w:rsidR="003344C1">
        <w:rPr>
          <w:rFonts w:ascii="Verdana" w:hAnsi="Verdana" w:cs="Arial"/>
          <w:color w:val="000000"/>
          <w:sz w:val="22"/>
          <w:szCs w:val="22"/>
        </w:rPr>
        <w:t xml:space="preserve"> - </w:t>
      </w:r>
      <w:r w:rsidRPr="00100BE6">
        <w:rPr>
          <w:rFonts w:ascii="Verdana" w:hAnsi="Verdana" w:cs="Arial"/>
          <w:color w:val="000000"/>
          <w:sz w:val="22"/>
          <w:szCs w:val="22"/>
        </w:rPr>
        <w:t>Otras actividades de limpieza de edificios e instalaciones industriales</w:t>
      </w:r>
      <w:r w:rsidR="003344C1">
        <w:rPr>
          <w:rFonts w:ascii="Verdana" w:hAnsi="Verdana" w:cs="Arial"/>
          <w:color w:val="000000"/>
          <w:sz w:val="22"/>
          <w:szCs w:val="22"/>
        </w:rPr>
        <w:t xml:space="preserve"> con un total de 2 empresas; </w:t>
      </w:r>
      <w:r w:rsidRPr="00E92A79">
        <w:rPr>
          <w:rFonts w:ascii="Verdana" w:hAnsi="Verdana" w:cs="Arial"/>
          <w:b/>
          <w:bCs/>
          <w:color w:val="000000"/>
          <w:sz w:val="22"/>
          <w:szCs w:val="22"/>
        </w:rPr>
        <w:t>8130</w:t>
      </w:r>
      <w:r w:rsidR="00E92A79">
        <w:rPr>
          <w:rFonts w:ascii="Verdana" w:hAnsi="Verdana" w:cs="Arial"/>
          <w:color w:val="000000"/>
          <w:sz w:val="22"/>
          <w:szCs w:val="22"/>
        </w:rPr>
        <w:t xml:space="preserve"> - </w:t>
      </w:r>
      <w:r w:rsidRPr="00100BE6">
        <w:rPr>
          <w:rFonts w:ascii="Verdana" w:hAnsi="Verdana" w:cs="Arial"/>
          <w:color w:val="000000"/>
          <w:sz w:val="22"/>
          <w:szCs w:val="22"/>
        </w:rPr>
        <w:t xml:space="preserve">Actividades </w:t>
      </w:r>
      <w:r w:rsidRPr="00100BE6">
        <w:rPr>
          <w:rFonts w:ascii="Verdana" w:hAnsi="Verdana" w:cs="Arial"/>
          <w:color w:val="000000"/>
          <w:sz w:val="22"/>
          <w:szCs w:val="22"/>
        </w:rPr>
        <w:lastRenderedPageBreak/>
        <w:t>de paisajismo y servicios de mantenimiento conexos</w:t>
      </w:r>
      <w:r w:rsidR="00E92A79">
        <w:rPr>
          <w:rFonts w:ascii="Verdana" w:hAnsi="Verdana" w:cs="Arial"/>
          <w:color w:val="000000"/>
          <w:sz w:val="22"/>
          <w:szCs w:val="22"/>
        </w:rPr>
        <w:t xml:space="preserve"> con un total de 1 empresa y </w:t>
      </w:r>
      <w:r w:rsidRPr="00E92A79">
        <w:rPr>
          <w:rFonts w:ascii="Verdana" w:hAnsi="Verdana" w:cs="Arial"/>
          <w:b/>
          <w:bCs/>
          <w:color w:val="000000"/>
          <w:sz w:val="22"/>
          <w:szCs w:val="22"/>
        </w:rPr>
        <w:t>8230</w:t>
      </w:r>
      <w:r w:rsidR="00E92A79">
        <w:rPr>
          <w:rFonts w:ascii="Verdana" w:hAnsi="Verdana" w:cs="Arial"/>
          <w:color w:val="000000"/>
          <w:sz w:val="22"/>
          <w:szCs w:val="22"/>
        </w:rPr>
        <w:t xml:space="preserve"> - </w:t>
      </w:r>
      <w:r w:rsidRPr="00100BE6">
        <w:rPr>
          <w:rFonts w:ascii="Verdana" w:hAnsi="Verdana" w:cs="Arial"/>
          <w:color w:val="000000"/>
          <w:sz w:val="22"/>
          <w:szCs w:val="22"/>
        </w:rPr>
        <w:t>Organización de convenciones y eventos comerciales</w:t>
      </w:r>
      <w:r w:rsidR="00E92A79">
        <w:rPr>
          <w:rFonts w:ascii="Verdana" w:hAnsi="Verdana" w:cs="Arial"/>
          <w:color w:val="000000"/>
          <w:sz w:val="22"/>
          <w:szCs w:val="22"/>
        </w:rPr>
        <w:t xml:space="preserve"> con un total de 1 empresa.</w:t>
      </w:r>
    </w:p>
    <w:p w14:paraId="097981BE" w14:textId="77777777" w:rsidR="008F4D99" w:rsidRPr="00A63597" w:rsidRDefault="008F4D99" w:rsidP="008F4D99">
      <w:pPr>
        <w:autoSpaceDE w:val="0"/>
        <w:autoSpaceDN w:val="0"/>
        <w:ind w:left="360"/>
        <w:jc w:val="both"/>
        <w:rPr>
          <w:rFonts w:ascii="Verdana" w:hAnsi="Verdana" w:cs="Arial"/>
          <w:b/>
          <w:bCs/>
          <w:i/>
          <w:iCs/>
          <w:color w:val="000000"/>
          <w:sz w:val="22"/>
          <w:szCs w:val="22"/>
          <w:u w:val="single"/>
        </w:rPr>
      </w:pPr>
    </w:p>
    <w:p w14:paraId="79EDA4BA" w14:textId="5BDA6905" w:rsidR="006B6211" w:rsidRPr="00870C64" w:rsidRDefault="006B6211" w:rsidP="006B6211">
      <w:pPr>
        <w:pBdr>
          <w:top w:val="dotted" w:sz="4" w:space="1" w:color="000000"/>
          <w:left w:val="dotted" w:sz="4" w:space="4" w:color="000000"/>
          <w:bottom w:val="dotted" w:sz="4" w:space="1" w:color="000000"/>
          <w:right w:val="dotted" w:sz="4" w:space="4" w:color="000000"/>
        </w:pBdr>
        <w:autoSpaceDE w:val="0"/>
        <w:autoSpaceDN w:val="0"/>
        <w:ind w:left="360"/>
        <w:jc w:val="both"/>
        <w:rPr>
          <w:rFonts w:ascii="Verdana" w:hAnsi="Verdana" w:cs="Arial"/>
          <w:color w:val="000000"/>
          <w:sz w:val="22"/>
          <w:szCs w:val="22"/>
          <w:highlight w:val="yellow"/>
        </w:rPr>
      </w:pPr>
      <w:r w:rsidRPr="00E33AF8">
        <w:rPr>
          <w:rFonts w:ascii="Verdana" w:hAnsi="Verdana" w:cs="Arial"/>
          <w:b/>
          <w:bCs/>
          <w:color w:val="000000"/>
          <w:sz w:val="22"/>
          <w:szCs w:val="22"/>
        </w:rPr>
        <w:t xml:space="preserve">Nota </w:t>
      </w:r>
      <w:r w:rsidR="00E33AF8" w:rsidRPr="00E33AF8">
        <w:rPr>
          <w:rFonts w:ascii="Verdana" w:hAnsi="Verdana" w:cs="Arial"/>
          <w:b/>
          <w:bCs/>
          <w:color w:val="000000"/>
          <w:sz w:val="22"/>
          <w:szCs w:val="22"/>
        </w:rPr>
        <w:t>1</w:t>
      </w:r>
      <w:r w:rsidRPr="00E33AF8">
        <w:rPr>
          <w:rFonts w:ascii="Verdana" w:hAnsi="Verdana" w:cs="Arial"/>
          <w:b/>
          <w:bCs/>
          <w:color w:val="000000"/>
          <w:sz w:val="22"/>
          <w:szCs w:val="22"/>
        </w:rPr>
        <w:t>:</w:t>
      </w:r>
      <w:r w:rsidRPr="00E33AF8">
        <w:rPr>
          <w:rFonts w:ascii="Verdana" w:hAnsi="Verdana" w:cs="Arial"/>
          <w:color w:val="000000"/>
          <w:sz w:val="22"/>
          <w:szCs w:val="22"/>
        </w:rPr>
        <w:t xml:space="preserve"> se</w:t>
      </w:r>
      <w:r w:rsidRPr="00CD3DD8">
        <w:rPr>
          <w:rFonts w:ascii="Verdana" w:hAnsi="Verdana" w:cs="Arial"/>
          <w:color w:val="000000"/>
          <w:sz w:val="22"/>
          <w:szCs w:val="22"/>
        </w:rPr>
        <w:t xml:space="preserve"> precisa que las empresas clasificadas con los códigos CIIU secundarios, corresponden a empresas que pese a estar clasificadas con estos códigos, durante el análisis realizado se logró establecer que pueden prestan los servicios</w:t>
      </w:r>
      <w:r w:rsidRPr="00CD3DD8">
        <w:rPr>
          <w:rFonts w:ascii="Verdana" w:eastAsia="Arial" w:hAnsi="Verdana" w:cs="Arial"/>
          <w:sz w:val="22"/>
          <w:szCs w:val="22"/>
        </w:rPr>
        <w:t xml:space="preserve"> objeto de análisis.</w:t>
      </w:r>
    </w:p>
    <w:p w14:paraId="166D4B47" w14:textId="77777777" w:rsidR="006B6211" w:rsidRPr="00CD3DD8" w:rsidRDefault="006B6211" w:rsidP="007A0AE0">
      <w:pPr>
        <w:autoSpaceDE w:val="0"/>
        <w:autoSpaceDN w:val="0"/>
        <w:ind w:left="360"/>
        <w:jc w:val="both"/>
        <w:rPr>
          <w:rFonts w:ascii="Verdana" w:hAnsi="Verdana" w:cs="Arial"/>
          <w:color w:val="000000"/>
          <w:sz w:val="22"/>
          <w:szCs w:val="22"/>
        </w:rPr>
      </w:pPr>
    </w:p>
    <w:p w14:paraId="01D14081" w14:textId="77777777" w:rsidR="007A0AE0" w:rsidRPr="00A63597" w:rsidRDefault="007A0AE0" w:rsidP="007A0AE0">
      <w:pPr>
        <w:autoSpaceDE w:val="0"/>
        <w:autoSpaceDN w:val="0"/>
        <w:jc w:val="both"/>
        <w:rPr>
          <w:rFonts w:ascii="Verdana" w:hAnsi="Verdana" w:cs="Arial"/>
          <w:color w:val="000000"/>
          <w:sz w:val="22"/>
          <w:szCs w:val="22"/>
        </w:rPr>
      </w:pPr>
    </w:p>
    <w:p w14:paraId="53A45633" w14:textId="02A95CCA" w:rsidR="007A0AE0" w:rsidRPr="006D64DD" w:rsidRDefault="007A0AE0" w:rsidP="007A0AE0">
      <w:pPr>
        <w:autoSpaceDE w:val="0"/>
        <w:autoSpaceDN w:val="0"/>
        <w:jc w:val="both"/>
        <w:rPr>
          <w:rFonts w:ascii="Verdana" w:hAnsi="Verdana" w:cs="Arial"/>
          <w:color w:val="000000"/>
          <w:sz w:val="22"/>
          <w:szCs w:val="22"/>
        </w:rPr>
      </w:pPr>
      <w:r w:rsidRPr="00A63597">
        <w:rPr>
          <w:rFonts w:ascii="Verdana" w:hAnsi="Verdana" w:cs="Arial"/>
          <w:color w:val="000000"/>
          <w:sz w:val="22"/>
          <w:szCs w:val="22"/>
        </w:rPr>
        <w:t xml:space="preserve">En consecuencia, se cuenta con una muestra de </w:t>
      </w:r>
      <w:r w:rsidR="00072147" w:rsidRPr="00A63597">
        <w:rPr>
          <w:rFonts w:ascii="Verdana" w:hAnsi="Verdana" w:cs="Arial"/>
          <w:b/>
          <w:color w:val="000000" w:themeColor="text1"/>
          <w:sz w:val="22"/>
          <w:szCs w:val="22"/>
        </w:rPr>
        <w:t>QUINIENTAS OCHENTA Y NUEVE (</w:t>
      </w:r>
      <w:r w:rsidR="00072147" w:rsidRPr="006D64DD">
        <w:rPr>
          <w:rFonts w:ascii="Verdana" w:hAnsi="Verdana" w:cs="Arial"/>
          <w:b/>
          <w:color w:val="000000" w:themeColor="text1"/>
          <w:sz w:val="22"/>
          <w:szCs w:val="22"/>
        </w:rPr>
        <w:t>589)</w:t>
      </w:r>
      <w:r w:rsidR="00072147" w:rsidRPr="006D64DD">
        <w:rPr>
          <w:rFonts w:ascii="Verdana" w:hAnsi="Verdana" w:cs="Arial"/>
          <w:color w:val="000000" w:themeColor="text1"/>
          <w:sz w:val="22"/>
          <w:szCs w:val="22"/>
        </w:rPr>
        <w:t xml:space="preserve"> </w:t>
      </w:r>
      <w:r w:rsidR="00A63597" w:rsidRPr="006D64DD">
        <w:rPr>
          <w:rFonts w:ascii="Verdana" w:hAnsi="Verdana" w:cs="Arial"/>
          <w:color w:val="000000" w:themeColor="text1"/>
          <w:sz w:val="22"/>
          <w:szCs w:val="22"/>
        </w:rPr>
        <w:t>empresas</w:t>
      </w:r>
      <w:r w:rsidRPr="006D64DD">
        <w:rPr>
          <w:rFonts w:ascii="Verdana" w:hAnsi="Verdana" w:cs="Arial"/>
          <w:color w:val="000000"/>
          <w:sz w:val="22"/>
          <w:szCs w:val="22"/>
        </w:rPr>
        <w:t xml:space="preserve"> para realizar el análisis de los indicadores financieros.</w:t>
      </w:r>
    </w:p>
    <w:p w14:paraId="628BCB5A" w14:textId="77777777" w:rsidR="007A0AE0" w:rsidRPr="006D64DD" w:rsidRDefault="007A0AE0" w:rsidP="007A0AE0">
      <w:pPr>
        <w:rPr>
          <w:rFonts w:ascii="Verdana" w:hAnsi="Verdana" w:cs="Arial"/>
          <w:sz w:val="22"/>
          <w:szCs w:val="22"/>
        </w:rPr>
      </w:pPr>
    </w:p>
    <w:p w14:paraId="280530F6" w14:textId="77777777" w:rsidR="007A0AE0" w:rsidRPr="006D64DD" w:rsidRDefault="007A0AE0" w:rsidP="007A0AE0">
      <w:pPr>
        <w:autoSpaceDE w:val="0"/>
        <w:autoSpaceDN w:val="0"/>
        <w:spacing w:line="276" w:lineRule="auto"/>
        <w:rPr>
          <w:rFonts w:ascii="Verdana" w:hAnsi="Verdana" w:cs="Arial"/>
          <w:b/>
          <w:sz w:val="22"/>
          <w:szCs w:val="22"/>
        </w:rPr>
      </w:pPr>
      <w:r w:rsidRPr="006D64DD">
        <w:rPr>
          <w:rFonts w:ascii="Verdana" w:hAnsi="Verdana" w:cs="Arial"/>
          <w:b/>
          <w:sz w:val="22"/>
          <w:szCs w:val="22"/>
        </w:rPr>
        <w:t>Tamaño empresarial de la muestra analizada</w:t>
      </w:r>
    </w:p>
    <w:p w14:paraId="6A340B1B" w14:textId="77777777" w:rsidR="007A0AE0" w:rsidRPr="006D64DD" w:rsidRDefault="007A0AE0" w:rsidP="007A0AE0">
      <w:pPr>
        <w:autoSpaceDE w:val="0"/>
        <w:autoSpaceDN w:val="0"/>
        <w:spacing w:line="276" w:lineRule="auto"/>
        <w:rPr>
          <w:rFonts w:ascii="Verdana" w:hAnsi="Verdana" w:cs="Arial"/>
          <w:b/>
          <w:sz w:val="22"/>
          <w:szCs w:val="22"/>
        </w:rPr>
      </w:pPr>
    </w:p>
    <w:p w14:paraId="699AFE6C" w14:textId="1EADB87D" w:rsidR="007A0AE0" w:rsidRPr="006D64DD" w:rsidRDefault="007A0AE0" w:rsidP="007A0AE0">
      <w:pPr>
        <w:jc w:val="both"/>
        <w:rPr>
          <w:rFonts w:ascii="Verdana" w:hAnsi="Verdana" w:cs="Arial"/>
          <w:sz w:val="22"/>
          <w:szCs w:val="22"/>
        </w:rPr>
      </w:pPr>
      <w:r w:rsidRPr="006D64DD">
        <w:rPr>
          <w:rFonts w:ascii="Verdana" w:hAnsi="Verdana" w:cs="Arial"/>
          <w:sz w:val="22"/>
          <w:szCs w:val="22"/>
        </w:rPr>
        <w:t>Conforme a lo definido en el Decreto 1860 de 2021</w:t>
      </w:r>
      <w:r w:rsidRPr="006D64DD">
        <w:rPr>
          <w:rStyle w:val="Refdenotaalpie"/>
          <w:rFonts w:ascii="Verdana" w:hAnsi="Verdana" w:cs="Arial"/>
          <w:sz w:val="22"/>
          <w:szCs w:val="22"/>
          <w:lang w:val="es-MX" w:eastAsia="es-CO"/>
        </w:rPr>
        <w:footnoteReference w:id="31"/>
      </w:r>
      <w:r w:rsidRPr="006D64DD">
        <w:rPr>
          <w:rFonts w:ascii="Verdana" w:hAnsi="Verdana" w:cs="Arial"/>
          <w:sz w:val="22"/>
          <w:szCs w:val="22"/>
          <w:lang w:val="es-MX" w:eastAsia="es-CO"/>
        </w:rPr>
        <w:t xml:space="preserve">, a continuación, se realiza la clasificación de las </w:t>
      </w:r>
      <w:r w:rsidR="006D64DD" w:rsidRPr="006D64DD">
        <w:rPr>
          <w:rFonts w:ascii="Verdana" w:hAnsi="Verdana" w:cs="Arial"/>
          <w:b/>
          <w:color w:val="000000" w:themeColor="text1"/>
          <w:sz w:val="22"/>
          <w:szCs w:val="22"/>
        </w:rPr>
        <w:t>QUINIENTAS OCHENTA Y NUEVE (589)</w:t>
      </w:r>
      <w:r w:rsidR="006D64DD" w:rsidRPr="006D64DD">
        <w:rPr>
          <w:rFonts w:ascii="Verdana" w:hAnsi="Verdana" w:cs="Arial"/>
          <w:color w:val="000000" w:themeColor="text1"/>
          <w:sz w:val="22"/>
          <w:szCs w:val="22"/>
        </w:rPr>
        <w:t xml:space="preserve"> </w:t>
      </w:r>
      <w:r w:rsidRPr="006D64DD">
        <w:rPr>
          <w:rFonts w:ascii="Verdana" w:hAnsi="Verdana" w:cs="Arial"/>
          <w:sz w:val="22"/>
          <w:szCs w:val="22"/>
          <w:lang w:val="es-MX" w:eastAsia="es-CO"/>
        </w:rPr>
        <w:t xml:space="preserve">empresas de la muestra, </w:t>
      </w:r>
      <w:r w:rsidRPr="006D64DD">
        <w:rPr>
          <w:rFonts w:ascii="Verdana" w:hAnsi="Verdana" w:cs="Arial"/>
          <w:sz w:val="22"/>
          <w:szCs w:val="22"/>
        </w:rPr>
        <w:t>por sectores (Manufacturero o Industrial, Servicios y Comercio) y por tamaño empresarial (Micro, Pequeña, Mediana y Gran empresa).</w:t>
      </w:r>
    </w:p>
    <w:p w14:paraId="7A1F597C" w14:textId="77777777" w:rsidR="007A0AE0" w:rsidRPr="00611315" w:rsidRDefault="007A0AE0" w:rsidP="007A0AE0">
      <w:pPr>
        <w:jc w:val="both"/>
        <w:rPr>
          <w:rFonts w:ascii="Verdana" w:hAnsi="Verdana" w:cs="Arial"/>
          <w:sz w:val="22"/>
          <w:szCs w:val="22"/>
          <w:highlight w:val="yellow"/>
        </w:rPr>
      </w:pPr>
    </w:p>
    <w:p w14:paraId="1FB8EB9A" w14:textId="010BAF8E" w:rsidR="007A0AE0" w:rsidRPr="006D64DD" w:rsidRDefault="007A0AE0" w:rsidP="007A0AE0">
      <w:pPr>
        <w:jc w:val="both"/>
        <w:rPr>
          <w:rFonts w:ascii="Verdana" w:hAnsi="Verdana" w:cs="Arial"/>
          <w:sz w:val="22"/>
          <w:szCs w:val="22"/>
        </w:rPr>
      </w:pPr>
      <w:r w:rsidRPr="006D64DD">
        <w:rPr>
          <w:rFonts w:ascii="Verdana" w:hAnsi="Verdana" w:cs="Arial"/>
          <w:sz w:val="22"/>
          <w:szCs w:val="22"/>
        </w:rPr>
        <w:t>La clasificación por sectores se realizó con base en los CIIU</w:t>
      </w:r>
      <w:r w:rsidR="005B6DD8">
        <w:rPr>
          <w:rFonts w:ascii="Verdana" w:hAnsi="Verdana" w:cs="Arial"/>
          <w:sz w:val="22"/>
          <w:szCs w:val="22"/>
        </w:rPr>
        <w:t xml:space="preserve"> (principales y secundarios)</w:t>
      </w:r>
      <w:r w:rsidRPr="006D64DD">
        <w:rPr>
          <w:rFonts w:ascii="Verdana" w:hAnsi="Verdana" w:cs="Arial"/>
          <w:sz w:val="22"/>
          <w:szCs w:val="22"/>
        </w:rPr>
        <w:t xml:space="preserve"> en los que se encuentran clasificadas las empresas que pueden ofrecer los servicios de obra de infraestructura de </w:t>
      </w:r>
      <w:r w:rsidR="005B6DD8">
        <w:rPr>
          <w:rFonts w:ascii="Verdana" w:hAnsi="Verdana" w:cs="Arial"/>
          <w:sz w:val="22"/>
          <w:szCs w:val="22"/>
        </w:rPr>
        <w:t>agua potable y saneamiento básico</w:t>
      </w:r>
      <w:r w:rsidRPr="006D64DD">
        <w:rPr>
          <w:rFonts w:ascii="Verdana" w:hAnsi="Verdana" w:cs="Arial"/>
          <w:sz w:val="22"/>
          <w:szCs w:val="22"/>
        </w:rPr>
        <w:t>.</w:t>
      </w:r>
    </w:p>
    <w:p w14:paraId="143328AC" w14:textId="77777777" w:rsidR="007A0AE0" w:rsidRPr="006D64DD" w:rsidRDefault="007A0AE0" w:rsidP="007A0AE0">
      <w:pPr>
        <w:jc w:val="both"/>
        <w:rPr>
          <w:rFonts w:ascii="Verdana" w:hAnsi="Verdana" w:cs="Arial"/>
          <w:sz w:val="22"/>
          <w:szCs w:val="22"/>
        </w:rPr>
      </w:pPr>
    </w:p>
    <w:p w14:paraId="09AC0B08" w14:textId="77777777" w:rsidR="007A0AE0" w:rsidRPr="006D64DD" w:rsidRDefault="007A0AE0" w:rsidP="007A0AE0">
      <w:pPr>
        <w:jc w:val="both"/>
        <w:rPr>
          <w:rFonts w:ascii="Verdana" w:hAnsi="Verdana" w:cs="Arial"/>
          <w:sz w:val="22"/>
          <w:szCs w:val="22"/>
        </w:rPr>
      </w:pPr>
      <w:r w:rsidRPr="006D64DD">
        <w:rPr>
          <w:rFonts w:ascii="Verdana" w:hAnsi="Verdana" w:cs="Arial"/>
          <w:sz w:val="22"/>
          <w:szCs w:val="22"/>
        </w:rPr>
        <w:t>Po su parte, la clasificación del tamaño empresarial se realizó de acuerdo con la cuenta de ingresos por actividades ordinarias anuales siguiendo las disposiciones del Decreto 957 de 2019</w:t>
      </w:r>
      <w:r w:rsidRPr="006D64DD">
        <w:rPr>
          <w:rStyle w:val="Refdenotaalpie"/>
          <w:rFonts w:ascii="Verdana" w:hAnsi="Verdana" w:cs="Arial"/>
          <w:sz w:val="22"/>
          <w:szCs w:val="22"/>
        </w:rPr>
        <w:footnoteReference w:id="32"/>
      </w:r>
      <w:r w:rsidRPr="006D64DD">
        <w:rPr>
          <w:rFonts w:ascii="Verdana" w:hAnsi="Verdana" w:cs="Arial"/>
          <w:sz w:val="22"/>
          <w:szCs w:val="22"/>
        </w:rPr>
        <w:t xml:space="preserve"> y aplicándoles el factor clasificatorio con las Unidades de Valor Unitario (U.V.T.)</w:t>
      </w:r>
    </w:p>
    <w:p w14:paraId="282FDC64" w14:textId="77777777" w:rsidR="007A0AE0" w:rsidRPr="006D64DD" w:rsidRDefault="007A0AE0" w:rsidP="007A0AE0">
      <w:pPr>
        <w:jc w:val="both"/>
        <w:rPr>
          <w:rFonts w:ascii="Verdana" w:hAnsi="Verdana" w:cs="Arial"/>
          <w:sz w:val="22"/>
          <w:szCs w:val="22"/>
        </w:rPr>
      </w:pPr>
    </w:p>
    <w:p w14:paraId="4F26C1CB" w14:textId="22BD1A42" w:rsidR="007A0AE0" w:rsidRDefault="007A0AE0" w:rsidP="007A0AE0">
      <w:pPr>
        <w:jc w:val="both"/>
        <w:rPr>
          <w:rFonts w:ascii="Verdana" w:hAnsi="Verdana" w:cs="Arial"/>
          <w:sz w:val="22"/>
          <w:szCs w:val="22"/>
        </w:rPr>
      </w:pPr>
      <w:r w:rsidRPr="006D64DD">
        <w:rPr>
          <w:rFonts w:ascii="Verdana" w:hAnsi="Verdana" w:cs="Arial"/>
          <w:sz w:val="22"/>
          <w:szCs w:val="22"/>
        </w:rPr>
        <w:t xml:space="preserve">Realizada la clasificación de las empresas de la muestra de acuerdo con las metodologías señaladas, se logra identificar que las empresas de la muestra pertenecen </w:t>
      </w:r>
      <w:r w:rsidR="00A906EB">
        <w:rPr>
          <w:rFonts w:ascii="Verdana" w:hAnsi="Verdana" w:cs="Arial"/>
          <w:sz w:val="22"/>
          <w:szCs w:val="22"/>
        </w:rPr>
        <w:t xml:space="preserve">principalmente </w:t>
      </w:r>
      <w:r w:rsidRPr="006D64DD">
        <w:rPr>
          <w:rFonts w:ascii="Verdana" w:hAnsi="Verdana" w:cs="Arial"/>
          <w:sz w:val="22"/>
          <w:szCs w:val="22"/>
        </w:rPr>
        <w:t>al sector servicios.</w:t>
      </w:r>
      <w:r w:rsidR="00A906EB">
        <w:rPr>
          <w:rFonts w:ascii="Verdana" w:hAnsi="Verdana" w:cs="Arial"/>
          <w:sz w:val="22"/>
          <w:szCs w:val="22"/>
        </w:rPr>
        <w:t xml:space="preserve"> Sin embargo, también se identificaron </w:t>
      </w:r>
      <w:r w:rsidR="00FE3335">
        <w:rPr>
          <w:rFonts w:ascii="Verdana" w:hAnsi="Verdana" w:cs="Arial"/>
          <w:sz w:val="22"/>
          <w:szCs w:val="22"/>
        </w:rPr>
        <w:t xml:space="preserve">cuatro </w:t>
      </w:r>
      <w:r w:rsidR="00FE3335">
        <w:rPr>
          <w:rFonts w:ascii="Verdana" w:hAnsi="Verdana" w:cs="Arial"/>
          <w:sz w:val="22"/>
          <w:szCs w:val="22"/>
        </w:rPr>
        <w:lastRenderedPageBreak/>
        <w:t>empresas que de conformidad con los códigos CIIU mediante los cuales se clasificaron, se encuentran en el sector manufacturero (1) y comercio (3)</w:t>
      </w:r>
      <w:r w:rsidR="00E9601E">
        <w:rPr>
          <w:rFonts w:ascii="Verdana" w:hAnsi="Verdana" w:cs="Arial"/>
          <w:sz w:val="22"/>
          <w:szCs w:val="22"/>
        </w:rPr>
        <w:t>, tal y como se puede ver a continuación:</w:t>
      </w:r>
    </w:p>
    <w:p w14:paraId="55ECB688" w14:textId="7E32C8D1" w:rsidR="00A06717" w:rsidRPr="00A06717" w:rsidRDefault="00A06717" w:rsidP="00A06717">
      <w:pPr>
        <w:pStyle w:val="Descripcin"/>
        <w:jc w:val="center"/>
        <w:rPr>
          <w:rFonts w:ascii="Verdana" w:hAnsi="Verdana"/>
          <w:sz w:val="22"/>
          <w:szCs w:val="22"/>
          <w:highlight w:val="yellow"/>
        </w:rPr>
      </w:pPr>
      <w:bookmarkStart w:id="425" w:name="_Toc231368802"/>
      <w:r w:rsidRPr="00A06717">
        <w:rPr>
          <w:rFonts w:ascii="Verdana" w:hAnsi="Verdana"/>
          <w:sz w:val="22"/>
          <w:szCs w:val="22"/>
        </w:rPr>
        <w:t xml:space="preserve">Gráfica </w:t>
      </w:r>
      <w:r w:rsidRPr="00A06717">
        <w:rPr>
          <w:rFonts w:ascii="Verdana" w:hAnsi="Verdana"/>
          <w:sz w:val="22"/>
          <w:szCs w:val="22"/>
        </w:rPr>
        <w:fldChar w:fldCharType="begin"/>
      </w:r>
      <w:r w:rsidRPr="00A06717">
        <w:rPr>
          <w:rFonts w:ascii="Verdana" w:hAnsi="Verdana"/>
          <w:sz w:val="22"/>
          <w:szCs w:val="22"/>
        </w:rPr>
        <w:instrText xml:space="preserve"> SEQ Gráfica \* ARABIC </w:instrText>
      </w:r>
      <w:r w:rsidRPr="00A06717">
        <w:rPr>
          <w:rFonts w:ascii="Verdana" w:hAnsi="Verdana"/>
          <w:sz w:val="22"/>
          <w:szCs w:val="22"/>
        </w:rPr>
        <w:fldChar w:fldCharType="separate"/>
      </w:r>
      <w:r w:rsidR="00973CF5">
        <w:rPr>
          <w:rFonts w:ascii="Verdana" w:hAnsi="Verdana"/>
          <w:noProof/>
          <w:sz w:val="22"/>
          <w:szCs w:val="22"/>
        </w:rPr>
        <w:t>27</w:t>
      </w:r>
      <w:r w:rsidRPr="00A06717">
        <w:rPr>
          <w:rFonts w:ascii="Verdana" w:hAnsi="Verdana"/>
          <w:sz w:val="22"/>
          <w:szCs w:val="22"/>
        </w:rPr>
        <w:fldChar w:fldCharType="end"/>
      </w:r>
      <w:r w:rsidRPr="00A06717">
        <w:rPr>
          <w:rFonts w:ascii="Verdana" w:hAnsi="Verdana"/>
          <w:sz w:val="22"/>
          <w:szCs w:val="22"/>
        </w:rPr>
        <w:t>. Clasificación empresarial</w:t>
      </w:r>
      <w:bookmarkEnd w:id="425"/>
    </w:p>
    <w:p w14:paraId="699A24C0" w14:textId="7A340AB5" w:rsidR="00E9601E" w:rsidRPr="006D64DD" w:rsidRDefault="00E9601E" w:rsidP="00A06717">
      <w:pPr>
        <w:jc w:val="center"/>
        <w:rPr>
          <w:rFonts w:ascii="Verdana" w:hAnsi="Verdana" w:cs="Arial"/>
          <w:sz w:val="22"/>
          <w:szCs w:val="22"/>
        </w:rPr>
      </w:pPr>
      <w:r>
        <w:rPr>
          <w:noProof/>
        </w:rPr>
        <w:drawing>
          <wp:inline distT="0" distB="0" distL="0" distR="0" wp14:anchorId="398BB31F" wp14:editId="082FF415">
            <wp:extent cx="4964430" cy="2020186"/>
            <wp:effectExtent l="0" t="0" r="7620" b="18415"/>
            <wp:docPr id="843720178" name="Gráfico 1">
              <a:extLst xmlns:a="http://schemas.openxmlformats.org/drawingml/2006/main">
                <a:ext uri="{FF2B5EF4-FFF2-40B4-BE49-F238E27FC236}">
                  <a16:creationId xmlns:a16="http://schemas.microsoft.com/office/drawing/2014/main" id="{38D2DF8A-7CF1-4C1A-9290-9C83A33888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BA06ED" w14:textId="0E15F277" w:rsidR="00A06717" w:rsidRPr="00E33AF8" w:rsidRDefault="00303BAF" w:rsidP="00A06717">
      <w:pPr>
        <w:jc w:val="center"/>
        <w:rPr>
          <w:rFonts w:ascii="Verdana" w:hAnsi="Verdana" w:cs="Arial"/>
          <w:sz w:val="22"/>
          <w:szCs w:val="22"/>
        </w:rPr>
      </w:pPr>
      <w:r w:rsidRPr="00E33AF8">
        <w:rPr>
          <w:rFonts w:ascii="Verdana" w:hAnsi="Verdana" w:cs="Arial"/>
          <w:b/>
          <w:bCs/>
          <w:sz w:val="22"/>
          <w:szCs w:val="22"/>
        </w:rPr>
        <w:t>Fuente:</w:t>
      </w:r>
      <w:r w:rsidRPr="00E33AF8">
        <w:rPr>
          <w:rFonts w:ascii="Verdana" w:hAnsi="Verdana" w:cs="Arial"/>
          <w:sz w:val="22"/>
          <w:szCs w:val="22"/>
        </w:rPr>
        <w:t xml:space="preserve"> </w:t>
      </w:r>
      <w:r w:rsidR="00A06717" w:rsidRPr="00E33AF8">
        <w:rPr>
          <w:rFonts w:ascii="Verdana" w:hAnsi="Verdana" w:cs="Arial"/>
          <w:sz w:val="22"/>
          <w:szCs w:val="22"/>
        </w:rPr>
        <w:t>Elaboración propia</w:t>
      </w:r>
    </w:p>
    <w:p w14:paraId="1CE55DF1" w14:textId="77777777" w:rsidR="007A0AE0" w:rsidRPr="00611315" w:rsidRDefault="007A0AE0" w:rsidP="007A0AE0">
      <w:pPr>
        <w:jc w:val="both"/>
        <w:rPr>
          <w:rFonts w:ascii="Verdana" w:hAnsi="Verdana" w:cs="Arial"/>
          <w:sz w:val="22"/>
          <w:szCs w:val="22"/>
          <w:highlight w:val="yellow"/>
        </w:rPr>
      </w:pPr>
    </w:p>
    <w:p w14:paraId="2651AE2F" w14:textId="67987641" w:rsidR="007A0AE0" w:rsidRPr="00BE592F" w:rsidRDefault="0019329A" w:rsidP="007A0AE0">
      <w:pPr>
        <w:jc w:val="both"/>
        <w:rPr>
          <w:rFonts w:ascii="Verdana" w:hAnsi="Verdana" w:cs="Arial"/>
          <w:sz w:val="22"/>
          <w:szCs w:val="22"/>
        </w:rPr>
      </w:pPr>
      <w:r w:rsidRPr="00BE592F">
        <w:rPr>
          <w:rFonts w:ascii="Verdana" w:hAnsi="Verdana" w:cs="Arial"/>
          <w:sz w:val="22"/>
          <w:szCs w:val="22"/>
        </w:rPr>
        <w:t xml:space="preserve">Con relación a las empresas clasificadas dentro del sector servicios, </w:t>
      </w:r>
      <w:r w:rsidR="007A0AE0" w:rsidRPr="00BE592F">
        <w:rPr>
          <w:rFonts w:ascii="Verdana" w:hAnsi="Verdana" w:cs="Arial"/>
          <w:sz w:val="22"/>
          <w:szCs w:val="22"/>
        </w:rPr>
        <w:t>el análisis arrojó como resultados que el 3</w:t>
      </w:r>
      <w:r w:rsidR="00BE592F" w:rsidRPr="00BE592F">
        <w:rPr>
          <w:rFonts w:ascii="Verdana" w:hAnsi="Verdana" w:cs="Arial"/>
          <w:sz w:val="22"/>
          <w:szCs w:val="22"/>
        </w:rPr>
        <w:t>1</w:t>
      </w:r>
      <w:r w:rsidR="007A0AE0" w:rsidRPr="00BE592F">
        <w:rPr>
          <w:rFonts w:ascii="Verdana" w:hAnsi="Verdana" w:cs="Arial"/>
          <w:sz w:val="22"/>
          <w:szCs w:val="22"/>
        </w:rPr>
        <w:t xml:space="preserve">% de las empresas de la muestra analizada son microempresas, el </w:t>
      </w:r>
      <w:r w:rsidR="00BE592F" w:rsidRPr="00BE592F">
        <w:rPr>
          <w:rFonts w:ascii="Verdana" w:hAnsi="Verdana" w:cs="Arial"/>
          <w:sz w:val="22"/>
          <w:szCs w:val="22"/>
        </w:rPr>
        <w:t>29</w:t>
      </w:r>
      <w:r w:rsidR="007A0AE0" w:rsidRPr="00BE592F">
        <w:rPr>
          <w:rFonts w:ascii="Verdana" w:hAnsi="Verdana" w:cs="Arial"/>
          <w:sz w:val="22"/>
          <w:szCs w:val="22"/>
        </w:rPr>
        <w:t>% pequeñas empresas, el 2</w:t>
      </w:r>
      <w:r w:rsidR="00BE592F" w:rsidRPr="00BE592F">
        <w:rPr>
          <w:rFonts w:ascii="Verdana" w:hAnsi="Verdana" w:cs="Arial"/>
          <w:sz w:val="22"/>
          <w:szCs w:val="22"/>
        </w:rPr>
        <w:t>2</w:t>
      </w:r>
      <w:r w:rsidR="007A0AE0" w:rsidRPr="00BE592F">
        <w:rPr>
          <w:rFonts w:ascii="Verdana" w:hAnsi="Verdana" w:cs="Arial"/>
          <w:sz w:val="22"/>
          <w:szCs w:val="22"/>
        </w:rPr>
        <w:t>% medianas y el 1</w:t>
      </w:r>
      <w:r w:rsidR="00BE592F" w:rsidRPr="00BE592F">
        <w:rPr>
          <w:rFonts w:ascii="Verdana" w:hAnsi="Verdana" w:cs="Arial"/>
          <w:sz w:val="22"/>
          <w:szCs w:val="22"/>
        </w:rPr>
        <w:t>8</w:t>
      </w:r>
      <w:r w:rsidR="007A0AE0" w:rsidRPr="00BE592F">
        <w:rPr>
          <w:rFonts w:ascii="Verdana" w:hAnsi="Verdana" w:cs="Arial"/>
          <w:sz w:val="22"/>
          <w:szCs w:val="22"/>
        </w:rPr>
        <w:t xml:space="preserve">% se categorizan como gran empresa. </w:t>
      </w:r>
    </w:p>
    <w:p w14:paraId="150FFC49" w14:textId="2B54F001" w:rsidR="007A0AE0" w:rsidRPr="00EE2244" w:rsidRDefault="007A0AE0" w:rsidP="00EE2244">
      <w:pPr>
        <w:jc w:val="center"/>
        <w:rPr>
          <w:rFonts w:ascii="Verdana" w:eastAsia="Calibri" w:hAnsi="Verdana"/>
          <w:b/>
          <w:bCs/>
          <w:sz w:val="22"/>
          <w:szCs w:val="22"/>
          <w:lang w:val="es-ES" w:eastAsia="en-US"/>
        </w:rPr>
      </w:pPr>
    </w:p>
    <w:p w14:paraId="40894708" w14:textId="2E36AE94" w:rsidR="00BE592F" w:rsidRPr="00EE2244" w:rsidRDefault="00EE2244" w:rsidP="00EE2244">
      <w:pPr>
        <w:pStyle w:val="Descripcin"/>
        <w:jc w:val="center"/>
        <w:rPr>
          <w:rFonts w:ascii="Verdana" w:hAnsi="Verdana"/>
          <w:sz w:val="22"/>
          <w:szCs w:val="22"/>
        </w:rPr>
      </w:pPr>
      <w:bookmarkStart w:id="426" w:name="_Toc231368803"/>
      <w:r w:rsidRPr="00EE2244">
        <w:rPr>
          <w:rFonts w:ascii="Verdana" w:hAnsi="Verdana"/>
          <w:sz w:val="22"/>
          <w:szCs w:val="22"/>
        </w:rPr>
        <w:t xml:space="preserve">Gráfica </w:t>
      </w:r>
      <w:r w:rsidRPr="00EE2244">
        <w:rPr>
          <w:rFonts w:ascii="Verdana" w:hAnsi="Verdana"/>
          <w:sz w:val="22"/>
          <w:szCs w:val="22"/>
        </w:rPr>
        <w:fldChar w:fldCharType="begin"/>
      </w:r>
      <w:r w:rsidRPr="00EE2244">
        <w:rPr>
          <w:rFonts w:ascii="Verdana" w:hAnsi="Verdana"/>
          <w:sz w:val="22"/>
          <w:szCs w:val="22"/>
        </w:rPr>
        <w:instrText xml:space="preserve"> SEQ Gráfica \* ARABIC </w:instrText>
      </w:r>
      <w:r w:rsidRPr="00EE2244">
        <w:rPr>
          <w:rFonts w:ascii="Verdana" w:hAnsi="Verdana"/>
          <w:sz w:val="22"/>
          <w:szCs w:val="22"/>
        </w:rPr>
        <w:fldChar w:fldCharType="separate"/>
      </w:r>
      <w:r w:rsidR="00973CF5">
        <w:rPr>
          <w:rFonts w:ascii="Verdana" w:hAnsi="Verdana"/>
          <w:noProof/>
          <w:sz w:val="22"/>
          <w:szCs w:val="22"/>
        </w:rPr>
        <w:t>28</w:t>
      </w:r>
      <w:r w:rsidRPr="00EE2244">
        <w:rPr>
          <w:rFonts w:ascii="Verdana" w:hAnsi="Verdana"/>
          <w:sz w:val="22"/>
          <w:szCs w:val="22"/>
        </w:rPr>
        <w:fldChar w:fldCharType="end"/>
      </w:r>
      <w:r w:rsidRPr="00EE2244">
        <w:rPr>
          <w:rFonts w:ascii="Verdana" w:hAnsi="Verdana"/>
          <w:sz w:val="22"/>
          <w:szCs w:val="22"/>
        </w:rPr>
        <w:t>. Tamaño empresarial - Sector Servicios</w:t>
      </w:r>
      <w:bookmarkEnd w:id="426"/>
    </w:p>
    <w:p w14:paraId="56892605" w14:textId="7007153F" w:rsidR="00BE592F" w:rsidRDefault="00303BAF" w:rsidP="00303BAF">
      <w:pPr>
        <w:autoSpaceDE w:val="0"/>
        <w:autoSpaceDN w:val="0"/>
        <w:jc w:val="center"/>
        <w:rPr>
          <w:rFonts w:ascii="Verdana" w:hAnsi="Verdana" w:cs="Arial"/>
          <w:b/>
          <w:bCs/>
          <w:sz w:val="22"/>
          <w:szCs w:val="22"/>
          <w:highlight w:val="yellow"/>
          <w:u w:val="single"/>
        </w:rPr>
      </w:pPr>
      <w:r>
        <w:rPr>
          <w:noProof/>
        </w:rPr>
        <w:drawing>
          <wp:inline distT="0" distB="0" distL="0" distR="0" wp14:anchorId="5AC6F4B7" wp14:editId="2C64F18A">
            <wp:extent cx="3416300" cy="2190307"/>
            <wp:effectExtent l="0" t="0" r="12700" b="635"/>
            <wp:docPr id="1480864167" name="Gráfico 1">
              <a:extLst xmlns:a="http://schemas.openxmlformats.org/drawingml/2006/main">
                <a:ext uri="{FF2B5EF4-FFF2-40B4-BE49-F238E27FC236}">
                  <a16:creationId xmlns:a16="http://schemas.microsoft.com/office/drawing/2014/main" id="{69050034-77BD-4A2B-920B-3E4008785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5552A53" w14:textId="77777777" w:rsidR="00303BAF" w:rsidRPr="00E33AF8" w:rsidRDefault="00303BAF" w:rsidP="00303BAF">
      <w:pPr>
        <w:jc w:val="center"/>
        <w:rPr>
          <w:rFonts w:ascii="Verdana" w:hAnsi="Verdana" w:cs="Arial"/>
          <w:sz w:val="22"/>
          <w:szCs w:val="22"/>
        </w:rPr>
      </w:pPr>
      <w:r w:rsidRPr="00E33AF8">
        <w:rPr>
          <w:rFonts w:ascii="Verdana" w:hAnsi="Verdana" w:cs="Arial"/>
          <w:b/>
          <w:bCs/>
          <w:sz w:val="22"/>
          <w:szCs w:val="22"/>
        </w:rPr>
        <w:t>Fuente:</w:t>
      </w:r>
      <w:r w:rsidRPr="00E33AF8">
        <w:rPr>
          <w:rFonts w:ascii="Verdana" w:hAnsi="Verdana" w:cs="Arial"/>
          <w:sz w:val="22"/>
          <w:szCs w:val="22"/>
        </w:rPr>
        <w:t xml:space="preserve"> Elaboración propia</w:t>
      </w:r>
    </w:p>
    <w:p w14:paraId="1EA6284B" w14:textId="76CFBE3D" w:rsidR="00F93F0C" w:rsidRDefault="00F93F0C" w:rsidP="007A0AE0">
      <w:pPr>
        <w:autoSpaceDE w:val="0"/>
        <w:autoSpaceDN w:val="0"/>
        <w:jc w:val="both"/>
        <w:rPr>
          <w:rFonts w:ascii="Verdana" w:hAnsi="Verdana" w:cs="Arial"/>
          <w:b/>
          <w:bCs/>
          <w:sz w:val="22"/>
          <w:szCs w:val="22"/>
          <w:highlight w:val="yellow"/>
          <w:u w:val="single"/>
        </w:rPr>
      </w:pPr>
      <w:r>
        <w:rPr>
          <w:rFonts w:ascii="Verdana" w:hAnsi="Verdana" w:cs="Arial"/>
          <w:sz w:val="22"/>
          <w:szCs w:val="22"/>
        </w:rPr>
        <w:lastRenderedPageBreak/>
        <w:t xml:space="preserve">Respecto </w:t>
      </w:r>
      <w:r w:rsidRPr="00BE592F">
        <w:rPr>
          <w:rFonts w:ascii="Verdana" w:hAnsi="Verdana" w:cs="Arial"/>
          <w:sz w:val="22"/>
          <w:szCs w:val="22"/>
        </w:rPr>
        <w:t xml:space="preserve">a las </w:t>
      </w:r>
      <w:r>
        <w:rPr>
          <w:rFonts w:ascii="Verdana" w:hAnsi="Verdana" w:cs="Arial"/>
          <w:sz w:val="22"/>
          <w:szCs w:val="22"/>
        </w:rPr>
        <w:t xml:space="preserve">4 </w:t>
      </w:r>
      <w:r w:rsidRPr="00BE592F">
        <w:rPr>
          <w:rFonts w:ascii="Verdana" w:hAnsi="Verdana" w:cs="Arial"/>
          <w:sz w:val="22"/>
          <w:szCs w:val="22"/>
        </w:rPr>
        <w:t xml:space="preserve">empresas clasificadas dentro del sector </w:t>
      </w:r>
      <w:r>
        <w:rPr>
          <w:rFonts w:ascii="Verdana" w:hAnsi="Verdana" w:cs="Arial"/>
          <w:sz w:val="22"/>
          <w:szCs w:val="22"/>
        </w:rPr>
        <w:t>manufacturero (1) y comercio (3)</w:t>
      </w:r>
      <w:r w:rsidRPr="00BE592F">
        <w:rPr>
          <w:rFonts w:ascii="Verdana" w:hAnsi="Verdana" w:cs="Arial"/>
          <w:sz w:val="22"/>
          <w:szCs w:val="22"/>
        </w:rPr>
        <w:t xml:space="preserve">, el análisis arrojó </w:t>
      </w:r>
      <w:r w:rsidR="00D627AD">
        <w:rPr>
          <w:rFonts w:ascii="Verdana" w:hAnsi="Verdana" w:cs="Arial"/>
          <w:sz w:val="22"/>
          <w:szCs w:val="22"/>
        </w:rPr>
        <w:t xml:space="preserve">que las empresas corresponden a </w:t>
      </w:r>
      <w:r w:rsidR="00B87BE9">
        <w:rPr>
          <w:rFonts w:ascii="Verdana" w:hAnsi="Verdana" w:cs="Arial"/>
          <w:sz w:val="22"/>
          <w:szCs w:val="22"/>
        </w:rPr>
        <w:t xml:space="preserve">una </w:t>
      </w:r>
      <w:r w:rsidR="00C355D7">
        <w:rPr>
          <w:rFonts w:ascii="Verdana" w:hAnsi="Verdana" w:cs="Arial"/>
          <w:sz w:val="22"/>
          <w:szCs w:val="22"/>
        </w:rPr>
        <w:t>pequeña empresa (del sector manufacturero)</w:t>
      </w:r>
      <w:r w:rsidR="00B87BE9">
        <w:rPr>
          <w:rFonts w:ascii="Verdana" w:hAnsi="Verdana" w:cs="Arial"/>
          <w:sz w:val="22"/>
          <w:szCs w:val="22"/>
        </w:rPr>
        <w:t>,</w:t>
      </w:r>
      <w:r w:rsidR="00C355D7">
        <w:rPr>
          <w:rFonts w:ascii="Verdana" w:hAnsi="Verdana" w:cs="Arial"/>
          <w:sz w:val="22"/>
          <w:szCs w:val="22"/>
        </w:rPr>
        <w:t xml:space="preserve"> </w:t>
      </w:r>
      <w:r w:rsidR="00B87BE9">
        <w:rPr>
          <w:rFonts w:ascii="Verdana" w:hAnsi="Verdana" w:cs="Arial"/>
          <w:sz w:val="22"/>
          <w:szCs w:val="22"/>
        </w:rPr>
        <w:t xml:space="preserve">una </w:t>
      </w:r>
      <w:r w:rsidR="00C355D7">
        <w:rPr>
          <w:rFonts w:ascii="Verdana" w:hAnsi="Verdana" w:cs="Arial"/>
          <w:sz w:val="22"/>
          <w:szCs w:val="22"/>
        </w:rPr>
        <w:t>microempresa</w:t>
      </w:r>
      <w:r w:rsidR="00B87BE9">
        <w:rPr>
          <w:rFonts w:ascii="Verdana" w:hAnsi="Verdana" w:cs="Arial"/>
          <w:sz w:val="22"/>
          <w:szCs w:val="22"/>
        </w:rPr>
        <w:t xml:space="preserve"> (del sector comercio) y dos </w:t>
      </w:r>
      <w:r w:rsidR="00E924FB">
        <w:rPr>
          <w:rFonts w:ascii="Verdana" w:hAnsi="Verdana" w:cs="Arial"/>
          <w:sz w:val="22"/>
          <w:szCs w:val="22"/>
        </w:rPr>
        <w:t>medianas empresas (del sector comercio).</w:t>
      </w:r>
    </w:p>
    <w:p w14:paraId="31BF882D" w14:textId="77777777" w:rsidR="00EE2244" w:rsidRDefault="00EE2244" w:rsidP="007A0AE0">
      <w:pPr>
        <w:autoSpaceDE w:val="0"/>
        <w:autoSpaceDN w:val="0"/>
        <w:jc w:val="both"/>
        <w:rPr>
          <w:rFonts w:ascii="Verdana" w:hAnsi="Verdana" w:cs="Arial"/>
          <w:b/>
          <w:bCs/>
          <w:sz w:val="22"/>
          <w:szCs w:val="22"/>
          <w:highlight w:val="yellow"/>
          <w:u w:val="single"/>
        </w:rPr>
      </w:pPr>
    </w:p>
    <w:p w14:paraId="453C0943" w14:textId="77777777" w:rsidR="00EE2244" w:rsidRPr="00611315" w:rsidRDefault="00EE2244" w:rsidP="007A0AE0">
      <w:pPr>
        <w:autoSpaceDE w:val="0"/>
        <w:autoSpaceDN w:val="0"/>
        <w:jc w:val="both"/>
        <w:rPr>
          <w:rFonts w:ascii="Verdana" w:hAnsi="Verdana" w:cs="Arial"/>
          <w:b/>
          <w:bCs/>
          <w:sz w:val="22"/>
          <w:szCs w:val="22"/>
          <w:highlight w:val="yellow"/>
          <w:u w:val="single"/>
        </w:rPr>
      </w:pPr>
    </w:p>
    <w:p w14:paraId="2F22AD4C" w14:textId="77777777" w:rsidR="007A0AE0" w:rsidRPr="000E406D" w:rsidRDefault="007A0AE0" w:rsidP="007A0AE0">
      <w:pPr>
        <w:spacing w:after="200" w:line="276" w:lineRule="auto"/>
        <w:rPr>
          <w:rFonts w:ascii="Verdana" w:hAnsi="Verdana" w:cs="Arial"/>
          <w:b/>
          <w:sz w:val="22"/>
          <w:szCs w:val="22"/>
        </w:rPr>
      </w:pPr>
      <w:r w:rsidRPr="000E406D">
        <w:rPr>
          <w:rFonts w:ascii="Verdana" w:hAnsi="Verdana" w:cs="Arial"/>
          <w:b/>
          <w:sz w:val="22"/>
          <w:szCs w:val="22"/>
        </w:rPr>
        <w:t>Tipo de proveedor que contrata con entidades públicas</w:t>
      </w:r>
    </w:p>
    <w:p w14:paraId="605F0271" w14:textId="20F293B3" w:rsidR="007A0AE0" w:rsidRPr="00611315" w:rsidRDefault="007A0AE0" w:rsidP="007A0AE0">
      <w:pPr>
        <w:jc w:val="both"/>
        <w:rPr>
          <w:rFonts w:ascii="Verdana" w:hAnsi="Verdana" w:cs="Arial"/>
          <w:sz w:val="22"/>
          <w:szCs w:val="22"/>
          <w:highlight w:val="yellow"/>
          <w:lang w:val="es-MX"/>
        </w:rPr>
      </w:pPr>
      <w:r w:rsidRPr="000E406D">
        <w:rPr>
          <w:rFonts w:ascii="Verdana" w:hAnsi="Verdana" w:cs="Arial"/>
          <w:sz w:val="22"/>
          <w:szCs w:val="22"/>
          <w:lang w:val="es-MX"/>
        </w:rPr>
        <w:t xml:space="preserve">De forma complementaria </w:t>
      </w:r>
      <w:r w:rsidR="00D63331">
        <w:rPr>
          <w:rFonts w:ascii="Verdana" w:hAnsi="Verdana" w:cs="Arial"/>
          <w:sz w:val="22"/>
          <w:szCs w:val="22"/>
          <w:lang w:val="es-MX"/>
        </w:rPr>
        <w:t xml:space="preserve">al </w:t>
      </w:r>
      <w:r w:rsidR="000E406D" w:rsidRPr="000E406D">
        <w:rPr>
          <w:rFonts w:ascii="Verdana" w:hAnsi="Verdana" w:cs="Arial"/>
          <w:sz w:val="22"/>
          <w:szCs w:val="22"/>
          <w:lang w:val="es-MX"/>
        </w:rPr>
        <w:t xml:space="preserve">Informe de Aplicación de los documentos tipo en la contratación estatal </w:t>
      </w:r>
      <w:r w:rsidRPr="00831E5F">
        <w:rPr>
          <w:rFonts w:ascii="Verdana" w:hAnsi="Verdana" w:cs="Arial"/>
          <w:sz w:val="22"/>
          <w:szCs w:val="22"/>
          <w:lang w:val="es-MX"/>
        </w:rPr>
        <w:t>elaborados por la Subdirección de Estudios de Mercado y Abastecimiento Estratégico (EMAE), como un insumo adicional para identificar el tipo de proveedor que participa en procesos de selección para la adquisición de servicios de</w:t>
      </w:r>
      <w:r w:rsidR="0042409F">
        <w:rPr>
          <w:rFonts w:ascii="Verdana" w:hAnsi="Verdana" w:cs="Arial"/>
          <w:sz w:val="22"/>
          <w:szCs w:val="22"/>
          <w:lang w:val="es-MX"/>
        </w:rPr>
        <w:t xml:space="preserve"> </w:t>
      </w:r>
      <w:r w:rsidRPr="00831E5F">
        <w:rPr>
          <w:rFonts w:ascii="Verdana" w:hAnsi="Verdana" w:cs="Arial"/>
          <w:sz w:val="22"/>
          <w:szCs w:val="22"/>
          <w:lang w:val="es-MX"/>
        </w:rPr>
        <w:t>obra de infraestructura</w:t>
      </w:r>
      <w:r w:rsidR="000E406D" w:rsidRPr="00831E5F">
        <w:rPr>
          <w:rFonts w:ascii="Verdana" w:hAnsi="Verdana" w:cs="Arial"/>
          <w:sz w:val="22"/>
          <w:szCs w:val="22"/>
          <w:lang w:val="es-MX"/>
        </w:rPr>
        <w:t xml:space="preserve"> de agua potable y saneamiento básico</w:t>
      </w:r>
      <w:r w:rsidRPr="00831E5F">
        <w:rPr>
          <w:rFonts w:ascii="Verdana" w:hAnsi="Verdana" w:cs="Arial"/>
          <w:sz w:val="22"/>
          <w:szCs w:val="22"/>
          <w:lang w:val="es-MX"/>
        </w:rPr>
        <w:t>, se an</w:t>
      </w:r>
      <w:r w:rsidR="001213ED">
        <w:rPr>
          <w:rFonts w:ascii="Verdana" w:hAnsi="Verdana" w:cs="Arial"/>
          <w:sz w:val="22"/>
          <w:szCs w:val="22"/>
          <w:lang w:val="es-MX"/>
        </w:rPr>
        <w:t>a</w:t>
      </w:r>
      <w:r w:rsidRPr="00831E5F">
        <w:rPr>
          <w:rFonts w:ascii="Verdana" w:hAnsi="Verdana" w:cs="Arial"/>
          <w:sz w:val="22"/>
          <w:szCs w:val="22"/>
          <w:lang w:val="es-MX"/>
        </w:rPr>
        <w:t>li</w:t>
      </w:r>
      <w:r w:rsidR="00954F65">
        <w:rPr>
          <w:rFonts w:ascii="Verdana" w:hAnsi="Verdana" w:cs="Arial"/>
          <w:sz w:val="22"/>
          <w:szCs w:val="22"/>
          <w:lang w:val="es-MX"/>
        </w:rPr>
        <w:t>zó una base</w:t>
      </w:r>
      <w:r w:rsidRPr="00831E5F">
        <w:rPr>
          <w:rFonts w:ascii="Verdana" w:hAnsi="Verdana" w:cs="Arial"/>
          <w:sz w:val="22"/>
          <w:szCs w:val="22"/>
          <w:lang w:val="es-MX"/>
        </w:rPr>
        <w:t xml:space="preserve"> de </w:t>
      </w:r>
      <w:r w:rsidR="008F3126">
        <w:rPr>
          <w:rFonts w:ascii="Verdana" w:hAnsi="Verdana" w:cs="Arial"/>
          <w:sz w:val="22"/>
          <w:szCs w:val="22"/>
          <w:lang w:val="es-MX"/>
        </w:rPr>
        <w:t>326</w:t>
      </w:r>
      <w:r w:rsidRPr="00831E5F">
        <w:rPr>
          <w:rFonts w:ascii="Verdana" w:hAnsi="Verdana" w:cs="Arial"/>
          <w:sz w:val="22"/>
          <w:szCs w:val="22"/>
          <w:lang w:val="es-MX"/>
        </w:rPr>
        <w:t xml:space="preserve"> contratos</w:t>
      </w:r>
      <w:r w:rsidR="000F7B0B">
        <w:rPr>
          <w:rFonts w:ascii="Verdana" w:hAnsi="Verdana" w:cs="Arial"/>
          <w:sz w:val="22"/>
          <w:szCs w:val="22"/>
          <w:lang w:val="es-MX"/>
        </w:rPr>
        <w:t xml:space="preserve"> s</w:t>
      </w:r>
      <w:r w:rsidRPr="00831E5F">
        <w:rPr>
          <w:rFonts w:ascii="Verdana" w:hAnsi="Verdana" w:cs="Arial"/>
          <w:sz w:val="22"/>
          <w:szCs w:val="22"/>
          <w:lang w:val="es-MX"/>
        </w:rPr>
        <w:t>uscritos por Entidades públicas, del cual se pudo identificar las siguientes conclusiones:</w:t>
      </w:r>
    </w:p>
    <w:p w14:paraId="37ED8DFB" w14:textId="77777777" w:rsidR="007A0AE0" w:rsidRPr="001922CF" w:rsidRDefault="007A0AE0" w:rsidP="007A0AE0">
      <w:pPr>
        <w:jc w:val="both"/>
        <w:rPr>
          <w:rFonts w:ascii="Verdana" w:hAnsi="Verdana" w:cs="Arial"/>
          <w:sz w:val="22"/>
          <w:szCs w:val="22"/>
          <w:lang w:val="es-MX"/>
        </w:rPr>
      </w:pPr>
    </w:p>
    <w:p w14:paraId="2D8B844F" w14:textId="77777777" w:rsidR="007A0AE0" w:rsidRPr="001922CF" w:rsidRDefault="007A0AE0" w:rsidP="007A0AE0">
      <w:pPr>
        <w:ind w:left="708"/>
        <w:jc w:val="center"/>
        <w:rPr>
          <w:rFonts w:ascii="Verdana" w:hAnsi="Verdana" w:cs="Arial"/>
          <w:sz w:val="16"/>
          <w:szCs w:val="16"/>
          <w:lang w:val="es-MX"/>
        </w:rPr>
      </w:pPr>
    </w:p>
    <w:p w14:paraId="5C5FA489" w14:textId="5406963C" w:rsidR="007A0AE0" w:rsidRPr="001922CF" w:rsidRDefault="007A0AE0" w:rsidP="007A0AE0">
      <w:pPr>
        <w:pStyle w:val="Prrafodelista"/>
        <w:numPr>
          <w:ilvl w:val="0"/>
          <w:numId w:val="56"/>
        </w:numPr>
        <w:rPr>
          <w:rFonts w:ascii="Verdana" w:hAnsi="Verdana" w:cs="Arial"/>
          <w:lang w:val="es-MX"/>
        </w:rPr>
      </w:pPr>
      <w:r w:rsidRPr="001922CF">
        <w:rPr>
          <w:rFonts w:ascii="Verdana" w:hAnsi="Verdana" w:cs="Arial"/>
          <w:lang w:val="es-MX"/>
        </w:rPr>
        <w:t>Analizando la muestra conforme con los rangos de presupuesto en SMMLV conforme con las matrices de experiencia, se puede evidenciar que la mayoría de los contratos de la muestra, se encuentran por debajo de los &lt;</w:t>
      </w:r>
      <w:r w:rsidR="004B557A" w:rsidRPr="001922CF">
        <w:rPr>
          <w:rFonts w:ascii="Verdana" w:hAnsi="Verdana" w:cs="Arial"/>
          <w:lang w:val="es-MX"/>
        </w:rPr>
        <w:t>13</w:t>
      </w:r>
      <w:r w:rsidRPr="001922CF">
        <w:rPr>
          <w:rFonts w:ascii="Verdana" w:hAnsi="Verdana" w:cs="Arial"/>
          <w:lang w:val="es-MX"/>
        </w:rPr>
        <w:t>.000 SMMLV tal y como se puede evidenciar en la siguiente gráfica:</w:t>
      </w:r>
    </w:p>
    <w:p w14:paraId="5C3813CE" w14:textId="5D42865E" w:rsidR="007A0AE0" w:rsidRPr="001922CF" w:rsidRDefault="00833AFE" w:rsidP="00833AFE">
      <w:pPr>
        <w:pStyle w:val="Descripcin"/>
        <w:jc w:val="center"/>
        <w:rPr>
          <w:rFonts w:ascii="Verdana" w:hAnsi="Verdana" w:cs="Arial"/>
          <w:b w:val="0"/>
          <w:bCs w:val="0"/>
          <w:sz w:val="22"/>
          <w:szCs w:val="22"/>
        </w:rPr>
      </w:pPr>
      <w:bookmarkStart w:id="427" w:name="_Toc231368675"/>
      <w:r w:rsidRPr="001922CF">
        <w:rPr>
          <w:rFonts w:ascii="Verdana" w:hAnsi="Verdana"/>
          <w:sz w:val="22"/>
          <w:szCs w:val="22"/>
        </w:rPr>
        <w:t xml:space="preserve">Tabla </w:t>
      </w:r>
      <w:r w:rsidRPr="001922CF">
        <w:rPr>
          <w:rFonts w:ascii="Verdana" w:hAnsi="Verdana"/>
          <w:sz w:val="22"/>
          <w:szCs w:val="22"/>
        </w:rPr>
        <w:fldChar w:fldCharType="begin"/>
      </w:r>
      <w:r w:rsidRPr="001922CF">
        <w:rPr>
          <w:rFonts w:ascii="Verdana" w:hAnsi="Verdana"/>
          <w:sz w:val="22"/>
          <w:szCs w:val="22"/>
        </w:rPr>
        <w:instrText xml:space="preserve"> SEQ Tabla \* ARABIC </w:instrText>
      </w:r>
      <w:r w:rsidRPr="001922CF">
        <w:rPr>
          <w:rFonts w:ascii="Verdana" w:hAnsi="Verdana"/>
          <w:sz w:val="22"/>
          <w:szCs w:val="22"/>
        </w:rPr>
        <w:fldChar w:fldCharType="separate"/>
      </w:r>
      <w:r w:rsidR="00E33AF8">
        <w:rPr>
          <w:rFonts w:ascii="Verdana" w:hAnsi="Verdana"/>
          <w:noProof/>
          <w:sz w:val="22"/>
          <w:szCs w:val="22"/>
        </w:rPr>
        <w:t>8</w:t>
      </w:r>
      <w:r w:rsidRPr="001922CF">
        <w:rPr>
          <w:rFonts w:ascii="Verdana" w:hAnsi="Verdana"/>
          <w:sz w:val="22"/>
          <w:szCs w:val="22"/>
        </w:rPr>
        <w:fldChar w:fldCharType="end"/>
      </w:r>
      <w:r w:rsidRPr="001922CF">
        <w:rPr>
          <w:rFonts w:ascii="Verdana" w:hAnsi="Verdana"/>
          <w:sz w:val="22"/>
          <w:szCs w:val="22"/>
        </w:rPr>
        <w:t>. Presupuesto en SMMLV</w:t>
      </w:r>
      <w:bookmarkEnd w:id="427"/>
    </w:p>
    <w:tbl>
      <w:tblPr>
        <w:tblW w:w="4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1885"/>
      </w:tblGrid>
      <w:tr w:rsidR="007A0AE0" w:rsidRPr="001922CF" w14:paraId="4BDD295D" w14:textId="77777777" w:rsidTr="00FE5163">
        <w:trPr>
          <w:trHeight w:val="20"/>
          <w:tblHeader/>
          <w:jc w:val="center"/>
        </w:trPr>
        <w:tc>
          <w:tcPr>
            <w:tcW w:w="2547" w:type="dxa"/>
            <w:tcBorders>
              <w:bottom w:val="single" w:sz="4" w:space="0" w:color="auto"/>
            </w:tcBorders>
            <w:shd w:val="clear" w:color="auto" w:fill="F2F2F2" w:themeFill="background1" w:themeFillShade="F2"/>
            <w:noWrap/>
            <w:vAlign w:val="center"/>
            <w:hideMark/>
          </w:tcPr>
          <w:p w14:paraId="6E5C9F39" w14:textId="77777777" w:rsidR="007A0AE0" w:rsidRPr="001922CF" w:rsidRDefault="007A0AE0" w:rsidP="00007C4E">
            <w:pPr>
              <w:jc w:val="center"/>
              <w:rPr>
                <w:rFonts w:ascii="Verdana" w:hAnsi="Verdana" w:cs="Arial"/>
                <w:b/>
                <w:bCs/>
                <w:color w:val="000000"/>
                <w:sz w:val="20"/>
                <w:szCs w:val="20"/>
                <w:lang w:eastAsia="es-CO"/>
              </w:rPr>
            </w:pPr>
            <w:r w:rsidRPr="001922CF">
              <w:rPr>
                <w:rFonts w:ascii="Verdana" w:hAnsi="Verdana" w:cs="Arial"/>
                <w:b/>
                <w:bCs/>
                <w:color w:val="000000"/>
                <w:sz w:val="20"/>
                <w:szCs w:val="20"/>
                <w:lang w:eastAsia="es-CO"/>
              </w:rPr>
              <w:t>Rango de SMMLV</w:t>
            </w:r>
          </w:p>
        </w:tc>
        <w:tc>
          <w:tcPr>
            <w:tcW w:w="1885" w:type="dxa"/>
            <w:tcBorders>
              <w:bottom w:val="single" w:sz="4" w:space="0" w:color="auto"/>
            </w:tcBorders>
            <w:shd w:val="clear" w:color="auto" w:fill="F2F2F2" w:themeFill="background1" w:themeFillShade="F2"/>
            <w:noWrap/>
            <w:vAlign w:val="center"/>
            <w:hideMark/>
          </w:tcPr>
          <w:p w14:paraId="7255424B" w14:textId="77777777" w:rsidR="007A0AE0" w:rsidRPr="001922CF" w:rsidRDefault="007A0AE0" w:rsidP="00007C4E">
            <w:pPr>
              <w:jc w:val="center"/>
              <w:rPr>
                <w:rFonts w:ascii="Verdana" w:hAnsi="Verdana" w:cs="Arial"/>
                <w:b/>
                <w:bCs/>
                <w:color w:val="000000"/>
                <w:sz w:val="20"/>
                <w:szCs w:val="20"/>
                <w:lang w:eastAsia="es-CO"/>
              </w:rPr>
            </w:pPr>
            <w:r w:rsidRPr="001922CF">
              <w:rPr>
                <w:rFonts w:ascii="Verdana" w:hAnsi="Verdana" w:cs="Arial"/>
                <w:b/>
                <w:bCs/>
                <w:color w:val="000000"/>
                <w:sz w:val="20"/>
                <w:szCs w:val="20"/>
                <w:lang w:eastAsia="es-CO"/>
              </w:rPr>
              <w:t>Cantidad de Contrato</w:t>
            </w:r>
          </w:p>
        </w:tc>
      </w:tr>
      <w:tr w:rsidR="00FE5163" w:rsidRPr="001922CF" w14:paraId="3ED5ACC4" w14:textId="77777777" w:rsidTr="00FE5163">
        <w:trPr>
          <w:trHeight w:val="20"/>
          <w:jc w:val="center"/>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7E88A0D5" w14:textId="298E0435"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&lt;100 SMMLV</w:t>
            </w:r>
          </w:p>
        </w:tc>
        <w:tc>
          <w:tcPr>
            <w:tcW w:w="1885" w:type="dxa"/>
            <w:tcBorders>
              <w:top w:val="single" w:sz="4" w:space="0" w:color="auto"/>
              <w:left w:val="nil"/>
              <w:bottom w:val="single" w:sz="4" w:space="0" w:color="auto"/>
              <w:right w:val="single" w:sz="4" w:space="0" w:color="auto"/>
            </w:tcBorders>
            <w:noWrap/>
            <w:vAlign w:val="bottom"/>
            <w:hideMark/>
          </w:tcPr>
          <w:p w14:paraId="5A8F1997" w14:textId="4BEB573B"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379</w:t>
            </w:r>
          </w:p>
        </w:tc>
      </w:tr>
      <w:tr w:rsidR="00FE5163" w:rsidRPr="001922CF" w14:paraId="39DCC017" w14:textId="77777777" w:rsidTr="00FE5163">
        <w:trPr>
          <w:trHeight w:val="20"/>
          <w:jc w:val="center"/>
        </w:trPr>
        <w:tc>
          <w:tcPr>
            <w:tcW w:w="2547" w:type="dxa"/>
            <w:tcBorders>
              <w:top w:val="single" w:sz="4" w:space="0" w:color="auto"/>
              <w:left w:val="single" w:sz="4" w:space="0" w:color="auto"/>
              <w:bottom w:val="single" w:sz="4" w:space="0" w:color="auto"/>
              <w:right w:val="single" w:sz="4" w:space="0" w:color="auto"/>
            </w:tcBorders>
            <w:noWrap/>
            <w:vAlign w:val="bottom"/>
          </w:tcPr>
          <w:p w14:paraId="398232ED" w14:textId="1EFB6F6C" w:rsidR="00FE5163" w:rsidRPr="001922CF" w:rsidRDefault="00FE5163" w:rsidP="00FE5163">
            <w:pPr>
              <w:jc w:val="center"/>
              <w:rPr>
                <w:rFonts w:ascii="Aptos Narrow" w:hAnsi="Aptos Narrow"/>
                <w:color w:val="000000"/>
                <w:sz w:val="22"/>
                <w:szCs w:val="22"/>
              </w:rPr>
            </w:pPr>
            <w:r w:rsidRPr="001922CF">
              <w:rPr>
                <w:rFonts w:ascii="Aptos Narrow" w:hAnsi="Aptos Narrow"/>
                <w:color w:val="000000"/>
                <w:sz w:val="22"/>
                <w:szCs w:val="22"/>
              </w:rPr>
              <w:t>&gt;=100 &lt; 1.000</w:t>
            </w:r>
          </w:p>
        </w:tc>
        <w:tc>
          <w:tcPr>
            <w:tcW w:w="1885" w:type="dxa"/>
            <w:tcBorders>
              <w:top w:val="single" w:sz="4" w:space="0" w:color="auto"/>
              <w:left w:val="nil"/>
              <w:bottom w:val="single" w:sz="4" w:space="0" w:color="auto"/>
              <w:right w:val="single" w:sz="4" w:space="0" w:color="auto"/>
            </w:tcBorders>
            <w:noWrap/>
            <w:vAlign w:val="bottom"/>
          </w:tcPr>
          <w:p w14:paraId="52E86E4F" w14:textId="70D60D5B" w:rsidR="00FE5163" w:rsidRPr="001922CF" w:rsidRDefault="00FE5163" w:rsidP="00FE5163">
            <w:pPr>
              <w:jc w:val="center"/>
              <w:rPr>
                <w:rFonts w:ascii="Aptos Narrow" w:hAnsi="Aptos Narrow"/>
                <w:color w:val="000000"/>
                <w:sz w:val="22"/>
                <w:szCs w:val="22"/>
              </w:rPr>
            </w:pPr>
            <w:r w:rsidRPr="001922CF">
              <w:rPr>
                <w:rFonts w:ascii="Aptos Narrow" w:hAnsi="Aptos Narrow"/>
                <w:color w:val="000000"/>
                <w:sz w:val="22"/>
                <w:szCs w:val="22"/>
              </w:rPr>
              <w:t>308</w:t>
            </w:r>
          </w:p>
        </w:tc>
      </w:tr>
      <w:tr w:rsidR="00FE5163" w:rsidRPr="001922CF" w14:paraId="2FFBA8C0" w14:textId="77777777" w:rsidTr="00FE5163">
        <w:trPr>
          <w:trHeight w:val="20"/>
          <w:jc w:val="center"/>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2651BF29" w14:textId="0C63C65A"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&gt;=1.000 &lt; 13.000</w:t>
            </w:r>
          </w:p>
        </w:tc>
        <w:tc>
          <w:tcPr>
            <w:tcW w:w="1885" w:type="dxa"/>
            <w:tcBorders>
              <w:top w:val="single" w:sz="4" w:space="0" w:color="auto"/>
              <w:left w:val="nil"/>
              <w:bottom w:val="single" w:sz="4" w:space="0" w:color="auto"/>
              <w:right w:val="single" w:sz="4" w:space="0" w:color="auto"/>
            </w:tcBorders>
            <w:noWrap/>
            <w:vAlign w:val="bottom"/>
            <w:hideMark/>
          </w:tcPr>
          <w:p w14:paraId="291F4736" w14:textId="367D77AE"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90</w:t>
            </w:r>
          </w:p>
        </w:tc>
      </w:tr>
      <w:tr w:rsidR="00FE5163" w:rsidRPr="001922CF" w14:paraId="054580F2" w14:textId="77777777" w:rsidTr="00FE5163">
        <w:trPr>
          <w:trHeight w:val="20"/>
          <w:jc w:val="center"/>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078EFB40" w14:textId="23ED757C"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&gt;=13.000 &lt; 20.000</w:t>
            </w:r>
          </w:p>
        </w:tc>
        <w:tc>
          <w:tcPr>
            <w:tcW w:w="1885" w:type="dxa"/>
            <w:tcBorders>
              <w:top w:val="single" w:sz="4" w:space="0" w:color="auto"/>
              <w:left w:val="nil"/>
              <w:bottom w:val="single" w:sz="4" w:space="0" w:color="auto"/>
              <w:right w:val="single" w:sz="4" w:space="0" w:color="auto"/>
            </w:tcBorders>
            <w:noWrap/>
            <w:vAlign w:val="bottom"/>
            <w:hideMark/>
          </w:tcPr>
          <w:p w14:paraId="13497CCD" w14:textId="7006802E"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5</w:t>
            </w:r>
          </w:p>
        </w:tc>
      </w:tr>
      <w:tr w:rsidR="00FE5163" w:rsidRPr="001922CF" w14:paraId="034D03AF" w14:textId="77777777" w:rsidTr="00FE5163">
        <w:trPr>
          <w:trHeight w:val="20"/>
          <w:jc w:val="center"/>
        </w:trPr>
        <w:tc>
          <w:tcPr>
            <w:tcW w:w="2547" w:type="dxa"/>
            <w:tcBorders>
              <w:top w:val="single" w:sz="4" w:space="0" w:color="auto"/>
              <w:left w:val="single" w:sz="4" w:space="0" w:color="auto"/>
              <w:bottom w:val="single" w:sz="4" w:space="0" w:color="auto"/>
              <w:right w:val="single" w:sz="4" w:space="0" w:color="auto"/>
            </w:tcBorders>
            <w:noWrap/>
            <w:vAlign w:val="bottom"/>
            <w:hideMark/>
          </w:tcPr>
          <w:p w14:paraId="5670676E" w14:textId="24D7BEED"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&gt;=20.000</w:t>
            </w:r>
          </w:p>
        </w:tc>
        <w:tc>
          <w:tcPr>
            <w:tcW w:w="1885" w:type="dxa"/>
            <w:tcBorders>
              <w:top w:val="single" w:sz="4" w:space="0" w:color="auto"/>
              <w:left w:val="nil"/>
              <w:bottom w:val="single" w:sz="4" w:space="0" w:color="auto"/>
              <w:right w:val="single" w:sz="4" w:space="0" w:color="auto"/>
            </w:tcBorders>
            <w:noWrap/>
            <w:vAlign w:val="bottom"/>
            <w:hideMark/>
          </w:tcPr>
          <w:p w14:paraId="313CC48C" w14:textId="238C3CD5" w:rsidR="00FE5163" w:rsidRPr="001922CF" w:rsidRDefault="00FE5163" w:rsidP="00FE5163">
            <w:pPr>
              <w:jc w:val="center"/>
              <w:rPr>
                <w:rFonts w:ascii="Verdana" w:hAnsi="Verdana" w:cs="Arial"/>
                <w:color w:val="000000"/>
                <w:sz w:val="20"/>
                <w:szCs w:val="20"/>
                <w:lang w:eastAsia="es-CO"/>
              </w:rPr>
            </w:pPr>
            <w:r w:rsidRPr="001922CF">
              <w:rPr>
                <w:rFonts w:ascii="Aptos Narrow" w:hAnsi="Aptos Narrow"/>
                <w:color w:val="000000"/>
                <w:sz w:val="22"/>
                <w:szCs w:val="22"/>
              </w:rPr>
              <w:t>1</w:t>
            </w:r>
          </w:p>
        </w:tc>
      </w:tr>
      <w:tr w:rsidR="00DD7737" w:rsidRPr="001922CF" w14:paraId="480A5884" w14:textId="77777777" w:rsidTr="00FE5163">
        <w:trPr>
          <w:trHeight w:val="20"/>
          <w:jc w:val="center"/>
        </w:trPr>
        <w:tc>
          <w:tcPr>
            <w:tcW w:w="2547" w:type="dxa"/>
            <w:tcBorders>
              <w:top w:val="single" w:sz="4" w:space="0" w:color="auto"/>
            </w:tcBorders>
            <w:shd w:val="clear" w:color="auto" w:fill="F2F2F2" w:themeFill="background1" w:themeFillShade="F2"/>
            <w:noWrap/>
            <w:vAlign w:val="bottom"/>
            <w:hideMark/>
          </w:tcPr>
          <w:p w14:paraId="3C92F55D" w14:textId="77777777" w:rsidR="00DD7737" w:rsidRPr="001922CF" w:rsidRDefault="00DD7737" w:rsidP="00DD7737">
            <w:pPr>
              <w:jc w:val="center"/>
              <w:rPr>
                <w:rFonts w:ascii="Verdana" w:hAnsi="Verdana" w:cs="Arial"/>
                <w:b/>
                <w:bCs/>
                <w:color w:val="000000"/>
                <w:sz w:val="20"/>
                <w:szCs w:val="20"/>
                <w:lang w:eastAsia="es-CO"/>
              </w:rPr>
            </w:pPr>
            <w:proofErr w:type="gramStart"/>
            <w:r w:rsidRPr="001922CF">
              <w:rPr>
                <w:rFonts w:ascii="Verdana" w:hAnsi="Verdana" w:cs="Arial"/>
                <w:b/>
                <w:bCs/>
                <w:color w:val="000000"/>
                <w:sz w:val="20"/>
                <w:szCs w:val="20"/>
                <w:lang w:eastAsia="es-CO"/>
              </w:rPr>
              <w:t>Total</w:t>
            </w:r>
            <w:proofErr w:type="gramEnd"/>
            <w:r w:rsidRPr="001922CF">
              <w:rPr>
                <w:rFonts w:ascii="Verdana" w:hAnsi="Verdana" w:cs="Arial"/>
                <w:b/>
                <w:bCs/>
                <w:color w:val="000000"/>
                <w:sz w:val="20"/>
                <w:szCs w:val="20"/>
                <w:lang w:eastAsia="es-CO"/>
              </w:rPr>
              <w:t xml:space="preserve"> general</w:t>
            </w:r>
          </w:p>
        </w:tc>
        <w:tc>
          <w:tcPr>
            <w:tcW w:w="1885" w:type="dxa"/>
            <w:tcBorders>
              <w:top w:val="single" w:sz="4" w:space="0" w:color="auto"/>
            </w:tcBorders>
            <w:shd w:val="clear" w:color="auto" w:fill="F2F2F2" w:themeFill="background1" w:themeFillShade="F2"/>
            <w:noWrap/>
            <w:vAlign w:val="bottom"/>
            <w:hideMark/>
          </w:tcPr>
          <w:p w14:paraId="6CDBD1BE" w14:textId="0553501D" w:rsidR="00DD7737" w:rsidRPr="001922CF" w:rsidRDefault="00FE5163" w:rsidP="00DD7737">
            <w:pPr>
              <w:jc w:val="center"/>
              <w:rPr>
                <w:rFonts w:ascii="Verdana" w:hAnsi="Verdana" w:cs="Arial"/>
                <w:b/>
                <w:bCs/>
                <w:color w:val="000000"/>
                <w:sz w:val="20"/>
                <w:szCs w:val="20"/>
                <w:lang w:eastAsia="es-CO"/>
              </w:rPr>
            </w:pPr>
            <w:r w:rsidRPr="001922CF">
              <w:rPr>
                <w:rFonts w:ascii="Verdana" w:hAnsi="Verdana" w:cs="Arial"/>
                <w:b/>
                <w:bCs/>
                <w:color w:val="000000"/>
                <w:sz w:val="20"/>
                <w:szCs w:val="20"/>
                <w:lang w:eastAsia="es-CO"/>
              </w:rPr>
              <w:t>783</w:t>
            </w:r>
          </w:p>
        </w:tc>
      </w:tr>
    </w:tbl>
    <w:p w14:paraId="4FF28868" w14:textId="755079A0" w:rsidR="007A0AE0" w:rsidRPr="00E33AF8" w:rsidRDefault="00F16DCF" w:rsidP="00E33AF8">
      <w:pPr>
        <w:pStyle w:val="Prrafodelista"/>
        <w:spacing w:after="200" w:line="276" w:lineRule="auto"/>
        <w:ind w:left="0"/>
        <w:contextualSpacing w:val="0"/>
        <w:jc w:val="center"/>
        <w:rPr>
          <w:rFonts w:ascii="Verdana" w:hAnsi="Verdana" w:cs="Arial"/>
          <w:lang w:val="es-MX"/>
        </w:rPr>
      </w:pPr>
      <w:r w:rsidRPr="00E33AF8">
        <w:rPr>
          <w:rFonts w:ascii="Verdana" w:hAnsi="Verdana" w:cs="Arial"/>
          <w:b/>
          <w:bCs/>
          <w:lang w:val="es-MX"/>
        </w:rPr>
        <w:t>Fuente:</w:t>
      </w:r>
      <w:r w:rsidRPr="00E33AF8">
        <w:rPr>
          <w:rFonts w:ascii="Verdana" w:hAnsi="Verdana" w:cs="Arial"/>
          <w:lang w:val="es-MX"/>
        </w:rPr>
        <w:t xml:space="preserve"> </w:t>
      </w:r>
      <w:r w:rsidR="007A0AE0" w:rsidRPr="00E33AF8">
        <w:rPr>
          <w:rFonts w:ascii="Verdana" w:hAnsi="Verdana" w:cs="Arial"/>
          <w:lang w:val="es-MX"/>
        </w:rPr>
        <w:t>Elaboración propia</w:t>
      </w:r>
    </w:p>
    <w:p w14:paraId="2667F06C" w14:textId="2216A2EF" w:rsidR="007A0AE0" w:rsidRPr="006B20EA" w:rsidRDefault="007A0AE0" w:rsidP="007A0AE0">
      <w:pPr>
        <w:pStyle w:val="Descripcin"/>
        <w:numPr>
          <w:ilvl w:val="0"/>
          <w:numId w:val="56"/>
        </w:numPr>
        <w:jc w:val="both"/>
        <w:rPr>
          <w:rFonts w:ascii="Verdana" w:hAnsi="Verdana" w:cs="Arial"/>
          <w:b w:val="0"/>
          <w:bCs w:val="0"/>
          <w:sz w:val="22"/>
          <w:szCs w:val="22"/>
          <w:lang w:val="es-MX" w:eastAsia="es-CO"/>
        </w:rPr>
      </w:pPr>
      <w:r w:rsidRPr="006B20EA">
        <w:rPr>
          <w:rFonts w:ascii="Verdana" w:hAnsi="Verdana" w:cs="Arial"/>
          <w:b w:val="0"/>
          <w:bCs w:val="0"/>
          <w:sz w:val="22"/>
          <w:szCs w:val="22"/>
          <w:lang w:val="es-MX" w:eastAsia="es-CO"/>
        </w:rPr>
        <w:t xml:space="preserve">Del total de la muestra analizada, </w:t>
      </w:r>
      <w:r w:rsidR="00FE5163">
        <w:rPr>
          <w:rFonts w:ascii="Verdana" w:hAnsi="Verdana" w:cs="Arial"/>
          <w:b w:val="0"/>
          <w:bCs w:val="0"/>
          <w:sz w:val="22"/>
          <w:szCs w:val="22"/>
          <w:lang w:val="es-MX" w:eastAsia="es-CO"/>
        </w:rPr>
        <w:t>209</w:t>
      </w:r>
      <w:r w:rsidRPr="006B20EA">
        <w:rPr>
          <w:rFonts w:ascii="Verdana" w:hAnsi="Verdana" w:cs="Arial"/>
          <w:b w:val="0"/>
          <w:bCs w:val="0"/>
          <w:sz w:val="22"/>
          <w:szCs w:val="22"/>
          <w:lang w:val="es-MX" w:eastAsia="es-CO"/>
        </w:rPr>
        <w:t xml:space="preserve"> contratos fueron suscritos bajo una figura plural (Consorcios o Uniones temporales), tal y como se puede evidenciar a continuación:</w:t>
      </w:r>
    </w:p>
    <w:p w14:paraId="0E35FD8E" w14:textId="77777777" w:rsidR="00E33AF8" w:rsidRDefault="00E33AF8" w:rsidP="00833AFE">
      <w:pPr>
        <w:pStyle w:val="Descripcin"/>
        <w:jc w:val="center"/>
        <w:rPr>
          <w:rFonts w:ascii="Verdana" w:hAnsi="Verdana"/>
          <w:sz w:val="22"/>
          <w:szCs w:val="22"/>
        </w:rPr>
      </w:pPr>
    </w:p>
    <w:p w14:paraId="7C7F35A0" w14:textId="75908304" w:rsidR="007A0AE0" w:rsidRPr="00F16DCF" w:rsidRDefault="00833AFE" w:rsidP="00833AFE">
      <w:pPr>
        <w:pStyle w:val="Descripcin"/>
        <w:jc w:val="center"/>
        <w:rPr>
          <w:rFonts w:ascii="Verdana" w:hAnsi="Verdana" w:cs="Arial"/>
          <w:sz w:val="22"/>
          <w:szCs w:val="22"/>
        </w:rPr>
      </w:pPr>
      <w:bookmarkStart w:id="428" w:name="_Toc231368804"/>
      <w:r w:rsidRPr="00F16DCF">
        <w:rPr>
          <w:rFonts w:ascii="Verdana" w:hAnsi="Verdana"/>
          <w:sz w:val="22"/>
          <w:szCs w:val="22"/>
        </w:rPr>
        <w:lastRenderedPageBreak/>
        <w:t xml:space="preserve">Gráfica </w:t>
      </w:r>
      <w:r w:rsidRPr="00F16DCF">
        <w:rPr>
          <w:rFonts w:ascii="Verdana" w:hAnsi="Verdana"/>
          <w:sz w:val="22"/>
          <w:szCs w:val="22"/>
        </w:rPr>
        <w:fldChar w:fldCharType="begin"/>
      </w:r>
      <w:r w:rsidRPr="00F16DCF">
        <w:rPr>
          <w:rFonts w:ascii="Verdana" w:hAnsi="Verdana"/>
          <w:sz w:val="22"/>
          <w:szCs w:val="22"/>
        </w:rPr>
        <w:instrText xml:space="preserve"> SEQ Gráfica \* ARABIC </w:instrText>
      </w:r>
      <w:r w:rsidRPr="00F16DCF">
        <w:rPr>
          <w:rFonts w:ascii="Verdana" w:hAnsi="Verdana"/>
          <w:sz w:val="22"/>
          <w:szCs w:val="22"/>
        </w:rPr>
        <w:fldChar w:fldCharType="separate"/>
      </w:r>
      <w:r w:rsidR="00973CF5">
        <w:rPr>
          <w:rFonts w:ascii="Verdana" w:hAnsi="Verdana"/>
          <w:noProof/>
          <w:sz w:val="22"/>
          <w:szCs w:val="22"/>
        </w:rPr>
        <w:t>29</w:t>
      </w:r>
      <w:r w:rsidRPr="00F16DCF">
        <w:rPr>
          <w:rFonts w:ascii="Verdana" w:hAnsi="Verdana"/>
          <w:sz w:val="22"/>
          <w:szCs w:val="22"/>
        </w:rPr>
        <w:fldChar w:fldCharType="end"/>
      </w:r>
      <w:r w:rsidRPr="00F16DCF">
        <w:rPr>
          <w:rFonts w:ascii="Verdana" w:hAnsi="Verdana"/>
          <w:sz w:val="22"/>
          <w:szCs w:val="22"/>
        </w:rPr>
        <w:t>. Tipología de Contratista</w:t>
      </w:r>
      <w:bookmarkEnd w:id="428"/>
    </w:p>
    <w:p w14:paraId="37392586" w14:textId="2E222360" w:rsidR="007A0AE0" w:rsidRPr="00F16DCF" w:rsidRDefault="004D04E0" w:rsidP="007A0AE0">
      <w:pPr>
        <w:pStyle w:val="Prrafodelista"/>
        <w:ind w:left="567"/>
        <w:jc w:val="center"/>
        <w:rPr>
          <w:rFonts w:ascii="Verdana" w:hAnsi="Verdana" w:cs="Arial"/>
          <w:b/>
          <w:bCs/>
          <w:lang w:val="es-MX"/>
        </w:rPr>
      </w:pPr>
      <w:r>
        <w:rPr>
          <w:noProof/>
        </w:rPr>
        <w:drawing>
          <wp:inline distT="0" distB="0" distL="0" distR="0" wp14:anchorId="6EB3DB5C" wp14:editId="74870580">
            <wp:extent cx="5355590" cy="1793174"/>
            <wp:effectExtent l="0" t="0" r="16510" b="17145"/>
            <wp:docPr id="1438319576" name="Gráfico 1">
              <a:extLst xmlns:a="http://schemas.openxmlformats.org/drawingml/2006/main">
                <a:ext uri="{FF2B5EF4-FFF2-40B4-BE49-F238E27FC236}">
                  <a16:creationId xmlns:a16="http://schemas.microsoft.com/office/drawing/2014/main" id="{0CA89487-FF79-0831-C248-3143370235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6615CD3" w14:textId="09DE530C" w:rsidR="007A0AE0" w:rsidRPr="00E33AF8" w:rsidRDefault="00F16DCF" w:rsidP="007A0AE0">
      <w:pPr>
        <w:pStyle w:val="Prrafodelista"/>
        <w:spacing w:after="200" w:line="276" w:lineRule="auto"/>
        <w:ind w:left="1068"/>
        <w:contextualSpacing w:val="0"/>
        <w:jc w:val="center"/>
        <w:rPr>
          <w:rFonts w:ascii="Verdana" w:hAnsi="Verdana" w:cs="Arial"/>
          <w:highlight w:val="yellow"/>
          <w:lang w:val="es-MX"/>
        </w:rPr>
      </w:pPr>
      <w:r w:rsidRPr="00E33AF8">
        <w:rPr>
          <w:rFonts w:ascii="Verdana" w:hAnsi="Verdana" w:cs="Arial"/>
          <w:b/>
          <w:bCs/>
          <w:lang w:val="es-MX"/>
        </w:rPr>
        <w:t xml:space="preserve">Fuente: </w:t>
      </w:r>
      <w:r w:rsidR="007A0AE0" w:rsidRPr="00E33AF8">
        <w:rPr>
          <w:rFonts w:ascii="Verdana" w:hAnsi="Verdana" w:cs="Arial"/>
          <w:lang w:val="es-MX"/>
        </w:rPr>
        <w:t>Elaboración propia</w:t>
      </w:r>
    </w:p>
    <w:p w14:paraId="6CD38DAB" w14:textId="77777777" w:rsidR="007A0AE0" w:rsidRPr="0069234E" w:rsidRDefault="007A0AE0" w:rsidP="007A0AE0">
      <w:pPr>
        <w:autoSpaceDE w:val="0"/>
        <w:autoSpaceDN w:val="0"/>
        <w:jc w:val="both"/>
        <w:rPr>
          <w:rFonts w:ascii="Verdana" w:hAnsi="Verdana" w:cs="Arial"/>
          <w:b/>
          <w:bCs/>
          <w:u w:val="single"/>
        </w:rPr>
      </w:pPr>
    </w:p>
    <w:p w14:paraId="039A7D6C" w14:textId="77777777" w:rsidR="007A0AE0" w:rsidRPr="0069234E" w:rsidRDefault="007A0AE0" w:rsidP="007A0AE0">
      <w:pPr>
        <w:autoSpaceDE w:val="0"/>
        <w:autoSpaceDN w:val="0"/>
        <w:spacing w:line="276" w:lineRule="auto"/>
        <w:rPr>
          <w:rFonts w:ascii="Verdana" w:hAnsi="Verdana" w:cs="Arial"/>
          <w:b/>
          <w:sz w:val="22"/>
          <w:szCs w:val="22"/>
        </w:rPr>
      </w:pPr>
    </w:p>
    <w:p w14:paraId="58CA4770" w14:textId="77777777" w:rsidR="007A0AE0" w:rsidRPr="0069234E" w:rsidRDefault="007A0AE0" w:rsidP="007A0AE0">
      <w:pPr>
        <w:autoSpaceDE w:val="0"/>
        <w:autoSpaceDN w:val="0"/>
        <w:spacing w:line="276" w:lineRule="auto"/>
        <w:rPr>
          <w:rFonts w:ascii="Verdana" w:hAnsi="Verdana" w:cs="Arial"/>
          <w:b/>
          <w:sz w:val="22"/>
          <w:szCs w:val="22"/>
        </w:rPr>
      </w:pPr>
      <w:r w:rsidRPr="0069234E">
        <w:rPr>
          <w:rFonts w:ascii="Verdana" w:hAnsi="Verdana" w:cs="Arial"/>
          <w:b/>
          <w:sz w:val="22"/>
          <w:szCs w:val="22"/>
        </w:rPr>
        <w:t>Análisis financiero de las empresas del sector</w:t>
      </w:r>
    </w:p>
    <w:p w14:paraId="63237E29" w14:textId="77777777" w:rsidR="007A0AE0" w:rsidRPr="0069234E" w:rsidRDefault="007A0AE0" w:rsidP="007A0AE0">
      <w:pPr>
        <w:autoSpaceDE w:val="0"/>
        <w:autoSpaceDN w:val="0"/>
        <w:jc w:val="both"/>
        <w:rPr>
          <w:rFonts w:ascii="Verdana" w:hAnsi="Verdana" w:cs="Arial"/>
          <w:sz w:val="22"/>
          <w:szCs w:val="22"/>
        </w:rPr>
      </w:pPr>
    </w:p>
    <w:p w14:paraId="63ABC901" w14:textId="05E61A6D" w:rsidR="007A0AE0" w:rsidRPr="0069234E" w:rsidRDefault="007A0AE0" w:rsidP="007A0AE0">
      <w:pPr>
        <w:pStyle w:val="Sinespaciado"/>
        <w:spacing w:line="276" w:lineRule="auto"/>
        <w:jc w:val="both"/>
        <w:rPr>
          <w:rFonts w:ascii="Verdana" w:hAnsi="Verdana" w:cs="Arial"/>
          <w:sz w:val="22"/>
          <w:szCs w:val="22"/>
        </w:rPr>
      </w:pPr>
      <w:r w:rsidRPr="0069234E">
        <w:rPr>
          <w:rFonts w:ascii="Verdana" w:hAnsi="Verdana" w:cs="Arial"/>
          <w:sz w:val="22"/>
          <w:szCs w:val="22"/>
        </w:rPr>
        <w:t xml:space="preserve">En esta sección se analizan los estados financieros de las empresas sector con el fin de analizar y sustentar los requisitos de capacidad financiera y organizacional mínimos habilitantes acordes con el sector, que serán utilizados en los documentos tipo para la contratación de los servicios de infraestructura de </w:t>
      </w:r>
      <w:r w:rsidR="00386828">
        <w:rPr>
          <w:rFonts w:ascii="Verdana" w:hAnsi="Verdana" w:cs="Arial"/>
          <w:sz w:val="22"/>
          <w:szCs w:val="22"/>
        </w:rPr>
        <w:t>agua potable y saneamiento básico</w:t>
      </w:r>
      <w:r w:rsidRPr="0069234E">
        <w:rPr>
          <w:rFonts w:ascii="Verdana" w:hAnsi="Verdana" w:cs="Arial"/>
          <w:sz w:val="22"/>
          <w:szCs w:val="22"/>
        </w:rPr>
        <w:t xml:space="preserve"> bajo la modalidad de selección Licitación Pública.</w:t>
      </w:r>
    </w:p>
    <w:p w14:paraId="504B0A99" w14:textId="77777777" w:rsidR="007A0AE0" w:rsidRPr="0069234E" w:rsidRDefault="007A0AE0" w:rsidP="007A0AE0">
      <w:pPr>
        <w:pStyle w:val="Sinespaciado"/>
        <w:spacing w:line="276" w:lineRule="auto"/>
        <w:jc w:val="both"/>
        <w:rPr>
          <w:rFonts w:ascii="Verdana" w:hAnsi="Verdana" w:cs="Arial"/>
          <w:sz w:val="22"/>
          <w:szCs w:val="22"/>
        </w:rPr>
      </w:pPr>
    </w:p>
    <w:p w14:paraId="69E26440" w14:textId="77777777" w:rsidR="007A0AE0" w:rsidRPr="0069234E" w:rsidRDefault="007A0AE0" w:rsidP="007A0AE0">
      <w:pPr>
        <w:pStyle w:val="Sinespaciado"/>
        <w:jc w:val="both"/>
        <w:rPr>
          <w:rFonts w:ascii="Verdana" w:hAnsi="Verdana" w:cs="Arial"/>
          <w:sz w:val="22"/>
          <w:szCs w:val="22"/>
        </w:rPr>
      </w:pPr>
      <w:r w:rsidRPr="0069234E">
        <w:rPr>
          <w:rFonts w:ascii="Verdana" w:hAnsi="Verdana" w:cs="Arial"/>
          <w:sz w:val="22"/>
          <w:szCs w:val="22"/>
        </w:rPr>
        <w:t>Conforme con los lineamientos establecidos en el MANUAL PARA DETERMINAR Y VERIFICAR LOS REQUISITOS HABILITANTES EN LOS PROCESOS DE CONTRATACIÓN</w:t>
      </w:r>
      <w:r w:rsidRPr="0069234E">
        <w:rPr>
          <w:rStyle w:val="Refdenotaalpie"/>
          <w:rFonts w:ascii="Verdana" w:hAnsi="Verdana" w:cs="Arial"/>
          <w:sz w:val="22"/>
          <w:szCs w:val="22"/>
        </w:rPr>
        <w:footnoteReference w:id="33"/>
      </w:r>
      <w:r w:rsidRPr="0069234E">
        <w:rPr>
          <w:rFonts w:ascii="Verdana" w:hAnsi="Verdana" w:cs="Arial"/>
          <w:sz w:val="22"/>
          <w:szCs w:val="22"/>
        </w:rPr>
        <w:t xml:space="preserve"> (versión 3) expedido por la Agencia Nacional de Contratación Pública -Colombia Compra Eficiente,  es importante precisar que el análisis realizado tiene como objetivo establecer condiciones mínimas en relación con la «salud financiera» de los proponentes, mediante la cual demostrar su aptitud para cumplir oportuna y cabalmente el objeto del contrato a través del análisis de su liquidez, endeudamiento y razón de cobertura de intereses, capital de trabajo, patrimonio, rentabilidad del patrimonio y rentabilidad del activo. </w:t>
      </w:r>
    </w:p>
    <w:p w14:paraId="2D2CCED5" w14:textId="77777777" w:rsidR="007A0AE0" w:rsidRPr="0069234E" w:rsidRDefault="007A0AE0" w:rsidP="007A0AE0">
      <w:pPr>
        <w:pStyle w:val="Sinespaciado"/>
        <w:jc w:val="both"/>
        <w:rPr>
          <w:rFonts w:ascii="Verdana" w:hAnsi="Verdana" w:cs="Arial"/>
          <w:sz w:val="22"/>
          <w:szCs w:val="22"/>
        </w:rPr>
      </w:pPr>
    </w:p>
    <w:p w14:paraId="2B078437" w14:textId="77777777" w:rsidR="007A0AE0" w:rsidRPr="0069234E" w:rsidRDefault="007A0AE0" w:rsidP="007A0AE0">
      <w:pPr>
        <w:pStyle w:val="Sinespaciado"/>
        <w:jc w:val="both"/>
        <w:rPr>
          <w:rFonts w:ascii="Verdana" w:hAnsi="Verdana" w:cs="Arial"/>
          <w:sz w:val="22"/>
          <w:szCs w:val="22"/>
        </w:rPr>
      </w:pPr>
      <w:r w:rsidRPr="0069234E">
        <w:rPr>
          <w:rFonts w:ascii="Verdana" w:hAnsi="Verdana" w:cs="Arial"/>
          <w:sz w:val="22"/>
          <w:szCs w:val="22"/>
        </w:rPr>
        <w:t xml:space="preserve">Igualmente, la revisión del estado financiero de las empresas del sector busca sustentar la definición de requisitos de capacidad financiera y organizacional que sean adecuados </w:t>
      </w:r>
      <w:r w:rsidRPr="0069234E">
        <w:rPr>
          <w:rFonts w:ascii="Verdana" w:hAnsi="Verdana" w:cs="Arial"/>
          <w:sz w:val="22"/>
          <w:szCs w:val="22"/>
        </w:rPr>
        <w:lastRenderedPageBreak/>
        <w:t>y proporcionales a la naturaleza, forma de pago, plazo, complejidad, riesgo y al valor del contrato que se puedan suscribir por Entidades Públicas en el marco de procesos de selección que se adelanten a través de los documentos tipo.</w:t>
      </w:r>
    </w:p>
    <w:p w14:paraId="5A680CB8" w14:textId="77777777" w:rsidR="007A0AE0" w:rsidRPr="0069234E" w:rsidRDefault="007A0AE0" w:rsidP="007A0AE0">
      <w:pPr>
        <w:pStyle w:val="Sinespaciado"/>
        <w:spacing w:line="276" w:lineRule="auto"/>
        <w:jc w:val="both"/>
        <w:rPr>
          <w:rFonts w:ascii="Verdana" w:hAnsi="Verdana" w:cs="Arial"/>
          <w:sz w:val="22"/>
          <w:szCs w:val="22"/>
        </w:rPr>
      </w:pPr>
    </w:p>
    <w:p w14:paraId="64BCC768" w14:textId="77777777" w:rsidR="007A0AE0" w:rsidRPr="0069234E" w:rsidRDefault="007A0AE0" w:rsidP="007A0AE0">
      <w:pPr>
        <w:pStyle w:val="Sinespaciado"/>
        <w:spacing w:line="276" w:lineRule="auto"/>
        <w:jc w:val="both"/>
        <w:rPr>
          <w:rFonts w:ascii="Verdana" w:hAnsi="Verdana" w:cs="Arial"/>
          <w:bCs/>
          <w:color w:val="000000"/>
          <w:sz w:val="22"/>
          <w:szCs w:val="22"/>
        </w:rPr>
      </w:pPr>
      <w:r w:rsidRPr="0069234E">
        <w:rPr>
          <w:rFonts w:ascii="Verdana" w:hAnsi="Verdana" w:cs="Arial"/>
          <w:color w:val="000000"/>
          <w:sz w:val="22"/>
          <w:szCs w:val="22"/>
        </w:rPr>
        <w:t xml:space="preserve">A continuación, se presentan las definiciones de los indicadores financieros </w:t>
      </w:r>
      <w:r w:rsidRPr="0069234E">
        <w:rPr>
          <w:rFonts w:ascii="Verdana" w:hAnsi="Verdana" w:cs="Arial"/>
          <w:sz w:val="22"/>
          <w:szCs w:val="22"/>
        </w:rPr>
        <w:t>establecidos en los numerales 3. “Capacidad Financiera” y 4. “Capacidad Organizacional”, del Articulo 2.2.1.1.1.5.3 del Decreto 1082 de 2015.</w:t>
      </w:r>
    </w:p>
    <w:p w14:paraId="393AD572" w14:textId="77777777" w:rsidR="007A0AE0" w:rsidRPr="0069234E" w:rsidRDefault="007A0AE0" w:rsidP="007A0AE0">
      <w:pPr>
        <w:jc w:val="both"/>
        <w:rPr>
          <w:rFonts w:ascii="Verdana" w:hAnsi="Verdana" w:cs="Arial"/>
          <w:b/>
          <w:bCs/>
          <w:color w:val="000000"/>
          <w:sz w:val="22"/>
          <w:szCs w:val="22"/>
        </w:rPr>
      </w:pPr>
    </w:p>
    <w:p w14:paraId="211B4923" w14:textId="77777777" w:rsidR="007A0AE0" w:rsidRPr="0069234E" w:rsidRDefault="007A0AE0" w:rsidP="007A0AE0">
      <w:pPr>
        <w:pStyle w:val="Prrafodelista"/>
        <w:numPr>
          <w:ilvl w:val="0"/>
          <w:numId w:val="59"/>
        </w:numPr>
        <w:spacing w:after="0" w:line="276" w:lineRule="auto"/>
        <w:ind w:left="567"/>
        <w:contextualSpacing w:val="0"/>
        <w:rPr>
          <w:rFonts w:ascii="Verdana" w:hAnsi="Verdana" w:cs="Arial"/>
          <w:bCs/>
          <w:color w:val="000000"/>
        </w:rPr>
      </w:pPr>
      <w:r w:rsidRPr="0069234E">
        <w:rPr>
          <w:rFonts w:ascii="Verdana" w:hAnsi="Verdana" w:cs="Arial"/>
          <w:b/>
          <w:bCs/>
          <w:color w:val="000000"/>
        </w:rPr>
        <w:t xml:space="preserve">Capacidad Financiera: </w:t>
      </w:r>
      <w:r w:rsidRPr="0069234E">
        <w:rPr>
          <w:rFonts w:ascii="Verdana" w:hAnsi="Verdana" w:cs="Arial"/>
          <w:bCs/>
          <w:color w:val="000000"/>
        </w:rPr>
        <w:t>los siguientes indicadores miden la fortaleza financiera del interesado</w:t>
      </w:r>
      <w:r w:rsidRPr="0069234E">
        <w:rPr>
          <w:rFonts w:ascii="Verdana" w:hAnsi="Verdana" w:cs="Arial"/>
          <w:bCs/>
          <w:color w:val="000000"/>
          <w:lang w:val="es-MX"/>
        </w:rPr>
        <w:t>:</w:t>
      </w:r>
    </w:p>
    <w:p w14:paraId="2ED18B93" w14:textId="77777777" w:rsidR="007A0AE0" w:rsidRPr="0069234E" w:rsidRDefault="007A0AE0" w:rsidP="007A0AE0">
      <w:pPr>
        <w:numPr>
          <w:ilvl w:val="0"/>
          <w:numId w:val="58"/>
        </w:numPr>
        <w:spacing w:line="276" w:lineRule="auto"/>
        <w:ind w:left="567"/>
        <w:jc w:val="both"/>
        <w:rPr>
          <w:rFonts w:ascii="Verdana" w:hAnsi="Verdana" w:cs="Arial"/>
          <w:sz w:val="22"/>
          <w:szCs w:val="22"/>
          <w:lang w:eastAsia="es-CO"/>
        </w:rPr>
      </w:pPr>
      <w:r w:rsidRPr="0069234E">
        <w:rPr>
          <w:rFonts w:ascii="Verdana" w:hAnsi="Verdana" w:cs="Arial"/>
          <w:color w:val="000000"/>
          <w:sz w:val="22"/>
          <w:szCs w:val="22"/>
        </w:rPr>
        <w:t xml:space="preserve">Índice de Liquidez: </w:t>
      </w:r>
      <w:r w:rsidRPr="0069234E">
        <w:rPr>
          <w:rFonts w:ascii="Verdana" w:hAnsi="Verdana" w:cs="Arial"/>
          <w:sz w:val="22"/>
          <w:szCs w:val="22"/>
          <w:lang w:eastAsia="es-CO"/>
        </w:rPr>
        <w:t xml:space="preserve">El índice de liquidez (IDL, activo corriente/pasivo corriente), pretende determinar si los recursos de la empresa, a corto plazo, son suficientes para afrontar sus obligaciones, también a corto plazo. </w:t>
      </w:r>
      <w:r w:rsidRPr="0069234E">
        <w:rPr>
          <w:rFonts w:ascii="Verdana" w:hAnsi="Verdana" w:cs="Arial"/>
          <w:i/>
          <w:iCs/>
          <w:sz w:val="22"/>
          <w:szCs w:val="22"/>
          <w:lang w:eastAsia="es-CO"/>
        </w:rPr>
        <w:t>“Refleja la capacidad de la empresa para cubrir sus obligaciones corrientes, guardando cierto margen de seguridad en previsión de alguna reducción o pérdida en el valor de los activos corrientes”</w:t>
      </w:r>
      <w:r w:rsidRPr="0069234E">
        <w:rPr>
          <w:rFonts w:ascii="Verdana" w:hAnsi="Verdana" w:cs="Arial"/>
          <w:sz w:val="22"/>
          <w:szCs w:val="22"/>
          <w:lang w:eastAsia="es-CO"/>
        </w:rPr>
        <w:t>.</w:t>
      </w:r>
      <w:r w:rsidRPr="0069234E">
        <w:rPr>
          <w:rStyle w:val="Refdenotaalpie"/>
          <w:rFonts w:ascii="Verdana" w:hAnsi="Verdana" w:cs="Arial"/>
          <w:sz w:val="22"/>
          <w:szCs w:val="22"/>
          <w:lang w:eastAsia="es-CO"/>
        </w:rPr>
        <w:footnoteReference w:id="34"/>
      </w:r>
      <w:r w:rsidRPr="0069234E">
        <w:rPr>
          <w:rFonts w:ascii="Verdana" w:hAnsi="Verdana" w:cs="Arial"/>
          <w:sz w:val="22"/>
          <w:szCs w:val="22"/>
          <w:lang w:eastAsia="es-CO"/>
        </w:rPr>
        <w:t xml:space="preserve"> </w:t>
      </w:r>
    </w:p>
    <w:p w14:paraId="37E4414C" w14:textId="77777777" w:rsidR="007A0AE0" w:rsidRPr="0069234E" w:rsidRDefault="007A0AE0" w:rsidP="007A0AE0">
      <w:pPr>
        <w:numPr>
          <w:ilvl w:val="0"/>
          <w:numId w:val="58"/>
        </w:numPr>
        <w:spacing w:line="276" w:lineRule="auto"/>
        <w:ind w:left="567"/>
        <w:jc w:val="both"/>
        <w:rPr>
          <w:rFonts w:ascii="Verdana" w:hAnsi="Verdana" w:cs="Arial"/>
          <w:bCs/>
          <w:color w:val="000000"/>
          <w:sz w:val="22"/>
          <w:szCs w:val="22"/>
        </w:rPr>
      </w:pPr>
      <w:r w:rsidRPr="0069234E">
        <w:rPr>
          <w:rFonts w:ascii="Verdana" w:hAnsi="Verdana" w:cs="Arial"/>
          <w:bCs/>
          <w:color w:val="000000"/>
          <w:sz w:val="22"/>
          <w:szCs w:val="22"/>
        </w:rPr>
        <w:t>Nivel de endeudamiento: El nivel de endeudamiento (NDE, Pasivo total/Activo total) indica el grado de apalancamiento de la compañía o la participación de los acreedores sobre los activos de la compañía.</w:t>
      </w:r>
    </w:p>
    <w:p w14:paraId="4AA9D19B" w14:textId="77777777" w:rsidR="007A0AE0" w:rsidRPr="0069234E" w:rsidRDefault="007A0AE0" w:rsidP="007A0AE0">
      <w:pPr>
        <w:numPr>
          <w:ilvl w:val="0"/>
          <w:numId w:val="58"/>
        </w:numPr>
        <w:spacing w:line="276" w:lineRule="auto"/>
        <w:ind w:left="567"/>
        <w:jc w:val="both"/>
        <w:rPr>
          <w:rFonts w:ascii="Verdana" w:hAnsi="Verdana" w:cs="Arial"/>
          <w:bCs/>
          <w:color w:val="000000"/>
          <w:sz w:val="22"/>
          <w:szCs w:val="22"/>
        </w:rPr>
      </w:pPr>
      <w:r w:rsidRPr="0069234E">
        <w:rPr>
          <w:rFonts w:ascii="Verdana" w:hAnsi="Verdana" w:cs="Arial"/>
          <w:bCs/>
          <w:color w:val="000000"/>
          <w:sz w:val="22"/>
          <w:szCs w:val="22"/>
        </w:rPr>
        <w:t>Razón de Cobertura de Intereses: Este indicador establece una relación entre las utilidades operacionales de la empresa y los gastos por intereses, los cuales están, a su vez, directamente relacionados con el NDE. Se verifica la capacidad de la empresa para realizar los pagos de intereses. La razón de cobertura de intereses se calcula mediante la fórmula RCI = Utilidad Operacional/Gastos de intereses.</w:t>
      </w:r>
    </w:p>
    <w:p w14:paraId="6FDB0EB5" w14:textId="77777777" w:rsidR="007A0AE0" w:rsidRPr="0069234E" w:rsidRDefault="007A0AE0" w:rsidP="007A0AE0">
      <w:pPr>
        <w:numPr>
          <w:ilvl w:val="0"/>
          <w:numId w:val="58"/>
        </w:numPr>
        <w:spacing w:line="276" w:lineRule="auto"/>
        <w:ind w:left="567"/>
        <w:jc w:val="both"/>
        <w:rPr>
          <w:rFonts w:ascii="Verdana" w:hAnsi="Verdana" w:cs="Arial"/>
          <w:sz w:val="22"/>
          <w:szCs w:val="22"/>
        </w:rPr>
      </w:pPr>
      <w:r w:rsidRPr="0069234E">
        <w:rPr>
          <w:rFonts w:ascii="Verdana" w:hAnsi="Verdana" w:cs="Arial"/>
          <w:sz w:val="22"/>
          <w:szCs w:val="22"/>
        </w:rPr>
        <w:t>Capital de Trabajo: Representa, en términos absolutos, la liquidez operativa de la empresa, es decir, la capacidad de una compañía para llevar a cabo sus actividades con normalidad en el corto plazo (menor a un año). Resulta de restarle al pasivo corriente los activos corrientes. Contar con capital de trabajo positivo favorece el desarrollo eficiente del objeto social de una compañía.</w:t>
      </w:r>
    </w:p>
    <w:p w14:paraId="41D02912" w14:textId="77777777" w:rsidR="007A0AE0" w:rsidRPr="0069234E" w:rsidRDefault="007A0AE0" w:rsidP="007A0AE0">
      <w:pPr>
        <w:numPr>
          <w:ilvl w:val="0"/>
          <w:numId w:val="58"/>
        </w:numPr>
        <w:spacing w:line="276" w:lineRule="auto"/>
        <w:ind w:left="567"/>
        <w:jc w:val="both"/>
        <w:rPr>
          <w:rFonts w:ascii="Verdana" w:hAnsi="Verdana" w:cs="Arial"/>
          <w:sz w:val="22"/>
          <w:szCs w:val="22"/>
        </w:rPr>
      </w:pPr>
      <w:r w:rsidRPr="0069234E">
        <w:rPr>
          <w:rFonts w:ascii="Verdana" w:hAnsi="Verdana" w:cs="Arial"/>
          <w:sz w:val="22"/>
          <w:szCs w:val="22"/>
        </w:rPr>
        <w:t>Patrimonio: Mide la cantidad de recursos propios del proponente. “</w:t>
      </w:r>
      <w:r w:rsidRPr="0069234E">
        <w:rPr>
          <w:rFonts w:ascii="Verdana" w:hAnsi="Verdana" w:cs="Arial"/>
          <w:i/>
          <w:iCs/>
          <w:sz w:val="22"/>
          <w:szCs w:val="22"/>
        </w:rPr>
        <w:t xml:space="preserve">Es recomendable su uso cuando la Entidad Estatal requiere analizar la cantidad de </w:t>
      </w:r>
      <w:r w:rsidRPr="0069234E">
        <w:rPr>
          <w:rFonts w:ascii="Verdana" w:hAnsi="Verdana" w:cs="Arial"/>
          <w:i/>
          <w:iCs/>
          <w:sz w:val="22"/>
          <w:szCs w:val="22"/>
        </w:rPr>
        <w:lastRenderedPageBreak/>
        <w:t>recursos propios en términos absolutos cuando el proceso de contratación es muy alto y la Entidad debe asegurar la continuidad del proponente en el tiempo</w:t>
      </w:r>
      <w:r w:rsidRPr="0069234E">
        <w:rPr>
          <w:rFonts w:ascii="Verdana" w:hAnsi="Verdana" w:cs="Arial"/>
          <w:sz w:val="22"/>
          <w:szCs w:val="22"/>
        </w:rPr>
        <w:t>”</w:t>
      </w:r>
      <w:r w:rsidRPr="0069234E">
        <w:rPr>
          <w:rStyle w:val="Refdenotaalpie"/>
          <w:rFonts w:ascii="Verdana" w:hAnsi="Verdana" w:cs="Arial"/>
          <w:sz w:val="22"/>
          <w:szCs w:val="22"/>
        </w:rPr>
        <w:footnoteReference w:id="35"/>
      </w:r>
    </w:p>
    <w:p w14:paraId="69C45FFE" w14:textId="77777777" w:rsidR="007A0AE0" w:rsidRPr="0069234E" w:rsidRDefault="007A0AE0" w:rsidP="007A0AE0">
      <w:pPr>
        <w:jc w:val="both"/>
        <w:rPr>
          <w:rFonts w:ascii="Verdana" w:hAnsi="Verdana" w:cs="Arial"/>
          <w:b/>
          <w:bCs/>
          <w:color w:val="000000"/>
          <w:sz w:val="22"/>
          <w:szCs w:val="22"/>
          <w:lang w:val="x-none"/>
        </w:rPr>
      </w:pPr>
    </w:p>
    <w:p w14:paraId="2DA385EA" w14:textId="77777777" w:rsidR="007A0AE0" w:rsidRPr="0069234E" w:rsidRDefault="007A0AE0" w:rsidP="007A0AE0">
      <w:pPr>
        <w:pStyle w:val="Prrafodelista"/>
        <w:numPr>
          <w:ilvl w:val="0"/>
          <w:numId w:val="59"/>
        </w:numPr>
        <w:spacing w:after="0" w:line="276" w:lineRule="auto"/>
        <w:ind w:left="567"/>
        <w:contextualSpacing w:val="0"/>
        <w:rPr>
          <w:rFonts w:ascii="Verdana" w:hAnsi="Verdana" w:cs="Arial"/>
          <w:b/>
          <w:bCs/>
          <w:color w:val="000000"/>
        </w:rPr>
      </w:pPr>
      <w:r w:rsidRPr="0069234E">
        <w:rPr>
          <w:rFonts w:ascii="Verdana" w:hAnsi="Verdana" w:cs="Arial"/>
          <w:b/>
          <w:bCs/>
          <w:color w:val="000000"/>
        </w:rPr>
        <w:t xml:space="preserve">Capacidad Organizacional: </w:t>
      </w:r>
      <w:r w:rsidRPr="0069234E">
        <w:rPr>
          <w:rFonts w:ascii="Verdana" w:hAnsi="Verdana" w:cs="Arial"/>
          <w:bCs/>
          <w:color w:val="000000"/>
        </w:rPr>
        <w:t>los siguientes indicadores miden el rendimiento de las inversiones y la eficiencia en el uso de activos del interesado:</w:t>
      </w:r>
    </w:p>
    <w:p w14:paraId="75553866" w14:textId="77777777" w:rsidR="007A0AE0" w:rsidRPr="0069234E" w:rsidRDefault="007A0AE0" w:rsidP="007A0AE0">
      <w:pPr>
        <w:pStyle w:val="Prrafodelista"/>
        <w:numPr>
          <w:ilvl w:val="0"/>
          <w:numId w:val="58"/>
        </w:numPr>
        <w:spacing w:after="0" w:line="276" w:lineRule="auto"/>
        <w:ind w:left="567"/>
        <w:contextualSpacing w:val="0"/>
        <w:rPr>
          <w:rFonts w:ascii="Verdana" w:hAnsi="Verdana" w:cs="Arial"/>
          <w:bCs/>
          <w:i/>
          <w:color w:val="000000"/>
        </w:rPr>
      </w:pPr>
      <w:r w:rsidRPr="0069234E">
        <w:rPr>
          <w:rFonts w:ascii="Verdana" w:hAnsi="Verdana" w:cs="Arial"/>
          <w:color w:val="000000"/>
        </w:rPr>
        <w:t>Rentabilidad del Patrimonio</w:t>
      </w:r>
      <w:r w:rsidRPr="0069234E">
        <w:rPr>
          <w:rFonts w:ascii="Verdana" w:hAnsi="Verdana" w:cs="Arial"/>
          <w:color w:val="000000"/>
          <w:lang w:val="es-MX"/>
        </w:rPr>
        <w:t>:</w:t>
      </w:r>
      <w:r w:rsidRPr="0069234E">
        <w:rPr>
          <w:rFonts w:ascii="Verdana" w:hAnsi="Verdana" w:cs="Arial"/>
          <w:b/>
          <w:bCs/>
          <w:color w:val="000000"/>
          <w:lang w:val="es-MX"/>
        </w:rPr>
        <w:t xml:space="preserve"> </w:t>
      </w:r>
      <w:r w:rsidRPr="0069234E">
        <w:rPr>
          <w:rFonts w:ascii="Verdana" w:hAnsi="Verdana" w:cs="Arial"/>
          <w:color w:val="000000"/>
        </w:rPr>
        <w:t>La rentabilidad del patrimonio (R</w:t>
      </w:r>
      <w:r w:rsidRPr="0069234E">
        <w:rPr>
          <w:rFonts w:ascii="Verdana" w:hAnsi="Verdana" w:cs="Arial"/>
          <w:color w:val="000000"/>
          <w:lang w:val="es-MX"/>
        </w:rPr>
        <w:t>OE =</w:t>
      </w:r>
      <w:r w:rsidRPr="0069234E">
        <w:rPr>
          <w:rFonts w:ascii="Verdana" w:hAnsi="Verdana" w:cs="Arial"/>
          <w:color w:val="000000"/>
        </w:rPr>
        <w:t xml:space="preserve"> Utilidad Operacional/Patrimonio), </w:t>
      </w:r>
      <w:r w:rsidRPr="0069234E">
        <w:rPr>
          <w:rFonts w:ascii="Verdana" w:hAnsi="Verdana" w:cs="Arial"/>
          <w:i/>
          <w:iCs/>
          <w:color w:val="000000"/>
        </w:rPr>
        <w:t>“permite identificar la rentabilidad que le ofrece a los socios o accionistas el capital que han invertido en la empresa, sin tomar en cuenta la diferencia que existe entre este indicador y la rentabilidad financiera, para conocer cuál es el impacto de los gastos financieros e impuestos de la rentabilidad de los accionistas.”</w:t>
      </w:r>
      <w:r w:rsidRPr="0069234E">
        <w:rPr>
          <w:rStyle w:val="Refdenotaalpie"/>
          <w:rFonts w:ascii="Verdana" w:hAnsi="Verdana" w:cs="Arial"/>
          <w:i/>
          <w:iCs/>
          <w:color w:val="000000"/>
        </w:rPr>
        <w:footnoteReference w:id="36"/>
      </w:r>
    </w:p>
    <w:p w14:paraId="61618B73" w14:textId="77777777" w:rsidR="007A0AE0" w:rsidRPr="00AB51E8" w:rsidRDefault="007A0AE0" w:rsidP="007A0AE0">
      <w:pPr>
        <w:numPr>
          <w:ilvl w:val="0"/>
          <w:numId w:val="58"/>
        </w:numPr>
        <w:spacing w:line="276" w:lineRule="auto"/>
        <w:ind w:left="567"/>
        <w:jc w:val="both"/>
        <w:rPr>
          <w:rFonts w:ascii="Verdana" w:hAnsi="Verdana" w:cs="Arial"/>
          <w:b/>
          <w:bCs/>
          <w:i/>
          <w:color w:val="000000"/>
          <w:sz w:val="22"/>
          <w:szCs w:val="22"/>
        </w:rPr>
      </w:pPr>
      <w:r w:rsidRPr="0069234E">
        <w:rPr>
          <w:rFonts w:ascii="Verdana" w:hAnsi="Verdana" w:cs="Arial"/>
          <w:color w:val="000000"/>
          <w:sz w:val="22"/>
          <w:szCs w:val="22"/>
        </w:rPr>
        <w:t>Rentabilidad del activo:</w:t>
      </w:r>
      <w:r w:rsidRPr="0069234E">
        <w:rPr>
          <w:rFonts w:ascii="Verdana" w:hAnsi="Verdana" w:cs="Arial"/>
          <w:b/>
          <w:bCs/>
          <w:color w:val="000000"/>
          <w:sz w:val="22"/>
          <w:szCs w:val="22"/>
        </w:rPr>
        <w:t xml:space="preserve"> </w:t>
      </w:r>
      <w:r w:rsidRPr="0069234E">
        <w:rPr>
          <w:rFonts w:ascii="Verdana" w:hAnsi="Verdana" w:cs="Arial"/>
          <w:color w:val="000000"/>
          <w:sz w:val="22"/>
          <w:szCs w:val="22"/>
        </w:rPr>
        <w:t>La rentabilidad del activo (ROA = Utilidad Operacional/Activo Total), “</w:t>
      </w:r>
      <w:r w:rsidRPr="0069234E">
        <w:rPr>
          <w:rFonts w:ascii="Verdana" w:hAnsi="Verdana" w:cs="Arial"/>
          <w:i/>
          <w:iCs/>
          <w:color w:val="000000"/>
          <w:sz w:val="22"/>
          <w:szCs w:val="22"/>
        </w:rPr>
        <w:t xml:space="preserve">se considera como una medida de la capacidad de los activos de una empresa para generar valor con independencia, es un indicador para juzgar la eficiencia en la Gestión Empresarial, pues es precisamente el comportamiento de los activos con independencia de su financiación, el que determina con carácter general que una empresa sea o no rentable en términos </w:t>
      </w:r>
      <w:r w:rsidRPr="00AB51E8">
        <w:rPr>
          <w:rFonts w:ascii="Verdana" w:hAnsi="Verdana" w:cs="Arial"/>
          <w:i/>
          <w:iCs/>
          <w:color w:val="000000"/>
          <w:sz w:val="22"/>
          <w:szCs w:val="22"/>
        </w:rPr>
        <w:t>económicos.”</w:t>
      </w:r>
      <w:r w:rsidRPr="00AB51E8">
        <w:rPr>
          <w:rStyle w:val="Refdenotaalpie"/>
          <w:rFonts w:ascii="Verdana" w:hAnsi="Verdana" w:cs="Arial"/>
          <w:i/>
          <w:iCs/>
          <w:color w:val="000000"/>
          <w:sz w:val="22"/>
          <w:szCs w:val="22"/>
        </w:rPr>
        <w:footnoteReference w:id="37"/>
      </w:r>
      <w:r w:rsidRPr="00AB51E8">
        <w:rPr>
          <w:rFonts w:ascii="Verdana" w:hAnsi="Verdana" w:cs="Arial"/>
          <w:i/>
          <w:iCs/>
          <w:color w:val="000000"/>
          <w:sz w:val="22"/>
          <w:szCs w:val="22"/>
        </w:rPr>
        <w:t xml:space="preserve"> </w:t>
      </w:r>
    </w:p>
    <w:p w14:paraId="762FB847" w14:textId="77777777" w:rsidR="007A0AE0" w:rsidRPr="00AB51E8" w:rsidRDefault="007A0AE0" w:rsidP="007A0AE0">
      <w:pPr>
        <w:autoSpaceDE w:val="0"/>
        <w:autoSpaceDN w:val="0"/>
        <w:jc w:val="both"/>
        <w:rPr>
          <w:rFonts w:ascii="Verdana" w:hAnsi="Verdana" w:cs="Arial"/>
          <w:color w:val="000000"/>
          <w:sz w:val="22"/>
          <w:szCs w:val="22"/>
        </w:rPr>
      </w:pPr>
    </w:p>
    <w:p w14:paraId="1FBD8583" w14:textId="6606137F" w:rsidR="007A0AE0" w:rsidRPr="00AB51E8" w:rsidRDefault="007A0AE0" w:rsidP="007A0AE0">
      <w:pPr>
        <w:autoSpaceDE w:val="0"/>
        <w:autoSpaceDN w:val="0"/>
        <w:jc w:val="both"/>
        <w:rPr>
          <w:rFonts w:ascii="Verdana" w:hAnsi="Verdana" w:cs="Arial"/>
          <w:color w:val="000000"/>
          <w:sz w:val="22"/>
          <w:szCs w:val="22"/>
        </w:rPr>
      </w:pPr>
      <w:r w:rsidRPr="00AB51E8">
        <w:rPr>
          <w:rFonts w:ascii="Verdana" w:hAnsi="Verdana" w:cs="Arial"/>
          <w:color w:val="000000"/>
          <w:sz w:val="22"/>
          <w:szCs w:val="22"/>
        </w:rPr>
        <w:t xml:space="preserve">Toda la información financiera de las </w:t>
      </w:r>
      <w:r w:rsidRPr="00AB51E8">
        <w:rPr>
          <w:rFonts w:ascii="Verdana" w:hAnsi="Verdana" w:cs="Arial"/>
          <w:b/>
          <w:bCs/>
          <w:color w:val="000000"/>
          <w:sz w:val="22"/>
          <w:szCs w:val="22"/>
        </w:rPr>
        <w:t>5</w:t>
      </w:r>
      <w:r w:rsidR="00AB51E8" w:rsidRPr="00AB51E8">
        <w:rPr>
          <w:rFonts w:ascii="Verdana" w:hAnsi="Verdana" w:cs="Arial"/>
          <w:b/>
          <w:bCs/>
          <w:color w:val="000000"/>
          <w:sz w:val="22"/>
          <w:szCs w:val="22"/>
        </w:rPr>
        <w:t>89</w:t>
      </w:r>
      <w:r w:rsidRPr="00AB51E8">
        <w:rPr>
          <w:rFonts w:ascii="Verdana" w:hAnsi="Verdana" w:cs="Arial"/>
          <w:b/>
          <w:bCs/>
          <w:color w:val="000000"/>
          <w:sz w:val="22"/>
          <w:szCs w:val="22"/>
        </w:rPr>
        <w:t xml:space="preserve"> </w:t>
      </w:r>
      <w:r w:rsidRPr="00AB51E8">
        <w:rPr>
          <w:rFonts w:ascii="Verdana" w:hAnsi="Verdana" w:cs="Arial"/>
          <w:color w:val="000000"/>
          <w:sz w:val="22"/>
          <w:szCs w:val="22"/>
        </w:rPr>
        <w:t xml:space="preserve">empresas, se consolida en </w:t>
      </w:r>
      <w:r w:rsidRPr="00AB51E8">
        <w:rPr>
          <w:rFonts w:ascii="Verdana" w:hAnsi="Verdana" w:cs="Arial"/>
          <w:sz w:val="22"/>
          <w:szCs w:val="22"/>
          <w:lang w:eastAsia="es-CO"/>
        </w:rPr>
        <w:t xml:space="preserve">el Anexo No. 1. “Información financiera e indicadores de capacidad financiera y organizacional de las empresas del sector”, en el cual se detallan las </w:t>
      </w:r>
      <w:r w:rsidRPr="00AB51E8">
        <w:rPr>
          <w:rFonts w:ascii="Verdana" w:hAnsi="Verdana" w:cs="Arial"/>
          <w:color w:val="000000"/>
          <w:sz w:val="22"/>
          <w:szCs w:val="22"/>
        </w:rPr>
        <w:t>cuentas del estado de Situación Financiera y del estado de Resultado para el año 202</w:t>
      </w:r>
      <w:r w:rsidR="00AB51E8" w:rsidRPr="00AB51E8">
        <w:rPr>
          <w:rFonts w:ascii="Verdana" w:hAnsi="Verdana" w:cs="Arial"/>
          <w:color w:val="000000"/>
          <w:sz w:val="22"/>
          <w:szCs w:val="22"/>
        </w:rPr>
        <w:t>5</w:t>
      </w:r>
      <w:r w:rsidRPr="00AB51E8">
        <w:rPr>
          <w:rFonts w:ascii="Verdana" w:hAnsi="Verdana" w:cs="Arial"/>
          <w:color w:val="000000"/>
          <w:sz w:val="22"/>
          <w:szCs w:val="22"/>
        </w:rPr>
        <w:t xml:space="preserve">, </w:t>
      </w:r>
      <w:r w:rsidRPr="00AB51E8">
        <w:rPr>
          <w:rFonts w:ascii="Verdana" w:hAnsi="Verdana" w:cs="Arial"/>
          <w:sz w:val="22"/>
          <w:szCs w:val="22"/>
          <w:lang w:eastAsia="es-CO"/>
        </w:rPr>
        <w:t xml:space="preserve">utilizadas para calcular los indicadores financieros de las empresas, así como los indicadores. </w:t>
      </w:r>
    </w:p>
    <w:p w14:paraId="44B7C709" w14:textId="77777777" w:rsidR="007A0AE0" w:rsidRPr="00AB51E8" w:rsidRDefault="007A0AE0" w:rsidP="007A0AE0">
      <w:pPr>
        <w:jc w:val="both"/>
        <w:rPr>
          <w:rFonts w:ascii="Verdana" w:hAnsi="Verdana" w:cs="Arial"/>
          <w:sz w:val="22"/>
          <w:szCs w:val="22"/>
          <w:lang w:eastAsia="es-CO"/>
        </w:rPr>
      </w:pPr>
    </w:p>
    <w:p w14:paraId="595B72F1" w14:textId="77777777" w:rsidR="007A0AE0" w:rsidRPr="00AB51E8" w:rsidRDefault="007A0AE0" w:rsidP="007A0AE0">
      <w:pPr>
        <w:jc w:val="both"/>
        <w:rPr>
          <w:rFonts w:ascii="Verdana" w:hAnsi="Verdana" w:cs="Arial"/>
          <w:sz w:val="22"/>
          <w:szCs w:val="22"/>
          <w:lang w:val="es-MX" w:eastAsia="es-CO"/>
        </w:rPr>
      </w:pPr>
      <w:r w:rsidRPr="00AB51E8">
        <w:rPr>
          <w:rFonts w:ascii="Verdana" w:hAnsi="Verdana" w:cs="Arial"/>
          <w:sz w:val="22"/>
          <w:szCs w:val="22"/>
          <w:lang w:val="es-MX" w:eastAsia="es-CO"/>
        </w:rPr>
        <w:t xml:space="preserve">Teniendo en cuenta que en la muestra de los estados financieros de las empresas del sector se identificaron datos atípicos, se procedió a “normalizar” la muestra, excluyendo dichos indicadores con el fin de evitar distorsiones al calcular las medidas de tendencia central. </w:t>
      </w:r>
      <w:bookmarkStart w:id="429" w:name="_Hlk110242187"/>
      <w:r w:rsidRPr="00AB51E8">
        <w:rPr>
          <w:rFonts w:ascii="Verdana" w:hAnsi="Verdana" w:cs="Arial"/>
          <w:sz w:val="22"/>
          <w:szCs w:val="22"/>
          <w:lang w:val="es-MX" w:eastAsia="es-CO"/>
        </w:rPr>
        <w:t>Para normalizar la muestra se utiliza el criterio del rango intercuartílico</w:t>
      </w:r>
      <w:r w:rsidRPr="00AB51E8">
        <w:rPr>
          <w:rStyle w:val="Refdenotaalpie"/>
          <w:rFonts w:ascii="Verdana" w:hAnsi="Verdana" w:cs="Arial"/>
          <w:sz w:val="22"/>
          <w:szCs w:val="22"/>
          <w:lang w:val="es-MX" w:eastAsia="es-CO"/>
        </w:rPr>
        <w:footnoteReference w:id="38"/>
      </w:r>
      <w:r w:rsidRPr="00AB51E8">
        <w:rPr>
          <w:rFonts w:ascii="Verdana" w:hAnsi="Verdana" w:cs="Arial"/>
          <w:sz w:val="22"/>
          <w:szCs w:val="22"/>
          <w:lang w:val="es-MX" w:eastAsia="es-CO"/>
        </w:rPr>
        <w:t xml:space="preserve"> </w:t>
      </w:r>
      <w:r w:rsidRPr="00AB51E8">
        <w:rPr>
          <w:rFonts w:ascii="Verdana" w:hAnsi="Verdana" w:cs="Arial"/>
          <w:sz w:val="22"/>
          <w:szCs w:val="22"/>
          <w:lang w:val="es-MX" w:eastAsia="es-CO"/>
        </w:rPr>
        <w:lastRenderedPageBreak/>
        <w:t xml:space="preserve">propuesto en la </w:t>
      </w:r>
      <w:r w:rsidRPr="00AB51E8">
        <w:rPr>
          <w:rFonts w:ascii="Verdana" w:hAnsi="Verdana" w:cs="Arial"/>
          <w:sz w:val="22"/>
          <w:szCs w:val="22"/>
        </w:rPr>
        <w:t>GEES</w:t>
      </w:r>
      <w:r w:rsidRPr="00AB51E8">
        <w:rPr>
          <w:rStyle w:val="Refdenotaalpie"/>
          <w:rFonts w:ascii="Verdana" w:hAnsi="Verdana" w:cs="Arial"/>
          <w:sz w:val="22"/>
          <w:szCs w:val="22"/>
        </w:rPr>
        <w:footnoteReference w:id="39"/>
      </w:r>
      <w:r w:rsidRPr="00AB51E8">
        <w:rPr>
          <w:rFonts w:ascii="Verdana" w:hAnsi="Verdana" w:cs="Arial"/>
          <w:sz w:val="22"/>
          <w:szCs w:val="22"/>
        </w:rPr>
        <w:t xml:space="preserve"> para el manejo de datos atípicos</w:t>
      </w:r>
      <w:r w:rsidRPr="00AB51E8">
        <w:rPr>
          <w:rFonts w:ascii="Verdana" w:hAnsi="Verdana" w:cs="Arial"/>
          <w:sz w:val="22"/>
          <w:szCs w:val="22"/>
          <w:lang w:val="es-MX" w:eastAsia="es-CO"/>
        </w:rPr>
        <w:t xml:space="preserve">. Este criterio </w:t>
      </w:r>
      <w:r w:rsidRPr="00AB51E8">
        <w:rPr>
          <w:rFonts w:ascii="Verdana" w:hAnsi="Verdana" w:cs="Arial"/>
          <w:i/>
          <w:iCs/>
          <w:sz w:val="22"/>
          <w:szCs w:val="22"/>
          <w:lang w:val="es-MX" w:eastAsia="es-CO"/>
        </w:rPr>
        <w:t>“permite entender entre cuáles valores se ubica la mitad de los datos en la parte central de la distribución</w:t>
      </w:r>
      <w:r w:rsidRPr="00AB51E8">
        <w:rPr>
          <w:rFonts w:ascii="Verdana" w:hAnsi="Verdana" w:cs="Arial"/>
          <w:sz w:val="22"/>
          <w:szCs w:val="22"/>
          <w:lang w:val="es-MX" w:eastAsia="es-CO"/>
        </w:rPr>
        <w:t>”</w:t>
      </w:r>
      <w:r w:rsidRPr="00AB51E8">
        <w:rPr>
          <w:rStyle w:val="Refdenotaalpie"/>
          <w:rFonts w:ascii="Verdana" w:hAnsi="Verdana" w:cs="Arial"/>
          <w:sz w:val="22"/>
          <w:szCs w:val="22"/>
          <w:lang w:val="es-MX" w:eastAsia="es-CO"/>
        </w:rPr>
        <w:footnoteReference w:id="40"/>
      </w:r>
      <w:r w:rsidRPr="00AB51E8">
        <w:rPr>
          <w:rFonts w:ascii="Verdana" w:hAnsi="Verdana" w:cs="Arial"/>
          <w:sz w:val="22"/>
          <w:szCs w:val="22"/>
          <w:lang w:val="es-MX" w:eastAsia="es-CO"/>
        </w:rPr>
        <w:t>. De acuerdo con lo descrito en la Guía, la metodología para calcular este promedio consiste en descartar aquellos datos que sean inferiores al primer cuartil (Q</w:t>
      </w:r>
      <w:r w:rsidRPr="00AB51E8">
        <w:rPr>
          <w:rFonts w:ascii="Verdana" w:hAnsi="Verdana" w:cs="Arial"/>
          <w:sz w:val="22"/>
          <w:szCs w:val="22"/>
          <w:vertAlign w:val="subscript"/>
          <w:lang w:val="es-MX" w:eastAsia="es-CO"/>
        </w:rPr>
        <w:t>1</w:t>
      </w:r>
      <w:r w:rsidRPr="00AB51E8">
        <w:rPr>
          <w:rFonts w:ascii="Verdana" w:hAnsi="Verdana" w:cs="Arial"/>
          <w:sz w:val="22"/>
          <w:szCs w:val="22"/>
          <w:lang w:val="es-MX" w:eastAsia="es-CO"/>
        </w:rPr>
        <w:t>) menos el 150% del rango intercuartílico y todo valor que sea mayor al tercer cuartil (Q</w:t>
      </w:r>
      <w:r w:rsidRPr="00AB51E8">
        <w:rPr>
          <w:rFonts w:ascii="Verdana" w:hAnsi="Verdana" w:cs="Arial"/>
          <w:sz w:val="22"/>
          <w:szCs w:val="22"/>
          <w:vertAlign w:val="subscript"/>
          <w:lang w:val="es-MX" w:eastAsia="es-CO"/>
        </w:rPr>
        <w:t>3</w:t>
      </w:r>
      <w:r w:rsidRPr="00AB51E8">
        <w:rPr>
          <w:rFonts w:ascii="Verdana" w:hAnsi="Verdana" w:cs="Arial"/>
          <w:sz w:val="22"/>
          <w:szCs w:val="22"/>
          <w:lang w:val="es-MX" w:eastAsia="es-CO"/>
        </w:rPr>
        <w:t>) más el 150% del rango intercuartílico. Una vez excluidos los datos atípicos se obtiene la muestra normalizada y se calcula el promedio con esta muestra. El promedio de cada uno de los indicadores de la muestra normalizada, luego de aplicado el tratamiento estadístico previamente descrito, es el siguiente:</w:t>
      </w:r>
      <w:bookmarkEnd w:id="429"/>
    </w:p>
    <w:p w14:paraId="17BFD0E7" w14:textId="77777777" w:rsidR="00FC1E4E" w:rsidRDefault="00FC1E4E" w:rsidP="007A0AE0">
      <w:pPr>
        <w:jc w:val="both"/>
        <w:rPr>
          <w:rFonts w:ascii="Verdana" w:hAnsi="Verdana" w:cs="Arial"/>
          <w:highlight w:val="yellow"/>
          <w:lang w:val="es-MX" w:eastAsia="es-CO"/>
        </w:rPr>
      </w:pPr>
    </w:p>
    <w:p w14:paraId="59BC64CA" w14:textId="77777777" w:rsidR="00FC1E4E" w:rsidRPr="00462DD2" w:rsidRDefault="00FC1E4E" w:rsidP="00710CDF">
      <w:pPr>
        <w:jc w:val="center"/>
        <w:rPr>
          <w:rFonts w:ascii="Verdana" w:hAnsi="Verdana" w:cs="Arial"/>
          <w:sz w:val="28"/>
          <w:szCs w:val="28"/>
          <w:lang w:val="es-MX" w:eastAsia="es-CO"/>
        </w:rPr>
      </w:pPr>
    </w:p>
    <w:p w14:paraId="2BB36BFA" w14:textId="220BD32C" w:rsidR="13B8AE1C" w:rsidRPr="00270527" w:rsidRDefault="00710CDF" w:rsidP="00C60AB0">
      <w:pPr>
        <w:pStyle w:val="Descripcin"/>
        <w:spacing w:after="0"/>
        <w:jc w:val="center"/>
        <w:rPr>
          <w:rFonts w:ascii="Verdana" w:hAnsi="Verdana"/>
          <w:lang w:val="es-CO"/>
        </w:rPr>
      </w:pPr>
      <w:bookmarkStart w:id="430" w:name="_Toc231368676"/>
      <w:r w:rsidRPr="00270527">
        <w:rPr>
          <w:rFonts w:ascii="Verdana" w:hAnsi="Verdana"/>
          <w:sz w:val="22"/>
          <w:szCs w:val="22"/>
        </w:rPr>
        <w:t xml:space="preserve">Tabla </w:t>
      </w:r>
      <w:r w:rsidRPr="00270527">
        <w:rPr>
          <w:rFonts w:ascii="Verdana" w:hAnsi="Verdana"/>
          <w:sz w:val="22"/>
          <w:szCs w:val="22"/>
        </w:rPr>
        <w:fldChar w:fldCharType="begin"/>
      </w:r>
      <w:r w:rsidRPr="00270527">
        <w:rPr>
          <w:rFonts w:ascii="Verdana" w:hAnsi="Verdana"/>
          <w:sz w:val="22"/>
          <w:szCs w:val="22"/>
        </w:rPr>
        <w:instrText xml:space="preserve"> SEQ Tabla \* ARABIC </w:instrText>
      </w:r>
      <w:r w:rsidRPr="00270527">
        <w:rPr>
          <w:rFonts w:ascii="Verdana" w:hAnsi="Verdana"/>
          <w:sz w:val="22"/>
          <w:szCs w:val="22"/>
        </w:rPr>
        <w:fldChar w:fldCharType="separate"/>
      </w:r>
      <w:r w:rsidR="00E33AF8">
        <w:rPr>
          <w:rFonts w:ascii="Verdana" w:hAnsi="Verdana"/>
          <w:noProof/>
          <w:sz w:val="22"/>
          <w:szCs w:val="22"/>
        </w:rPr>
        <w:t>9</w:t>
      </w:r>
      <w:r w:rsidRPr="00270527">
        <w:rPr>
          <w:rFonts w:ascii="Verdana" w:hAnsi="Verdana"/>
          <w:sz w:val="22"/>
          <w:szCs w:val="22"/>
        </w:rPr>
        <w:fldChar w:fldCharType="end"/>
      </w:r>
      <w:r w:rsidRPr="00270527">
        <w:rPr>
          <w:rFonts w:ascii="Verdana" w:hAnsi="Verdana"/>
          <w:sz w:val="22"/>
          <w:szCs w:val="22"/>
        </w:rPr>
        <w:t>. Indicadores de capacidad financiera y organizacional promedio del sector. Promedio de la muestra normalizada utilizando el criterio del rango intercuartílico</w:t>
      </w:r>
      <w:bookmarkEnd w:id="430"/>
    </w:p>
    <w:tbl>
      <w:tblPr>
        <w:tblW w:w="10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6"/>
        <w:gridCol w:w="990"/>
        <w:gridCol w:w="1543"/>
        <w:gridCol w:w="1135"/>
        <w:gridCol w:w="1812"/>
        <w:gridCol w:w="1760"/>
        <w:gridCol w:w="1358"/>
        <w:gridCol w:w="1383"/>
      </w:tblGrid>
      <w:tr w:rsidR="004E7A6C" w:rsidRPr="00270527" w14:paraId="292DD73B" w14:textId="77777777" w:rsidTr="00464AC4">
        <w:trPr>
          <w:trHeight w:val="765"/>
          <w:jc w:val="center"/>
        </w:trPr>
        <w:tc>
          <w:tcPr>
            <w:tcW w:w="716" w:type="dxa"/>
            <w:shd w:val="clear" w:color="auto" w:fill="A6A6A6" w:themeFill="background1" w:themeFillShade="A6"/>
            <w:noWrap/>
            <w:vAlign w:val="center"/>
            <w:hideMark/>
          </w:tcPr>
          <w:p w14:paraId="6525E3EF" w14:textId="77777777" w:rsidR="004E7A6C" w:rsidRPr="00270527" w:rsidRDefault="004E7A6C" w:rsidP="004E7A6C">
            <w:pPr>
              <w:rPr>
                <w:rFonts w:ascii="Verdana" w:hAnsi="Verdana" w:cs="Arial"/>
                <w:color w:val="000000"/>
                <w:sz w:val="14"/>
                <w:szCs w:val="14"/>
                <w:lang w:eastAsia="es-CO"/>
              </w:rPr>
            </w:pPr>
            <w:r w:rsidRPr="00270527">
              <w:rPr>
                <w:rFonts w:ascii="Verdana" w:hAnsi="Verdana" w:cs="Arial"/>
                <w:color w:val="000000"/>
                <w:sz w:val="14"/>
                <w:szCs w:val="14"/>
                <w:lang w:eastAsia="es-CO"/>
              </w:rPr>
              <w:t> </w:t>
            </w:r>
          </w:p>
        </w:tc>
        <w:tc>
          <w:tcPr>
            <w:tcW w:w="990" w:type="dxa"/>
            <w:shd w:val="clear" w:color="auto" w:fill="A6A6A6" w:themeFill="background1" w:themeFillShade="A6"/>
            <w:vAlign w:val="center"/>
            <w:hideMark/>
          </w:tcPr>
          <w:p w14:paraId="79A62DA6" w14:textId="707365F1"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IDL</w:t>
            </w:r>
          </w:p>
        </w:tc>
        <w:tc>
          <w:tcPr>
            <w:tcW w:w="1543" w:type="dxa"/>
            <w:shd w:val="clear" w:color="auto" w:fill="A6A6A6" w:themeFill="background1" w:themeFillShade="A6"/>
            <w:vAlign w:val="center"/>
            <w:hideMark/>
          </w:tcPr>
          <w:p w14:paraId="773233BC" w14:textId="1ABD336B"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NDE</w:t>
            </w:r>
          </w:p>
        </w:tc>
        <w:tc>
          <w:tcPr>
            <w:tcW w:w="1135" w:type="dxa"/>
            <w:shd w:val="clear" w:color="auto" w:fill="A6A6A6" w:themeFill="background1" w:themeFillShade="A6"/>
            <w:vAlign w:val="center"/>
            <w:hideMark/>
          </w:tcPr>
          <w:p w14:paraId="5BF7AC01" w14:textId="74D705C8"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RCI</w:t>
            </w:r>
          </w:p>
        </w:tc>
        <w:tc>
          <w:tcPr>
            <w:tcW w:w="1812" w:type="dxa"/>
            <w:shd w:val="clear" w:color="auto" w:fill="A6A6A6" w:themeFill="background1" w:themeFillShade="A6"/>
            <w:vAlign w:val="center"/>
            <w:hideMark/>
          </w:tcPr>
          <w:p w14:paraId="478E942E" w14:textId="115A2BE2"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Capital de trabajo</w:t>
            </w:r>
          </w:p>
        </w:tc>
        <w:tc>
          <w:tcPr>
            <w:tcW w:w="1760" w:type="dxa"/>
            <w:shd w:val="clear" w:color="auto" w:fill="A6A6A6" w:themeFill="background1" w:themeFillShade="A6"/>
            <w:vAlign w:val="center"/>
            <w:hideMark/>
          </w:tcPr>
          <w:p w14:paraId="43D77F2E" w14:textId="29978107"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Patrimonio</w:t>
            </w:r>
          </w:p>
        </w:tc>
        <w:tc>
          <w:tcPr>
            <w:tcW w:w="1358" w:type="dxa"/>
            <w:shd w:val="clear" w:color="auto" w:fill="A6A6A6" w:themeFill="background1" w:themeFillShade="A6"/>
            <w:vAlign w:val="center"/>
            <w:hideMark/>
          </w:tcPr>
          <w:p w14:paraId="3D36D2B7" w14:textId="3E2D32EA"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ROE</w:t>
            </w:r>
          </w:p>
        </w:tc>
        <w:tc>
          <w:tcPr>
            <w:tcW w:w="1383" w:type="dxa"/>
            <w:shd w:val="clear" w:color="auto" w:fill="A6A6A6" w:themeFill="background1" w:themeFillShade="A6"/>
            <w:vAlign w:val="center"/>
            <w:hideMark/>
          </w:tcPr>
          <w:p w14:paraId="7B3E897F" w14:textId="166412BF" w:rsidR="004E7A6C" w:rsidRPr="00270527" w:rsidRDefault="004E7A6C" w:rsidP="004E7A6C">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ROA</w:t>
            </w:r>
          </w:p>
        </w:tc>
      </w:tr>
      <w:tr w:rsidR="00270527" w:rsidRPr="00270527" w14:paraId="441694B5" w14:textId="77777777" w:rsidTr="00464AC4">
        <w:trPr>
          <w:trHeight w:val="315"/>
          <w:jc w:val="center"/>
        </w:trPr>
        <w:tc>
          <w:tcPr>
            <w:tcW w:w="716" w:type="dxa"/>
            <w:vAlign w:val="center"/>
            <w:hideMark/>
          </w:tcPr>
          <w:p w14:paraId="5EA6C348" w14:textId="0AC0DDAF" w:rsidR="00270527" w:rsidRPr="00464AC4" w:rsidRDefault="00270527" w:rsidP="00270527">
            <w:pPr>
              <w:jc w:val="center"/>
              <w:rPr>
                <w:rFonts w:ascii="Verdana" w:hAnsi="Verdana" w:cs="Arial"/>
                <w:b/>
                <w:bCs/>
                <w:color w:val="000000"/>
                <w:sz w:val="18"/>
                <w:szCs w:val="18"/>
                <w:lang w:eastAsia="es-CO"/>
              </w:rPr>
            </w:pPr>
            <w:r w:rsidRPr="00464AC4">
              <w:rPr>
                <w:rFonts w:ascii="Verdana" w:hAnsi="Verdana" w:cs="Arial"/>
                <w:b/>
                <w:bCs/>
                <w:color w:val="000000"/>
                <w:sz w:val="18"/>
                <w:szCs w:val="18"/>
                <w:lang w:eastAsia="es-CO"/>
              </w:rPr>
              <w:t>202</w:t>
            </w:r>
            <w:r w:rsidR="00464AC4" w:rsidRPr="00464AC4">
              <w:rPr>
                <w:rFonts w:ascii="Verdana" w:hAnsi="Verdana" w:cs="Arial"/>
                <w:b/>
                <w:bCs/>
                <w:color w:val="000000"/>
                <w:sz w:val="18"/>
                <w:szCs w:val="18"/>
                <w:lang w:eastAsia="es-CO"/>
              </w:rPr>
              <w:t>5</w:t>
            </w:r>
          </w:p>
        </w:tc>
        <w:tc>
          <w:tcPr>
            <w:tcW w:w="990" w:type="dxa"/>
            <w:tcBorders>
              <w:top w:val="single" w:sz="4" w:space="0" w:color="auto"/>
              <w:left w:val="single" w:sz="4" w:space="0" w:color="auto"/>
              <w:bottom w:val="single" w:sz="4" w:space="0" w:color="auto"/>
              <w:right w:val="single" w:sz="4" w:space="0" w:color="auto"/>
            </w:tcBorders>
            <w:noWrap/>
            <w:vAlign w:val="center"/>
          </w:tcPr>
          <w:p w14:paraId="3E9E7A9F" w14:textId="7365C8D8"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13,77</w:t>
            </w:r>
          </w:p>
        </w:tc>
        <w:tc>
          <w:tcPr>
            <w:tcW w:w="1543" w:type="dxa"/>
            <w:tcBorders>
              <w:top w:val="single" w:sz="4" w:space="0" w:color="auto"/>
              <w:left w:val="nil"/>
              <w:bottom w:val="single" w:sz="4" w:space="0" w:color="auto"/>
              <w:right w:val="single" w:sz="4" w:space="0" w:color="auto"/>
            </w:tcBorders>
            <w:noWrap/>
            <w:vAlign w:val="center"/>
          </w:tcPr>
          <w:p w14:paraId="60D2FAF4" w14:textId="2DE2C956"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0,29</w:t>
            </w:r>
          </w:p>
        </w:tc>
        <w:tc>
          <w:tcPr>
            <w:tcW w:w="1135" w:type="dxa"/>
            <w:tcBorders>
              <w:top w:val="single" w:sz="4" w:space="0" w:color="auto"/>
              <w:left w:val="nil"/>
              <w:bottom w:val="single" w:sz="4" w:space="0" w:color="auto"/>
              <w:right w:val="single" w:sz="4" w:space="0" w:color="auto"/>
            </w:tcBorders>
            <w:noWrap/>
            <w:vAlign w:val="center"/>
          </w:tcPr>
          <w:p w14:paraId="18F250A3" w14:textId="3079A1FC"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96,89</w:t>
            </w:r>
          </w:p>
        </w:tc>
        <w:tc>
          <w:tcPr>
            <w:tcW w:w="1812" w:type="dxa"/>
            <w:tcBorders>
              <w:top w:val="single" w:sz="4" w:space="0" w:color="auto"/>
              <w:left w:val="nil"/>
              <w:bottom w:val="single" w:sz="4" w:space="0" w:color="auto"/>
              <w:right w:val="single" w:sz="4" w:space="0" w:color="auto"/>
            </w:tcBorders>
            <w:noWrap/>
            <w:vAlign w:val="center"/>
          </w:tcPr>
          <w:p w14:paraId="230C4992" w14:textId="7948E3B9"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$ 3.289.731.406</w:t>
            </w:r>
          </w:p>
        </w:tc>
        <w:tc>
          <w:tcPr>
            <w:tcW w:w="1760" w:type="dxa"/>
            <w:tcBorders>
              <w:top w:val="single" w:sz="4" w:space="0" w:color="auto"/>
              <w:left w:val="nil"/>
              <w:bottom w:val="single" w:sz="4" w:space="0" w:color="auto"/>
              <w:right w:val="single" w:sz="4" w:space="0" w:color="auto"/>
            </w:tcBorders>
            <w:noWrap/>
            <w:vAlign w:val="center"/>
          </w:tcPr>
          <w:p w14:paraId="296F1D0A" w14:textId="678BA7CA"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$ 3.087.394.066</w:t>
            </w:r>
          </w:p>
        </w:tc>
        <w:tc>
          <w:tcPr>
            <w:tcW w:w="1358" w:type="dxa"/>
            <w:tcBorders>
              <w:top w:val="single" w:sz="4" w:space="0" w:color="auto"/>
              <w:left w:val="nil"/>
              <w:bottom w:val="single" w:sz="4" w:space="0" w:color="auto"/>
              <w:right w:val="single" w:sz="4" w:space="0" w:color="auto"/>
            </w:tcBorders>
            <w:noWrap/>
            <w:vAlign w:val="center"/>
          </w:tcPr>
          <w:p w14:paraId="26B9C88C" w14:textId="65E7FDB7" w:rsidR="00270527" w:rsidRPr="00464AC4" w:rsidRDefault="00270527" w:rsidP="00270527">
            <w:pPr>
              <w:jc w:val="center"/>
              <w:rPr>
                <w:rFonts w:ascii="Verdana" w:hAnsi="Verdana"/>
                <w:color w:val="000000"/>
                <w:sz w:val="18"/>
                <w:szCs w:val="18"/>
              </w:rPr>
            </w:pPr>
            <w:r w:rsidRPr="00464AC4">
              <w:rPr>
                <w:rFonts w:ascii="Verdana" w:hAnsi="Verdana"/>
                <w:color w:val="000000"/>
                <w:sz w:val="18"/>
                <w:szCs w:val="18"/>
              </w:rPr>
              <w:t>0,26</w:t>
            </w:r>
          </w:p>
        </w:tc>
        <w:tc>
          <w:tcPr>
            <w:tcW w:w="1383" w:type="dxa"/>
            <w:tcBorders>
              <w:top w:val="single" w:sz="4" w:space="0" w:color="auto"/>
              <w:left w:val="nil"/>
              <w:bottom w:val="single" w:sz="4" w:space="0" w:color="auto"/>
              <w:right w:val="single" w:sz="4" w:space="0" w:color="auto"/>
            </w:tcBorders>
            <w:noWrap/>
            <w:vAlign w:val="center"/>
          </w:tcPr>
          <w:p w14:paraId="404F7A60" w14:textId="00AB1BD8" w:rsidR="00270527" w:rsidRPr="00464AC4" w:rsidRDefault="00270527" w:rsidP="00270527">
            <w:pPr>
              <w:jc w:val="center"/>
              <w:rPr>
                <w:rFonts w:ascii="Verdana" w:hAnsi="Verdana"/>
                <w:color w:val="000000"/>
                <w:sz w:val="18"/>
                <w:szCs w:val="18"/>
              </w:rPr>
            </w:pPr>
            <w:r w:rsidRPr="00464AC4">
              <w:rPr>
                <w:rFonts w:ascii="Arial Narrow" w:hAnsi="Arial Narrow"/>
                <w:color w:val="000000"/>
                <w:sz w:val="18"/>
                <w:szCs w:val="18"/>
              </w:rPr>
              <w:t>0,18</w:t>
            </w:r>
          </w:p>
        </w:tc>
      </w:tr>
    </w:tbl>
    <w:p w14:paraId="3153C9CF" w14:textId="0CC8BC84" w:rsidR="007A0AE0" w:rsidRPr="00E33AF8" w:rsidRDefault="00135B85" w:rsidP="00135B85">
      <w:pPr>
        <w:pStyle w:val="Prrafodelista"/>
        <w:spacing w:after="0"/>
        <w:ind w:left="0"/>
        <w:jc w:val="center"/>
        <w:rPr>
          <w:rFonts w:ascii="Verdana" w:hAnsi="Verdana" w:cs="Arial"/>
          <w:lang w:val="es-MX"/>
        </w:rPr>
      </w:pPr>
      <w:r w:rsidRPr="00E33AF8">
        <w:rPr>
          <w:rFonts w:ascii="Verdana" w:hAnsi="Verdana" w:cs="Arial"/>
          <w:lang w:val="es-MX"/>
        </w:rPr>
        <w:t>Fuente: Elaboración propia</w:t>
      </w:r>
    </w:p>
    <w:p w14:paraId="2E262ABB" w14:textId="77777777" w:rsidR="00135B85" w:rsidRPr="00270527" w:rsidRDefault="00135B85" w:rsidP="007A0AE0">
      <w:pPr>
        <w:jc w:val="both"/>
        <w:rPr>
          <w:rFonts w:ascii="Verdana" w:hAnsi="Verdana" w:cs="Arial"/>
          <w:sz w:val="22"/>
          <w:szCs w:val="22"/>
          <w:lang w:val="es-MX" w:eastAsia="es-CO"/>
        </w:rPr>
      </w:pPr>
    </w:p>
    <w:p w14:paraId="7671CCCF" w14:textId="579FF27B" w:rsidR="007A0AE0" w:rsidRPr="00D910C5" w:rsidRDefault="007A0AE0" w:rsidP="007A0AE0">
      <w:pPr>
        <w:jc w:val="both"/>
        <w:rPr>
          <w:rFonts w:ascii="Verdana" w:hAnsi="Verdana" w:cs="Arial"/>
          <w:sz w:val="22"/>
          <w:szCs w:val="22"/>
          <w:lang w:val="es-MX" w:eastAsia="es-CO"/>
        </w:rPr>
      </w:pPr>
      <w:r w:rsidRPr="00270527">
        <w:rPr>
          <w:rFonts w:ascii="Verdana" w:hAnsi="Verdana" w:cs="Arial"/>
          <w:sz w:val="22"/>
          <w:szCs w:val="22"/>
          <w:lang w:val="es-MX" w:eastAsia="es-CO"/>
        </w:rPr>
        <w:t xml:space="preserve">Adicionalmente, y con el objetivo de analizar el comportamiento del promedio de cada uno de los indicadores de la muestra segmentando el análisis por tamaño empresarial, se aplicó el tratamiento estadístico utilizado en el análisis anterior, obteniendo los </w:t>
      </w:r>
      <w:r w:rsidRPr="00D910C5">
        <w:rPr>
          <w:rFonts w:ascii="Verdana" w:hAnsi="Verdana" w:cs="Arial"/>
          <w:sz w:val="22"/>
          <w:szCs w:val="22"/>
          <w:lang w:val="es-MX" w:eastAsia="es-CO"/>
        </w:rPr>
        <w:t>siguientes resultados:</w:t>
      </w:r>
    </w:p>
    <w:p w14:paraId="756DF519" w14:textId="77777777" w:rsidR="00135B85" w:rsidRPr="00D910C5" w:rsidRDefault="00135B85" w:rsidP="007A0AE0">
      <w:pPr>
        <w:jc w:val="both"/>
        <w:rPr>
          <w:rFonts w:ascii="Verdana" w:hAnsi="Verdana" w:cs="Arial"/>
          <w:sz w:val="22"/>
          <w:szCs w:val="22"/>
          <w:lang w:val="es-MX" w:eastAsia="es-CO"/>
        </w:rPr>
      </w:pPr>
    </w:p>
    <w:p w14:paraId="36CDC09F" w14:textId="2787BB3C" w:rsidR="007A0AE0" w:rsidRPr="00D910C5" w:rsidRDefault="00135B85" w:rsidP="00447A32">
      <w:pPr>
        <w:pStyle w:val="Descripcin"/>
        <w:jc w:val="center"/>
        <w:rPr>
          <w:rFonts w:ascii="Verdana" w:eastAsia="Verdana Pro" w:hAnsi="Verdana" w:cs="Verdana Pro"/>
          <w:sz w:val="24"/>
          <w:szCs w:val="24"/>
          <w:lang w:val="es-MX"/>
        </w:rPr>
      </w:pPr>
      <w:bookmarkStart w:id="431" w:name="_Toc231368677"/>
      <w:r w:rsidRPr="00D910C5">
        <w:rPr>
          <w:rFonts w:ascii="Verdana" w:hAnsi="Verdana"/>
          <w:sz w:val="22"/>
          <w:szCs w:val="22"/>
        </w:rPr>
        <w:t xml:space="preserve">Tabla </w:t>
      </w:r>
      <w:r w:rsidRPr="00D910C5">
        <w:rPr>
          <w:rFonts w:ascii="Verdana" w:hAnsi="Verdana"/>
          <w:sz w:val="22"/>
          <w:szCs w:val="22"/>
        </w:rPr>
        <w:fldChar w:fldCharType="begin"/>
      </w:r>
      <w:r w:rsidRPr="00D910C5">
        <w:rPr>
          <w:rFonts w:ascii="Verdana" w:hAnsi="Verdana"/>
          <w:sz w:val="22"/>
          <w:szCs w:val="22"/>
        </w:rPr>
        <w:instrText xml:space="preserve"> SEQ Tabla \* ARABIC </w:instrText>
      </w:r>
      <w:r w:rsidRPr="00D910C5">
        <w:rPr>
          <w:rFonts w:ascii="Verdana" w:hAnsi="Verdana"/>
          <w:sz w:val="22"/>
          <w:szCs w:val="22"/>
        </w:rPr>
        <w:fldChar w:fldCharType="separate"/>
      </w:r>
      <w:r w:rsidR="00D910C5" w:rsidRPr="00D910C5">
        <w:rPr>
          <w:rFonts w:ascii="Verdana" w:hAnsi="Verdana"/>
          <w:noProof/>
          <w:sz w:val="22"/>
          <w:szCs w:val="22"/>
        </w:rPr>
        <w:t>10</w:t>
      </w:r>
      <w:r w:rsidRPr="00D910C5">
        <w:rPr>
          <w:rFonts w:ascii="Verdana" w:hAnsi="Verdana"/>
          <w:sz w:val="22"/>
          <w:szCs w:val="22"/>
        </w:rPr>
        <w:fldChar w:fldCharType="end"/>
      </w:r>
      <w:r w:rsidRPr="00D910C5">
        <w:rPr>
          <w:rFonts w:ascii="Verdana" w:hAnsi="Verdana"/>
          <w:sz w:val="22"/>
          <w:szCs w:val="22"/>
        </w:rPr>
        <w:t>. Indicadores de capacidad financiera y organizacional promedio del sector segmentado por tamaño empresarial. Promedio de la muestra normalizada utilizando el criterio del rango intercuartílico</w:t>
      </w:r>
      <w:bookmarkEnd w:id="431"/>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2"/>
        <w:gridCol w:w="1114"/>
        <w:gridCol w:w="885"/>
        <w:gridCol w:w="1134"/>
        <w:gridCol w:w="2126"/>
        <w:gridCol w:w="2126"/>
        <w:gridCol w:w="993"/>
        <w:gridCol w:w="1134"/>
      </w:tblGrid>
      <w:tr w:rsidR="00464AC4" w:rsidRPr="00D910C5" w14:paraId="788963CB" w14:textId="77777777" w:rsidTr="00032C3F">
        <w:trPr>
          <w:trHeight w:val="765"/>
          <w:tblHeader/>
          <w:jc w:val="center"/>
        </w:trPr>
        <w:tc>
          <w:tcPr>
            <w:tcW w:w="0" w:type="auto"/>
            <w:shd w:val="clear" w:color="auto" w:fill="A6A6A6" w:themeFill="background1" w:themeFillShade="A6"/>
            <w:noWrap/>
            <w:vAlign w:val="center"/>
            <w:hideMark/>
          </w:tcPr>
          <w:p w14:paraId="0E6360F1" w14:textId="40102066" w:rsidR="00464AC4" w:rsidRPr="00D910C5" w:rsidRDefault="00464AC4" w:rsidP="00464AC4">
            <w:pPr>
              <w:ind w:left="-75"/>
              <w:jc w:val="center"/>
              <w:rPr>
                <w:rFonts w:ascii="Verdana" w:hAnsi="Verdana" w:cs="Arial"/>
                <w:b/>
                <w:bCs/>
                <w:color w:val="000000"/>
                <w:sz w:val="15"/>
                <w:szCs w:val="15"/>
              </w:rPr>
            </w:pPr>
            <w:r w:rsidRPr="00464AC4">
              <w:rPr>
                <w:rFonts w:ascii="Verdana" w:hAnsi="Verdana" w:cs="Arial"/>
                <w:b/>
                <w:bCs/>
                <w:color w:val="000000"/>
                <w:sz w:val="22"/>
                <w:szCs w:val="22"/>
              </w:rPr>
              <w:t>2025</w:t>
            </w:r>
          </w:p>
        </w:tc>
        <w:tc>
          <w:tcPr>
            <w:tcW w:w="1114" w:type="dxa"/>
            <w:shd w:val="clear" w:color="auto" w:fill="A6A6A6" w:themeFill="background1" w:themeFillShade="A6"/>
            <w:vAlign w:val="center"/>
            <w:hideMark/>
          </w:tcPr>
          <w:p w14:paraId="158AB47A" w14:textId="7D16B9E3"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IDL</w:t>
            </w:r>
          </w:p>
        </w:tc>
        <w:tc>
          <w:tcPr>
            <w:tcW w:w="885" w:type="dxa"/>
            <w:shd w:val="clear" w:color="auto" w:fill="A6A6A6" w:themeFill="background1" w:themeFillShade="A6"/>
            <w:vAlign w:val="center"/>
            <w:hideMark/>
          </w:tcPr>
          <w:p w14:paraId="053A6545" w14:textId="788FFA43"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NDE</w:t>
            </w:r>
          </w:p>
        </w:tc>
        <w:tc>
          <w:tcPr>
            <w:tcW w:w="1134" w:type="dxa"/>
            <w:shd w:val="clear" w:color="auto" w:fill="A6A6A6" w:themeFill="background1" w:themeFillShade="A6"/>
            <w:vAlign w:val="center"/>
            <w:hideMark/>
          </w:tcPr>
          <w:p w14:paraId="2C4BBD58" w14:textId="5A3D3F5C"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RCI</w:t>
            </w:r>
          </w:p>
        </w:tc>
        <w:tc>
          <w:tcPr>
            <w:tcW w:w="2126" w:type="dxa"/>
            <w:shd w:val="clear" w:color="auto" w:fill="A6A6A6" w:themeFill="background1" w:themeFillShade="A6"/>
            <w:vAlign w:val="center"/>
            <w:hideMark/>
          </w:tcPr>
          <w:p w14:paraId="70AB9210" w14:textId="7D5B49CE"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Capital de trabajo</w:t>
            </w:r>
          </w:p>
        </w:tc>
        <w:tc>
          <w:tcPr>
            <w:tcW w:w="2126" w:type="dxa"/>
            <w:shd w:val="clear" w:color="auto" w:fill="A6A6A6" w:themeFill="background1" w:themeFillShade="A6"/>
            <w:vAlign w:val="center"/>
            <w:hideMark/>
          </w:tcPr>
          <w:p w14:paraId="010F5964" w14:textId="470E1558"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Patrimonio</w:t>
            </w:r>
          </w:p>
        </w:tc>
        <w:tc>
          <w:tcPr>
            <w:tcW w:w="993" w:type="dxa"/>
            <w:shd w:val="clear" w:color="auto" w:fill="A6A6A6" w:themeFill="background1" w:themeFillShade="A6"/>
            <w:vAlign w:val="center"/>
            <w:hideMark/>
          </w:tcPr>
          <w:p w14:paraId="44E50242" w14:textId="2AA942D5"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ROE</w:t>
            </w:r>
          </w:p>
        </w:tc>
        <w:tc>
          <w:tcPr>
            <w:tcW w:w="1134" w:type="dxa"/>
            <w:shd w:val="clear" w:color="auto" w:fill="A6A6A6" w:themeFill="background1" w:themeFillShade="A6"/>
            <w:vAlign w:val="center"/>
            <w:hideMark/>
          </w:tcPr>
          <w:p w14:paraId="209468E9" w14:textId="4DF44108" w:rsidR="00464AC4" w:rsidRPr="00D910C5" w:rsidRDefault="00464AC4" w:rsidP="00464AC4">
            <w:pPr>
              <w:jc w:val="center"/>
              <w:rPr>
                <w:rFonts w:ascii="Verdana" w:hAnsi="Verdana" w:cs="Arial"/>
                <w:b/>
                <w:bCs/>
                <w:color w:val="000000"/>
                <w:sz w:val="14"/>
                <w:szCs w:val="14"/>
                <w:lang w:eastAsia="es-CO"/>
              </w:rPr>
            </w:pPr>
            <w:r w:rsidRPr="00522466">
              <w:rPr>
                <w:rFonts w:ascii="Verdana" w:hAnsi="Verdana" w:cs="Arial"/>
                <w:b/>
                <w:bCs/>
                <w:color w:val="000000"/>
                <w:sz w:val="22"/>
                <w:szCs w:val="22"/>
                <w:lang w:eastAsia="es-CO"/>
              </w:rPr>
              <w:t>ROA</w:t>
            </w:r>
          </w:p>
        </w:tc>
      </w:tr>
      <w:tr w:rsidR="00D910C5" w:rsidRPr="00D910C5" w14:paraId="72E443BD" w14:textId="77777777" w:rsidTr="00464AC4">
        <w:trPr>
          <w:trHeight w:val="315"/>
          <w:jc w:val="center"/>
        </w:trPr>
        <w:tc>
          <w:tcPr>
            <w:tcW w:w="0" w:type="auto"/>
            <w:vAlign w:val="center"/>
            <w:hideMark/>
          </w:tcPr>
          <w:p w14:paraId="49C668F1" w14:textId="77777777" w:rsidR="00D910C5" w:rsidRPr="00464AC4" w:rsidRDefault="00D910C5" w:rsidP="00D910C5">
            <w:pPr>
              <w:jc w:val="center"/>
              <w:rPr>
                <w:rFonts w:ascii="Verdana" w:hAnsi="Verdana" w:cs="Arial"/>
                <w:color w:val="000000"/>
                <w:sz w:val="22"/>
                <w:szCs w:val="22"/>
              </w:rPr>
            </w:pPr>
            <w:r w:rsidRPr="00464AC4">
              <w:rPr>
                <w:rFonts w:ascii="Verdana" w:hAnsi="Verdana" w:cs="Arial"/>
                <w:color w:val="000000"/>
                <w:sz w:val="22"/>
                <w:szCs w:val="22"/>
              </w:rPr>
              <w:t>Microempresa</w:t>
            </w:r>
          </w:p>
        </w:tc>
        <w:tc>
          <w:tcPr>
            <w:tcW w:w="1114" w:type="dxa"/>
            <w:tcBorders>
              <w:top w:val="single" w:sz="4" w:space="0" w:color="auto"/>
              <w:left w:val="single" w:sz="4" w:space="0" w:color="auto"/>
              <w:bottom w:val="single" w:sz="4" w:space="0" w:color="auto"/>
              <w:right w:val="single" w:sz="4" w:space="0" w:color="auto"/>
            </w:tcBorders>
            <w:noWrap/>
            <w:vAlign w:val="center"/>
          </w:tcPr>
          <w:p w14:paraId="5BB4CBAD" w14:textId="24B70219"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19,17</w:t>
            </w:r>
          </w:p>
        </w:tc>
        <w:tc>
          <w:tcPr>
            <w:tcW w:w="885" w:type="dxa"/>
            <w:tcBorders>
              <w:top w:val="single" w:sz="4" w:space="0" w:color="auto"/>
              <w:left w:val="nil"/>
              <w:bottom w:val="single" w:sz="4" w:space="0" w:color="auto"/>
              <w:right w:val="single" w:sz="4" w:space="0" w:color="auto"/>
            </w:tcBorders>
            <w:noWrap/>
            <w:vAlign w:val="center"/>
          </w:tcPr>
          <w:p w14:paraId="41F69BCA" w14:textId="1BD8486F"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0,21</w:t>
            </w:r>
          </w:p>
        </w:tc>
        <w:tc>
          <w:tcPr>
            <w:tcW w:w="1134" w:type="dxa"/>
            <w:tcBorders>
              <w:top w:val="single" w:sz="4" w:space="0" w:color="auto"/>
              <w:left w:val="nil"/>
              <w:bottom w:val="single" w:sz="4" w:space="0" w:color="auto"/>
              <w:right w:val="single" w:sz="4" w:space="0" w:color="auto"/>
            </w:tcBorders>
            <w:noWrap/>
            <w:vAlign w:val="center"/>
          </w:tcPr>
          <w:p w14:paraId="2CC37C76" w14:textId="535F8B83"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147,61</w:t>
            </w:r>
          </w:p>
        </w:tc>
        <w:tc>
          <w:tcPr>
            <w:tcW w:w="2126" w:type="dxa"/>
            <w:tcBorders>
              <w:top w:val="single" w:sz="4" w:space="0" w:color="auto"/>
              <w:left w:val="nil"/>
              <w:bottom w:val="single" w:sz="4" w:space="0" w:color="auto"/>
              <w:right w:val="single" w:sz="4" w:space="0" w:color="auto"/>
            </w:tcBorders>
            <w:noWrap/>
            <w:vAlign w:val="center"/>
          </w:tcPr>
          <w:p w14:paraId="628A79CE" w14:textId="1377FB7B"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$ 1.184.113.573</w:t>
            </w:r>
          </w:p>
        </w:tc>
        <w:tc>
          <w:tcPr>
            <w:tcW w:w="2126" w:type="dxa"/>
            <w:tcBorders>
              <w:top w:val="single" w:sz="4" w:space="0" w:color="auto"/>
              <w:left w:val="nil"/>
              <w:bottom w:val="single" w:sz="4" w:space="0" w:color="auto"/>
              <w:right w:val="single" w:sz="4" w:space="0" w:color="auto"/>
            </w:tcBorders>
            <w:noWrap/>
            <w:vAlign w:val="center"/>
          </w:tcPr>
          <w:p w14:paraId="756FC3DA" w14:textId="7CF75DD2"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$ 1.092.065.509</w:t>
            </w:r>
          </w:p>
        </w:tc>
        <w:tc>
          <w:tcPr>
            <w:tcW w:w="993" w:type="dxa"/>
            <w:tcBorders>
              <w:top w:val="single" w:sz="4" w:space="0" w:color="auto"/>
              <w:left w:val="nil"/>
              <w:bottom w:val="single" w:sz="4" w:space="0" w:color="auto"/>
              <w:right w:val="single" w:sz="4" w:space="0" w:color="auto"/>
            </w:tcBorders>
            <w:noWrap/>
            <w:vAlign w:val="center"/>
          </w:tcPr>
          <w:p w14:paraId="5BB9713D" w14:textId="38D72DB6"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0,25</w:t>
            </w:r>
          </w:p>
        </w:tc>
        <w:tc>
          <w:tcPr>
            <w:tcW w:w="1134" w:type="dxa"/>
            <w:tcBorders>
              <w:top w:val="single" w:sz="4" w:space="0" w:color="auto"/>
              <w:left w:val="nil"/>
              <w:bottom w:val="single" w:sz="4" w:space="0" w:color="auto"/>
              <w:right w:val="single" w:sz="4" w:space="0" w:color="auto"/>
            </w:tcBorders>
            <w:noWrap/>
            <w:vAlign w:val="center"/>
          </w:tcPr>
          <w:p w14:paraId="743A127D" w14:textId="320172AA"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0,17</w:t>
            </w:r>
          </w:p>
        </w:tc>
      </w:tr>
      <w:tr w:rsidR="00D910C5" w:rsidRPr="00D910C5" w14:paraId="74BB0AF7" w14:textId="77777777" w:rsidTr="00464AC4">
        <w:trPr>
          <w:trHeight w:val="315"/>
          <w:jc w:val="center"/>
        </w:trPr>
        <w:tc>
          <w:tcPr>
            <w:tcW w:w="0" w:type="auto"/>
            <w:vAlign w:val="center"/>
          </w:tcPr>
          <w:p w14:paraId="3A078D17" w14:textId="77777777" w:rsidR="00D910C5" w:rsidRPr="00464AC4" w:rsidRDefault="00D910C5" w:rsidP="00D910C5">
            <w:pPr>
              <w:jc w:val="center"/>
              <w:rPr>
                <w:rFonts w:ascii="Verdana" w:hAnsi="Verdana" w:cs="Arial"/>
                <w:color w:val="000000"/>
                <w:sz w:val="22"/>
                <w:szCs w:val="22"/>
              </w:rPr>
            </w:pPr>
            <w:r w:rsidRPr="00464AC4">
              <w:rPr>
                <w:rFonts w:ascii="Verdana" w:hAnsi="Verdana" w:cs="Arial"/>
                <w:color w:val="000000"/>
                <w:sz w:val="22"/>
                <w:szCs w:val="22"/>
              </w:rPr>
              <w:t>Pequeña</w:t>
            </w:r>
          </w:p>
        </w:tc>
        <w:tc>
          <w:tcPr>
            <w:tcW w:w="1114" w:type="dxa"/>
            <w:tcBorders>
              <w:top w:val="nil"/>
              <w:left w:val="single" w:sz="4" w:space="0" w:color="auto"/>
              <w:bottom w:val="single" w:sz="4" w:space="0" w:color="auto"/>
              <w:right w:val="single" w:sz="4" w:space="0" w:color="auto"/>
            </w:tcBorders>
            <w:noWrap/>
            <w:vAlign w:val="center"/>
          </w:tcPr>
          <w:p w14:paraId="4EBC86B1" w14:textId="7C98AB89"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13,85</w:t>
            </w:r>
          </w:p>
        </w:tc>
        <w:tc>
          <w:tcPr>
            <w:tcW w:w="885" w:type="dxa"/>
            <w:tcBorders>
              <w:top w:val="nil"/>
              <w:left w:val="nil"/>
              <w:bottom w:val="single" w:sz="4" w:space="0" w:color="auto"/>
              <w:right w:val="single" w:sz="4" w:space="0" w:color="auto"/>
            </w:tcBorders>
            <w:noWrap/>
            <w:vAlign w:val="center"/>
          </w:tcPr>
          <w:p w14:paraId="31881E40" w14:textId="07F9A76D"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0,29</w:t>
            </w:r>
          </w:p>
        </w:tc>
        <w:tc>
          <w:tcPr>
            <w:tcW w:w="1134" w:type="dxa"/>
            <w:tcBorders>
              <w:top w:val="nil"/>
              <w:left w:val="nil"/>
              <w:bottom w:val="single" w:sz="4" w:space="0" w:color="auto"/>
              <w:right w:val="single" w:sz="4" w:space="0" w:color="auto"/>
            </w:tcBorders>
            <w:noWrap/>
            <w:vAlign w:val="center"/>
          </w:tcPr>
          <w:p w14:paraId="4DFD50F2" w14:textId="0F98AF6E"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75,77</w:t>
            </w:r>
          </w:p>
        </w:tc>
        <w:tc>
          <w:tcPr>
            <w:tcW w:w="2126" w:type="dxa"/>
            <w:tcBorders>
              <w:top w:val="nil"/>
              <w:left w:val="nil"/>
              <w:bottom w:val="single" w:sz="4" w:space="0" w:color="auto"/>
              <w:right w:val="single" w:sz="4" w:space="0" w:color="auto"/>
            </w:tcBorders>
            <w:noWrap/>
            <w:vAlign w:val="center"/>
          </w:tcPr>
          <w:p w14:paraId="0A1729A3" w14:textId="6F8ED697"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$ 2.387.607.252</w:t>
            </w:r>
          </w:p>
        </w:tc>
        <w:tc>
          <w:tcPr>
            <w:tcW w:w="2126" w:type="dxa"/>
            <w:tcBorders>
              <w:top w:val="nil"/>
              <w:left w:val="nil"/>
              <w:bottom w:val="single" w:sz="4" w:space="0" w:color="auto"/>
              <w:right w:val="single" w:sz="4" w:space="0" w:color="auto"/>
            </w:tcBorders>
            <w:noWrap/>
            <w:vAlign w:val="center"/>
          </w:tcPr>
          <w:p w14:paraId="35A4FDE6" w14:textId="55CB5192"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$ 2.368.115.735</w:t>
            </w:r>
          </w:p>
        </w:tc>
        <w:tc>
          <w:tcPr>
            <w:tcW w:w="993" w:type="dxa"/>
            <w:tcBorders>
              <w:top w:val="nil"/>
              <w:left w:val="nil"/>
              <w:bottom w:val="single" w:sz="4" w:space="0" w:color="auto"/>
              <w:right w:val="single" w:sz="4" w:space="0" w:color="auto"/>
            </w:tcBorders>
            <w:noWrap/>
            <w:vAlign w:val="center"/>
          </w:tcPr>
          <w:p w14:paraId="15AD366D" w14:textId="74052B79"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0,25</w:t>
            </w:r>
          </w:p>
        </w:tc>
        <w:tc>
          <w:tcPr>
            <w:tcW w:w="1134" w:type="dxa"/>
            <w:tcBorders>
              <w:top w:val="nil"/>
              <w:left w:val="nil"/>
              <w:bottom w:val="single" w:sz="4" w:space="0" w:color="auto"/>
              <w:right w:val="single" w:sz="4" w:space="0" w:color="auto"/>
            </w:tcBorders>
            <w:noWrap/>
            <w:vAlign w:val="center"/>
          </w:tcPr>
          <w:p w14:paraId="310DAD38" w14:textId="0561AE35"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0,17</w:t>
            </w:r>
          </w:p>
        </w:tc>
      </w:tr>
      <w:tr w:rsidR="00D910C5" w:rsidRPr="00D910C5" w14:paraId="193EE16E" w14:textId="77777777" w:rsidTr="00464AC4">
        <w:trPr>
          <w:trHeight w:val="315"/>
          <w:jc w:val="center"/>
        </w:trPr>
        <w:tc>
          <w:tcPr>
            <w:tcW w:w="0" w:type="auto"/>
            <w:vAlign w:val="center"/>
          </w:tcPr>
          <w:p w14:paraId="46A0ACD3" w14:textId="77777777" w:rsidR="00D910C5" w:rsidRPr="00464AC4" w:rsidRDefault="00D910C5" w:rsidP="00D910C5">
            <w:pPr>
              <w:jc w:val="center"/>
              <w:rPr>
                <w:rFonts w:ascii="Verdana" w:hAnsi="Verdana" w:cs="Arial"/>
                <w:color w:val="000000"/>
                <w:sz w:val="22"/>
                <w:szCs w:val="22"/>
              </w:rPr>
            </w:pPr>
            <w:r w:rsidRPr="00464AC4">
              <w:rPr>
                <w:rFonts w:ascii="Verdana" w:hAnsi="Verdana" w:cs="Arial"/>
                <w:color w:val="000000"/>
                <w:sz w:val="22"/>
                <w:szCs w:val="22"/>
              </w:rPr>
              <w:lastRenderedPageBreak/>
              <w:t>Mediana</w:t>
            </w:r>
          </w:p>
        </w:tc>
        <w:tc>
          <w:tcPr>
            <w:tcW w:w="1114" w:type="dxa"/>
            <w:tcBorders>
              <w:top w:val="nil"/>
              <w:left w:val="single" w:sz="4" w:space="0" w:color="auto"/>
              <w:bottom w:val="single" w:sz="4" w:space="0" w:color="auto"/>
              <w:right w:val="single" w:sz="4" w:space="0" w:color="auto"/>
            </w:tcBorders>
            <w:noWrap/>
            <w:vAlign w:val="center"/>
          </w:tcPr>
          <w:p w14:paraId="1D1307AD" w14:textId="0F64D470"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12,45</w:t>
            </w:r>
          </w:p>
        </w:tc>
        <w:tc>
          <w:tcPr>
            <w:tcW w:w="885" w:type="dxa"/>
            <w:tcBorders>
              <w:top w:val="nil"/>
              <w:left w:val="nil"/>
              <w:bottom w:val="single" w:sz="4" w:space="0" w:color="auto"/>
              <w:right w:val="single" w:sz="4" w:space="0" w:color="auto"/>
            </w:tcBorders>
            <w:noWrap/>
            <w:vAlign w:val="center"/>
          </w:tcPr>
          <w:p w14:paraId="7E1A3656" w14:textId="2A369478"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0,34</w:t>
            </w:r>
          </w:p>
        </w:tc>
        <w:tc>
          <w:tcPr>
            <w:tcW w:w="1134" w:type="dxa"/>
            <w:tcBorders>
              <w:top w:val="nil"/>
              <w:left w:val="nil"/>
              <w:bottom w:val="single" w:sz="4" w:space="0" w:color="auto"/>
              <w:right w:val="single" w:sz="4" w:space="0" w:color="auto"/>
            </w:tcBorders>
            <w:noWrap/>
            <w:vAlign w:val="center"/>
          </w:tcPr>
          <w:p w14:paraId="4EA36DD0" w14:textId="0AEA99E3"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97,92</w:t>
            </w:r>
          </w:p>
        </w:tc>
        <w:tc>
          <w:tcPr>
            <w:tcW w:w="2126" w:type="dxa"/>
            <w:tcBorders>
              <w:top w:val="nil"/>
              <w:left w:val="nil"/>
              <w:bottom w:val="single" w:sz="4" w:space="0" w:color="auto"/>
              <w:right w:val="single" w:sz="4" w:space="0" w:color="auto"/>
            </w:tcBorders>
            <w:noWrap/>
            <w:vAlign w:val="center"/>
          </w:tcPr>
          <w:p w14:paraId="6EB8A60B" w14:textId="651E4838"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$ 5.706.827.914</w:t>
            </w:r>
          </w:p>
        </w:tc>
        <w:tc>
          <w:tcPr>
            <w:tcW w:w="2126" w:type="dxa"/>
            <w:tcBorders>
              <w:top w:val="nil"/>
              <w:left w:val="nil"/>
              <w:bottom w:val="single" w:sz="4" w:space="0" w:color="auto"/>
              <w:right w:val="single" w:sz="4" w:space="0" w:color="auto"/>
            </w:tcBorders>
            <w:noWrap/>
            <w:vAlign w:val="center"/>
          </w:tcPr>
          <w:p w14:paraId="3CC6D9E6" w14:textId="55C5735F"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$ 5.289.096.091</w:t>
            </w:r>
          </w:p>
        </w:tc>
        <w:tc>
          <w:tcPr>
            <w:tcW w:w="993" w:type="dxa"/>
            <w:tcBorders>
              <w:top w:val="nil"/>
              <w:left w:val="nil"/>
              <w:bottom w:val="single" w:sz="4" w:space="0" w:color="auto"/>
              <w:right w:val="single" w:sz="4" w:space="0" w:color="auto"/>
            </w:tcBorders>
            <w:noWrap/>
            <w:vAlign w:val="center"/>
          </w:tcPr>
          <w:p w14:paraId="33A22798" w14:textId="12E7D3FD"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0,30</w:t>
            </w:r>
          </w:p>
        </w:tc>
        <w:tc>
          <w:tcPr>
            <w:tcW w:w="1134" w:type="dxa"/>
            <w:tcBorders>
              <w:top w:val="nil"/>
              <w:left w:val="nil"/>
              <w:bottom w:val="single" w:sz="4" w:space="0" w:color="auto"/>
              <w:right w:val="single" w:sz="4" w:space="0" w:color="auto"/>
            </w:tcBorders>
            <w:noWrap/>
            <w:vAlign w:val="center"/>
          </w:tcPr>
          <w:p w14:paraId="6ED5C04B" w14:textId="62BC4788"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0,20</w:t>
            </w:r>
          </w:p>
        </w:tc>
      </w:tr>
      <w:tr w:rsidR="00D910C5" w:rsidRPr="00D910C5" w14:paraId="400F3890" w14:textId="77777777" w:rsidTr="00464AC4">
        <w:trPr>
          <w:trHeight w:val="315"/>
          <w:jc w:val="center"/>
        </w:trPr>
        <w:tc>
          <w:tcPr>
            <w:tcW w:w="0" w:type="auto"/>
            <w:vAlign w:val="center"/>
          </w:tcPr>
          <w:p w14:paraId="1C5AE6E5" w14:textId="77777777" w:rsidR="00D910C5" w:rsidRPr="00464AC4" w:rsidRDefault="00D910C5" w:rsidP="00D910C5">
            <w:pPr>
              <w:jc w:val="center"/>
              <w:rPr>
                <w:rFonts w:ascii="Verdana" w:hAnsi="Verdana" w:cs="Arial"/>
                <w:color w:val="000000"/>
                <w:sz w:val="22"/>
                <w:szCs w:val="22"/>
              </w:rPr>
            </w:pPr>
            <w:r w:rsidRPr="00464AC4">
              <w:rPr>
                <w:rFonts w:ascii="Verdana" w:hAnsi="Verdana" w:cs="Arial"/>
                <w:color w:val="000000"/>
                <w:sz w:val="22"/>
                <w:szCs w:val="22"/>
              </w:rPr>
              <w:t>Gran empresa</w:t>
            </w:r>
          </w:p>
        </w:tc>
        <w:tc>
          <w:tcPr>
            <w:tcW w:w="1114" w:type="dxa"/>
            <w:tcBorders>
              <w:top w:val="nil"/>
              <w:left w:val="single" w:sz="4" w:space="0" w:color="auto"/>
              <w:bottom w:val="single" w:sz="4" w:space="0" w:color="auto"/>
              <w:right w:val="single" w:sz="4" w:space="0" w:color="auto"/>
            </w:tcBorders>
            <w:noWrap/>
            <w:vAlign w:val="center"/>
          </w:tcPr>
          <w:p w14:paraId="66589FED" w14:textId="6C111634"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7,12</w:t>
            </w:r>
          </w:p>
        </w:tc>
        <w:tc>
          <w:tcPr>
            <w:tcW w:w="885" w:type="dxa"/>
            <w:tcBorders>
              <w:top w:val="nil"/>
              <w:left w:val="nil"/>
              <w:bottom w:val="single" w:sz="4" w:space="0" w:color="auto"/>
              <w:right w:val="single" w:sz="4" w:space="0" w:color="auto"/>
            </w:tcBorders>
            <w:noWrap/>
            <w:vAlign w:val="center"/>
          </w:tcPr>
          <w:p w14:paraId="70FC44E6" w14:textId="668DB503"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0,37</w:t>
            </w:r>
          </w:p>
        </w:tc>
        <w:tc>
          <w:tcPr>
            <w:tcW w:w="1134" w:type="dxa"/>
            <w:tcBorders>
              <w:top w:val="nil"/>
              <w:left w:val="nil"/>
              <w:bottom w:val="single" w:sz="4" w:space="0" w:color="auto"/>
              <w:right w:val="single" w:sz="4" w:space="0" w:color="auto"/>
            </w:tcBorders>
            <w:noWrap/>
            <w:vAlign w:val="center"/>
          </w:tcPr>
          <w:p w14:paraId="18EC2AC9" w14:textId="6566121F"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70,89</w:t>
            </w:r>
          </w:p>
        </w:tc>
        <w:tc>
          <w:tcPr>
            <w:tcW w:w="2126" w:type="dxa"/>
            <w:tcBorders>
              <w:top w:val="nil"/>
              <w:left w:val="nil"/>
              <w:bottom w:val="single" w:sz="4" w:space="0" w:color="auto"/>
              <w:right w:val="single" w:sz="4" w:space="0" w:color="auto"/>
            </w:tcBorders>
            <w:noWrap/>
            <w:vAlign w:val="center"/>
          </w:tcPr>
          <w:p w14:paraId="373224FB" w14:textId="17D22DE5"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$ 8.973.595.009</w:t>
            </w:r>
          </w:p>
        </w:tc>
        <w:tc>
          <w:tcPr>
            <w:tcW w:w="2126" w:type="dxa"/>
            <w:tcBorders>
              <w:top w:val="nil"/>
              <w:left w:val="nil"/>
              <w:bottom w:val="single" w:sz="4" w:space="0" w:color="auto"/>
              <w:right w:val="single" w:sz="4" w:space="0" w:color="auto"/>
            </w:tcBorders>
            <w:noWrap/>
            <w:vAlign w:val="center"/>
          </w:tcPr>
          <w:p w14:paraId="19C1815C" w14:textId="75375C9D"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$ 8.731.873.873</w:t>
            </w:r>
          </w:p>
        </w:tc>
        <w:tc>
          <w:tcPr>
            <w:tcW w:w="993" w:type="dxa"/>
            <w:tcBorders>
              <w:top w:val="nil"/>
              <w:left w:val="nil"/>
              <w:bottom w:val="single" w:sz="4" w:space="0" w:color="auto"/>
              <w:right w:val="single" w:sz="4" w:space="0" w:color="auto"/>
            </w:tcBorders>
            <w:noWrap/>
            <w:vAlign w:val="center"/>
          </w:tcPr>
          <w:p w14:paraId="2F8C6789" w14:textId="67E8FC9A"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0,26</w:t>
            </w:r>
          </w:p>
        </w:tc>
        <w:tc>
          <w:tcPr>
            <w:tcW w:w="1134" w:type="dxa"/>
            <w:tcBorders>
              <w:top w:val="nil"/>
              <w:left w:val="nil"/>
              <w:bottom w:val="single" w:sz="4" w:space="0" w:color="auto"/>
              <w:right w:val="single" w:sz="4" w:space="0" w:color="auto"/>
            </w:tcBorders>
            <w:noWrap/>
            <w:vAlign w:val="center"/>
          </w:tcPr>
          <w:p w14:paraId="386CC6B1" w14:textId="702F8CAA" w:rsidR="00D910C5" w:rsidRPr="00464AC4" w:rsidRDefault="00D910C5" w:rsidP="00D910C5">
            <w:pPr>
              <w:jc w:val="center"/>
              <w:rPr>
                <w:rFonts w:ascii="Verdana" w:hAnsi="Verdana"/>
                <w:color w:val="000000"/>
                <w:sz w:val="22"/>
                <w:szCs w:val="22"/>
              </w:rPr>
            </w:pPr>
            <w:r w:rsidRPr="00464AC4">
              <w:rPr>
                <w:rFonts w:ascii="Verdana" w:hAnsi="Verdana"/>
                <w:color w:val="000000"/>
                <w:sz w:val="22"/>
                <w:szCs w:val="22"/>
              </w:rPr>
              <w:t>0,17</w:t>
            </w:r>
          </w:p>
        </w:tc>
      </w:tr>
    </w:tbl>
    <w:p w14:paraId="4DBAA767" w14:textId="77777777" w:rsidR="00135B85" w:rsidRPr="00032C3F" w:rsidRDefault="00135B85" w:rsidP="00135B85">
      <w:pPr>
        <w:pStyle w:val="Prrafodelista"/>
        <w:spacing w:after="0"/>
        <w:ind w:left="0"/>
        <w:jc w:val="center"/>
        <w:rPr>
          <w:rFonts w:ascii="Verdana" w:hAnsi="Verdana" w:cs="Arial"/>
          <w:lang w:val="es-MX"/>
        </w:rPr>
      </w:pPr>
      <w:r w:rsidRPr="00032C3F">
        <w:rPr>
          <w:rFonts w:ascii="Verdana" w:hAnsi="Verdana" w:cs="Arial"/>
          <w:lang w:val="es-MX"/>
        </w:rPr>
        <w:t>Fuente: Elaboración propia</w:t>
      </w:r>
    </w:p>
    <w:p w14:paraId="22F9B1FF" w14:textId="77777777" w:rsidR="007A0AE0" w:rsidRPr="00611315" w:rsidRDefault="007A0AE0" w:rsidP="007A0AE0">
      <w:pPr>
        <w:jc w:val="both"/>
        <w:rPr>
          <w:rFonts w:ascii="Verdana" w:hAnsi="Verdana" w:cs="Arial"/>
          <w:highlight w:val="yellow"/>
          <w:lang w:val="es-MX" w:eastAsia="es-CO"/>
        </w:rPr>
      </w:pPr>
    </w:p>
    <w:p w14:paraId="48DF802E" w14:textId="77777777" w:rsidR="00D910C5" w:rsidRDefault="00D910C5" w:rsidP="007A0AE0">
      <w:pPr>
        <w:jc w:val="both"/>
        <w:rPr>
          <w:rFonts w:ascii="Verdana" w:hAnsi="Verdana" w:cs="Arial"/>
          <w:sz w:val="22"/>
          <w:szCs w:val="22"/>
          <w:highlight w:val="yellow"/>
          <w:lang w:val="es-MX" w:eastAsia="es-CO"/>
        </w:rPr>
      </w:pPr>
    </w:p>
    <w:p w14:paraId="602E5AA0" w14:textId="6A7C97FC" w:rsidR="007A0AE0" w:rsidRPr="00FB5E71" w:rsidRDefault="007A0AE0" w:rsidP="007A0AE0">
      <w:pPr>
        <w:jc w:val="both"/>
        <w:rPr>
          <w:rFonts w:ascii="Verdana" w:hAnsi="Verdana" w:cs="Arial"/>
          <w:sz w:val="22"/>
          <w:szCs w:val="22"/>
          <w:lang w:val="es-MX" w:eastAsia="es-CO"/>
        </w:rPr>
      </w:pPr>
      <w:r w:rsidRPr="00FB5E71">
        <w:rPr>
          <w:rFonts w:ascii="Verdana" w:hAnsi="Verdana" w:cs="Arial"/>
          <w:sz w:val="22"/>
          <w:szCs w:val="22"/>
          <w:lang w:val="es-MX" w:eastAsia="es-CO"/>
        </w:rPr>
        <w:t xml:space="preserve">Complementando el análisis anterior, y con el objetivo de evidenciar la distribución de los indicadores en el marco de unos rangos de análisis definidos, a </w:t>
      </w:r>
      <w:proofErr w:type="gramStart"/>
      <w:r w:rsidRPr="00FB5E71">
        <w:rPr>
          <w:rFonts w:ascii="Verdana" w:hAnsi="Verdana" w:cs="Arial"/>
          <w:sz w:val="22"/>
          <w:szCs w:val="22"/>
          <w:lang w:val="es-MX" w:eastAsia="es-CO"/>
        </w:rPr>
        <w:t>continuación</w:t>
      </w:r>
      <w:proofErr w:type="gramEnd"/>
      <w:r w:rsidRPr="00FB5E71">
        <w:rPr>
          <w:rFonts w:ascii="Verdana" w:hAnsi="Verdana" w:cs="Arial"/>
          <w:sz w:val="22"/>
          <w:szCs w:val="22"/>
          <w:lang w:val="es-MX" w:eastAsia="es-CO"/>
        </w:rPr>
        <w:t xml:space="preserve"> se presenta por cada indicador de capacidad financiera y organizacional, un histograma para evidenciar la frecuencia de cada uno de ellos:</w:t>
      </w:r>
    </w:p>
    <w:p w14:paraId="278D9B29" w14:textId="77777777" w:rsidR="00FB5E71" w:rsidRDefault="00FB5E71" w:rsidP="007A0AE0">
      <w:pPr>
        <w:jc w:val="both"/>
        <w:rPr>
          <w:rFonts w:ascii="Verdana" w:hAnsi="Verdana" w:cs="Arial"/>
          <w:sz w:val="22"/>
          <w:szCs w:val="22"/>
          <w:highlight w:val="yellow"/>
          <w:lang w:val="es-MX" w:eastAsia="es-CO"/>
        </w:rPr>
      </w:pPr>
    </w:p>
    <w:p w14:paraId="6D57A7E7" w14:textId="77777777" w:rsidR="007A0AE0" w:rsidRPr="00611315" w:rsidRDefault="007A0AE0" w:rsidP="007A0AE0">
      <w:pPr>
        <w:jc w:val="both"/>
        <w:rPr>
          <w:rFonts w:ascii="Verdana" w:hAnsi="Verdana" w:cs="Arial"/>
          <w:sz w:val="22"/>
          <w:szCs w:val="22"/>
          <w:highlight w:val="yellow"/>
          <w:lang w:val="es-MX" w:eastAsia="es-CO"/>
        </w:rPr>
      </w:pPr>
    </w:p>
    <w:p w14:paraId="56D14BD1" w14:textId="73BDBF02" w:rsidR="007A0AE0" w:rsidRPr="001614A2" w:rsidRDefault="00135B85" w:rsidP="00135B85">
      <w:pPr>
        <w:pStyle w:val="Descripcin"/>
        <w:spacing w:after="0"/>
        <w:jc w:val="center"/>
        <w:rPr>
          <w:rFonts w:ascii="Verdana" w:hAnsi="Verdana" w:cs="Arial"/>
          <w:sz w:val="24"/>
          <w:szCs w:val="24"/>
          <w:lang w:val="es-CO" w:eastAsia="es-CO"/>
        </w:rPr>
      </w:pPr>
      <w:bookmarkStart w:id="432" w:name="_Toc231368805"/>
      <w:r w:rsidRPr="001614A2">
        <w:rPr>
          <w:rFonts w:ascii="Verdana" w:hAnsi="Verdana"/>
          <w:sz w:val="22"/>
          <w:szCs w:val="22"/>
        </w:rPr>
        <w:t xml:space="preserve">Gráfica </w:t>
      </w:r>
      <w:r w:rsidRPr="001614A2">
        <w:rPr>
          <w:rFonts w:ascii="Verdana" w:hAnsi="Verdana"/>
          <w:sz w:val="22"/>
          <w:szCs w:val="22"/>
        </w:rPr>
        <w:fldChar w:fldCharType="begin"/>
      </w:r>
      <w:r w:rsidRPr="001614A2">
        <w:rPr>
          <w:rFonts w:ascii="Verdana" w:hAnsi="Verdana"/>
          <w:sz w:val="22"/>
          <w:szCs w:val="22"/>
        </w:rPr>
        <w:instrText xml:space="preserve"> SEQ Gráfica \* ARABIC </w:instrText>
      </w:r>
      <w:r w:rsidRPr="001614A2">
        <w:rPr>
          <w:rFonts w:ascii="Verdana" w:hAnsi="Verdana"/>
          <w:sz w:val="22"/>
          <w:szCs w:val="22"/>
        </w:rPr>
        <w:fldChar w:fldCharType="separate"/>
      </w:r>
      <w:r w:rsidR="00973CF5">
        <w:rPr>
          <w:rFonts w:ascii="Verdana" w:hAnsi="Verdana"/>
          <w:noProof/>
          <w:sz w:val="22"/>
          <w:szCs w:val="22"/>
        </w:rPr>
        <w:t>30</w:t>
      </w:r>
      <w:r w:rsidRPr="001614A2">
        <w:rPr>
          <w:rFonts w:ascii="Verdana" w:hAnsi="Verdana"/>
          <w:sz w:val="22"/>
          <w:szCs w:val="22"/>
        </w:rPr>
        <w:fldChar w:fldCharType="end"/>
      </w:r>
      <w:r w:rsidRPr="001614A2">
        <w:rPr>
          <w:rFonts w:ascii="Verdana" w:hAnsi="Verdana"/>
          <w:sz w:val="22"/>
          <w:szCs w:val="22"/>
        </w:rPr>
        <w:t>. Índice de liquidez</w:t>
      </w:r>
      <w:bookmarkEnd w:id="432"/>
    </w:p>
    <w:p w14:paraId="3656775B" w14:textId="440F8932" w:rsidR="007A0AE0" w:rsidRDefault="007A0AE0" w:rsidP="007A0AE0">
      <w:pPr>
        <w:jc w:val="center"/>
        <w:rPr>
          <w:rFonts w:ascii="Verdana" w:hAnsi="Verdana"/>
          <w:noProof/>
          <w:highlight w:val="yellow"/>
        </w:rPr>
      </w:pPr>
    </w:p>
    <w:p w14:paraId="1673BA0E" w14:textId="3BB5F3FF" w:rsidR="001614A2" w:rsidRDefault="001614A2" w:rsidP="007A0AE0">
      <w:pPr>
        <w:jc w:val="center"/>
        <w:rPr>
          <w:rFonts w:ascii="Verdana" w:hAnsi="Verdana"/>
          <w:noProof/>
          <w:highlight w:val="yellow"/>
        </w:rPr>
      </w:pPr>
      <w:r>
        <w:rPr>
          <w:noProof/>
        </w:rPr>
        <w:drawing>
          <wp:inline distT="0" distB="0" distL="0" distR="0" wp14:anchorId="4E5E3E99" wp14:editId="0DB4F50A">
            <wp:extent cx="5866765" cy="2232561"/>
            <wp:effectExtent l="0" t="0" r="635" b="15875"/>
            <wp:docPr id="536272182" name="Gráfico 1">
              <a:extLst xmlns:a="http://schemas.openxmlformats.org/drawingml/2006/main">
                <a:ext uri="{FF2B5EF4-FFF2-40B4-BE49-F238E27FC236}">
                  <a16:creationId xmlns:a16="http://schemas.microsoft.com/office/drawing/2014/main" id="{93B8E7D6-7267-4315-A674-3A5E8093F9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E2D9D26" w14:textId="33EEC1FA" w:rsidR="007A0AE0" w:rsidRPr="00032C3F" w:rsidRDefault="001614A2" w:rsidP="007A0AE0">
      <w:pPr>
        <w:jc w:val="center"/>
        <w:rPr>
          <w:rFonts w:ascii="Verdana" w:hAnsi="Verdana" w:cs="Arial"/>
          <w:sz w:val="22"/>
          <w:szCs w:val="22"/>
          <w:lang w:val="es-MX" w:eastAsia="es-CO"/>
        </w:rPr>
      </w:pPr>
      <w:r w:rsidRPr="00032C3F">
        <w:rPr>
          <w:rFonts w:ascii="Verdana" w:hAnsi="Verdana" w:cs="Arial"/>
          <w:b/>
          <w:bCs/>
          <w:sz w:val="22"/>
          <w:szCs w:val="22"/>
          <w:lang w:val="es-MX" w:eastAsia="es-CO"/>
        </w:rPr>
        <w:t>Fuente</w:t>
      </w:r>
      <w:r w:rsidRPr="00032C3F">
        <w:rPr>
          <w:rFonts w:ascii="Verdana" w:hAnsi="Verdana" w:cs="Arial"/>
          <w:sz w:val="22"/>
          <w:szCs w:val="22"/>
          <w:lang w:val="es-MX" w:eastAsia="es-CO"/>
        </w:rPr>
        <w:t xml:space="preserve">: </w:t>
      </w:r>
      <w:r w:rsidR="007A0AE0" w:rsidRPr="00032C3F">
        <w:rPr>
          <w:rFonts w:ascii="Verdana" w:hAnsi="Verdana" w:cs="Arial"/>
          <w:sz w:val="22"/>
          <w:szCs w:val="22"/>
          <w:lang w:val="es-MX" w:eastAsia="es-CO"/>
        </w:rPr>
        <w:t>Elaboración propia</w:t>
      </w:r>
    </w:p>
    <w:p w14:paraId="26F29266" w14:textId="77777777" w:rsidR="007A0AE0" w:rsidRPr="00611315" w:rsidRDefault="007A0AE0" w:rsidP="007A0AE0">
      <w:pPr>
        <w:jc w:val="both"/>
        <w:rPr>
          <w:rFonts w:ascii="Verdana" w:hAnsi="Verdana" w:cs="Arial"/>
          <w:highlight w:val="yellow"/>
          <w:lang w:val="es-MX" w:eastAsia="es-CO"/>
        </w:rPr>
      </w:pPr>
    </w:p>
    <w:p w14:paraId="698442D4" w14:textId="77777777" w:rsidR="00135B85" w:rsidRDefault="00135B85" w:rsidP="007A0AE0">
      <w:pPr>
        <w:jc w:val="both"/>
        <w:rPr>
          <w:rFonts w:ascii="Verdana" w:hAnsi="Verdana" w:cs="Arial"/>
          <w:lang w:val="es-MX" w:eastAsia="es-CO"/>
        </w:rPr>
      </w:pPr>
    </w:p>
    <w:p w14:paraId="4B2F2119" w14:textId="77777777" w:rsidR="00032C3F" w:rsidRDefault="00032C3F" w:rsidP="007A0AE0">
      <w:pPr>
        <w:jc w:val="both"/>
        <w:rPr>
          <w:rFonts w:ascii="Verdana" w:hAnsi="Verdana" w:cs="Arial"/>
          <w:lang w:val="es-MX" w:eastAsia="es-CO"/>
        </w:rPr>
      </w:pPr>
    </w:p>
    <w:p w14:paraId="58A6D618" w14:textId="77777777" w:rsidR="00032C3F" w:rsidRDefault="00032C3F" w:rsidP="007A0AE0">
      <w:pPr>
        <w:jc w:val="both"/>
        <w:rPr>
          <w:rFonts w:ascii="Verdana" w:hAnsi="Verdana" w:cs="Arial"/>
          <w:lang w:val="es-MX" w:eastAsia="es-CO"/>
        </w:rPr>
      </w:pPr>
    </w:p>
    <w:p w14:paraId="655E4880" w14:textId="77777777" w:rsidR="00032C3F" w:rsidRDefault="00032C3F" w:rsidP="007A0AE0">
      <w:pPr>
        <w:jc w:val="both"/>
        <w:rPr>
          <w:rFonts w:ascii="Verdana" w:hAnsi="Verdana" w:cs="Arial"/>
          <w:lang w:val="es-MX" w:eastAsia="es-CO"/>
        </w:rPr>
      </w:pPr>
    </w:p>
    <w:p w14:paraId="68BCDD65" w14:textId="77777777" w:rsidR="00032C3F" w:rsidRDefault="00032C3F" w:rsidP="007A0AE0">
      <w:pPr>
        <w:jc w:val="both"/>
        <w:rPr>
          <w:rFonts w:ascii="Verdana" w:hAnsi="Verdana" w:cs="Arial"/>
          <w:lang w:val="es-MX" w:eastAsia="es-CO"/>
        </w:rPr>
      </w:pPr>
    </w:p>
    <w:p w14:paraId="3C617445" w14:textId="77777777" w:rsidR="00032C3F" w:rsidRPr="007D51E7" w:rsidRDefault="00032C3F" w:rsidP="007A0AE0">
      <w:pPr>
        <w:jc w:val="both"/>
        <w:rPr>
          <w:rFonts w:ascii="Verdana" w:hAnsi="Verdana" w:cs="Arial"/>
          <w:lang w:val="es-MX" w:eastAsia="es-CO"/>
        </w:rPr>
      </w:pPr>
    </w:p>
    <w:p w14:paraId="35E3AAB5" w14:textId="0D993C6A" w:rsidR="007A0AE0" w:rsidRPr="007D51E7" w:rsidRDefault="00135B85" w:rsidP="00135B85">
      <w:pPr>
        <w:pStyle w:val="Descripcin"/>
        <w:jc w:val="center"/>
        <w:rPr>
          <w:rFonts w:ascii="Verdana" w:hAnsi="Verdana"/>
          <w:sz w:val="22"/>
          <w:szCs w:val="22"/>
        </w:rPr>
      </w:pPr>
      <w:bookmarkStart w:id="433" w:name="_Toc231368806"/>
      <w:r w:rsidRPr="007D51E7">
        <w:rPr>
          <w:rFonts w:ascii="Verdana" w:hAnsi="Verdana"/>
          <w:sz w:val="22"/>
          <w:szCs w:val="22"/>
        </w:rPr>
        <w:lastRenderedPageBreak/>
        <w:t xml:space="preserve">Gráfica </w:t>
      </w:r>
      <w:r w:rsidRPr="007D51E7">
        <w:rPr>
          <w:rFonts w:ascii="Verdana" w:hAnsi="Verdana"/>
          <w:sz w:val="22"/>
          <w:szCs w:val="22"/>
        </w:rPr>
        <w:fldChar w:fldCharType="begin"/>
      </w:r>
      <w:r w:rsidRPr="007D51E7">
        <w:rPr>
          <w:rFonts w:ascii="Verdana" w:hAnsi="Verdana"/>
          <w:sz w:val="22"/>
          <w:szCs w:val="22"/>
        </w:rPr>
        <w:instrText xml:space="preserve"> SEQ Gráfica \* ARABIC </w:instrText>
      </w:r>
      <w:r w:rsidRPr="007D51E7">
        <w:rPr>
          <w:rFonts w:ascii="Verdana" w:hAnsi="Verdana"/>
          <w:sz w:val="22"/>
          <w:szCs w:val="22"/>
        </w:rPr>
        <w:fldChar w:fldCharType="separate"/>
      </w:r>
      <w:r w:rsidR="00973CF5">
        <w:rPr>
          <w:rFonts w:ascii="Verdana" w:hAnsi="Verdana"/>
          <w:noProof/>
          <w:sz w:val="22"/>
          <w:szCs w:val="22"/>
        </w:rPr>
        <w:t>31</w:t>
      </w:r>
      <w:r w:rsidRPr="007D51E7">
        <w:rPr>
          <w:rFonts w:ascii="Verdana" w:hAnsi="Verdana"/>
          <w:sz w:val="22"/>
          <w:szCs w:val="22"/>
        </w:rPr>
        <w:fldChar w:fldCharType="end"/>
      </w:r>
      <w:r w:rsidRPr="007D51E7">
        <w:rPr>
          <w:rFonts w:ascii="Verdana" w:hAnsi="Verdana"/>
          <w:sz w:val="22"/>
          <w:szCs w:val="22"/>
        </w:rPr>
        <w:t>. Razón de cobertura de interés</w:t>
      </w:r>
      <w:bookmarkEnd w:id="433"/>
    </w:p>
    <w:p w14:paraId="7A18A4BD" w14:textId="1F298E89" w:rsidR="007A0AE0" w:rsidRPr="007D51E7" w:rsidRDefault="007D51E7" w:rsidP="007A0AE0">
      <w:pPr>
        <w:jc w:val="center"/>
        <w:rPr>
          <w:rFonts w:ascii="Verdana" w:hAnsi="Verdana"/>
          <w:noProof/>
        </w:rPr>
      </w:pPr>
      <w:r w:rsidRPr="007D51E7">
        <w:rPr>
          <w:noProof/>
        </w:rPr>
        <w:drawing>
          <wp:inline distT="0" distB="0" distL="0" distR="0" wp14:anchorId="184DE747" wp14:editId="388AF58F">
            <wp:extent cx="5854065" cy="2062716"/>
            <wp:effectExtent l="0" t="0" r="13335" b="13970"/>
            <wp:docPr id="449983656" name="Gráfico 1">
              <a:extLst xmlns:a="http://schemas.openxmlformats.org/drawingml/2006/main">
                <a:ext uri="{FF2B5EF4-FFF2-40B4-BE49-F238E27FC236}">
                  <a16:creationId xmlns:a16="http://schemas.microsoft.com/office/drawing/2014/main" id="{2DE55119-7EA0-4DF0-89B9-66562587AF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E74CF56" w14:textId="6E6B27D9" w:rsidR="007A0AE0" w:rsidRPr="00032C3F" w:rsidRDefault="00032C3F" w:rsidP="007A0AE0">
      <w:pPr>
        <w:jc w:val="center"/>
        <w:rPr>
          <w:rFonts w:ascii="Verdana" w:hAnsi="Verdana" w:cs="Arial"/>
          <w:sz w:val="22"/>
          <w:szCs w:val="22"/>
          <w:lang w:val="es-MX" w:eastAsia="es-CO"/>
        </w:rPr>
      </w:pPr>
      <w:r w:rsidRPr="00032C3F">
        <w:rPr>
          <w:rFonts w:ascii="Verdana" w:hAnsi="Verdana" w:cs="Arial"/>
          <w:b/>
          <w:bCs/>
          <w:sz w:val="22"/>
          <w:szCs w:val="22"/>
          <w:lang w:val="es-MX" w:eastAsia="es-CO"/>
        </w:rPr>
        <w:t>Fuente</w:t>
      </w:r>
      <w:r w:rsidRPr="00032C3F">
        <w:rPr>
          <w:rFonts w:ascii="Verdana" w:hAnsi="Verdana" w:cs="Arial"/>
          <w:sz w:val="22"/>
          <w:szCs w:val="22"/>
          <w:lang w:val="es-MX" w:eastAsia="es-CO"/>
        </w:rPr>
        <w:t xml:space="preserve">: </w:t>
      </w:r>
      <w:r w:rsidR="007A0AE0" w:rsidRPr="00032C3F">
        <w:rPr>
          <w:rFonts w:ascii="Verdana" w:hAnsi="Verdana" w:cs="Arial"/>
          <w:sz w:val="22"/>
          <w:szCs w:val="22"/>
          <w:lang w:val="es-MX" w:eastAsia="es-CO"/>
        </w:rPr>
        <w:t>Elaboración propia</w:t>
      </w:r>
    </w:p>
    <w:p w14:paraId="0242E6A5" w14:textId="77777777" w:rsidR="007A0AE0" w:rsidRPr="00611315" w:rsidRDefault="007A0AE0" w:rsidP="007A0AE0">
      <w:pPr>
        <w:pStyle w:val="Prrafodelista"/>
        <w:spacing w:after="0"/>
        <w:rPr>
          <w:rFonts w:ascii="Verdana" w:hAnsi="Verdana" w:cs="Arial"/>
          <w:b/>
          <w:bCs/>
          <w:highlight w:val="yellow"/>
          <w:lang w:val="es-MX"/>
        </w:rPr>
      </w:pPr>
    </w:p>
    <w:p w14:paraId="5B96F798" w14:textId="5AC7B6CD" w:rsidR="007A0AE0" w:rsidRPr="006F52F1" w:rsidRDefault="007A0AE0" w:rsidP="007A0AE0">
      <w:pPr>
        <w:pStyle w:val="Prrafodelista"/>
        <w:spacing w:after="0"/>
        <w:ind w:left="142"/>
        <w:rPr>
          <w:rFonts w:ascii="Verdana" w:hAnsi="Verdana" w:cs="Arial"/>
          <w:lang w:val="es-MX"/>
        </w:rPr>
      </w:pPr>
      <w:r w:rsidRPr="006F52F1">
        <w:rPr>
          <w:rFonts w:ascii="Verdana" w:hAnsi="Verdana" w:cs="Arial"/>
          <w:lang w:val="es-MX"/>
        </w:rPr>
        <w:t>Cómo se puede evidenciar en los gráficos anteriores, tanto para en el indicador “Índice de liquidez” como el de “Razón de cobertura de interés”, la mayor cantidad de empresas cuentan con indicadores ubicados en los rangos 10 y 6 (&gt;=2), respectivamente.</w:t>
      </w:r>
    </w:p>
    <w:p w14:paraId="6ACBF176" w14:textId="77777777" w:rsidR="007A0AE0" w:rsidRPr="006F52F1" w:rsidRDefault="007A0AE0" w:rsidP="007A0AE0">
      <w:pPr>
        <w:pStyle w:val="Prrafodelista"/>
        <w:spacing w:after="0"/>
        <w:ind w:left="142"/>
        <w:rPr>
          <w:rFonts w:ascii="Verdana" w:hAnsi="Verdana" w:cs="Arial"/>
          <w:lang w:val="es-MX"/>
        </w:rPr>
      </w:pPr>
    </w:p>
    <w:p w14:paraId="2CFB3AA6" w14:textId="511D04B1" w:rsidR="007A0AE0" w:rsidRPr="006F52F1" w:rsidRDefault="007A0AE0" w:rsidP="007A0AE0">
      <w:pPr>
        <w:pStyle w:val="Descripcin"/>
        <w:spacing w:after="0"/>
        <w:jc w:val="center"/>
        <w:rPr>
          <w:rFonts w:ascii="Verdana" w:eastAsia="Times New Roman" w:hAnsi="Verdana" w:cs="Arial"/>
          <w:sz w:val="24"/>
          <w:szCs w:val="24"/>
          <w:lang w:val="es-CO" w:eastAsia="es-MX"/>
        </w:rPr>
      </w:pPr>
      <w:bookmarkStart w:id="434" w:name="_Toc180136801"/>
      <w:bookmarkStart w:id="435" w:name="_Toc231368807"/>
      <w:r w:rsidRPr="006F52F1">
        <w:rPr>
          <w:rFonts w:ascii="Verdana" w:eastAsia="Times New Roman" w:hAnsi="Verdana" w:cs="Arial"/>
          <w:sz w:val="24"/>
          <w:szCs w:val="24"/>
          <w:lang w:val="es-CO" w:eastAsia="es-MX"/>
        </w:rPr>
        <w:t xml:space="preserve">Gráfica </w:t>
      </w:r>
      <w:r w:rsidRPr="006F52F1">
        <w:rPr>
          <w:rFonts w:ascii="Verdana" w:eastAsia="Times New Roman" w:hAnsi="Verdana" w:cs="Arial"/>
          <w:sz w:val="24"/>
          <w:szCs w:val="24"/>
          <w:lang w:val="es-CO" w:eastAsia="es-MX"/>
        </w:rPr>
        <w:fldChar w:fldCharType="begin"/>
      </w:r>
      <w:r w:rsidRPr="006F52F1">
        <w:rPr>
          <w:rFonts w:ascii="Verdana" w:eastAsia="Times New Roman" w:hAnsi="Verdana" w:cs="Arial"/>
          <w:sz w:val="24"/>
          <w:szCs w:val="24"/>
          <w:lang w:val="es-CO" w:eastAsia="es-MX"/>
        </w:rPr>
        <w:instrText xml:space="preserve"> SEQ Gráfica \* ARABIC </w:instrText>
      </w:r>
      <w:r w:rsidRPr="006F52F1">
        <w:rPr>
          <w:rFonts w:ascii="Verdana" w:eastAsia="Times New Roman" w:hAnsi="Verdana" w:cs="Arial"/>
          <w:sz w:val="24"/>
          <w:szCs w:val="24"/>
          <w:lang w:val="es-CO" w:eastAsia="es-MX"/>
        </w:rPr>
        <w:fldChar w:fldCharType="separate"/>
      </w:r>
      <w:r w:rsidR="00973CF5">
        <w:rPr>
          <w:rFonts w:ascii="Verdana" w:eastAsia="Times New Roman" w:hAnsi="Verdana" w:cs="Arial"/>
          <w:noProof/>
          <w:sz w:val="24"/>
          <w:szCs w:val="24"/>
          <w:lang w:val="es-CO" w:eastAsia="es-MX"/>
        </w:rPr>
        <w:t>32</w:t>
      </w:r>
      <w:r w:rsidRPr="006F52F1">
        <w:rPr>
          <w:rFonts w:ascii="Verdana" w:eastAsia="Times New Roman" w:hAnsi="Verdana" w:cs="Arial"/>
          <w:sz w:val="24"/>
          <w:szCs w:val="24"/>
          <w:lang w:val="es-CO" w:eastAsia="es-MX"/>
        </w:rPr>
        <w:fldChar w:fldCharType="end"/>
      </w:r>
      <w:r w:rsidRPr="006F52F1">
        <w:rPr>
          <w:rFonts w:ascii="Verdana" w:eastAsia="Times New Roman" w:hAnsi="Verdana" w:cs="Arial"/>
          <w:sz w:val="24"/>
          <w:szCs w:val="24"/>
          <w:lang w:val="es-CO" w:eastAsia="es-MX"/>
        </w:rPr>
        <w:t>. Índice de Endeudamiento</w:t>
      </w:r>
      <w:bookmarkEnd w:id="434"/>
      <w:bookmarkEnd w:id="435"/>
    </w:p>
    <w:p w14:paraId="3D05B2AB" w14:textId="431CC81B" w:rsidR="007A0AE0" w:rsidRDefault="007A0AE0" w:rsidP="007A0AE0">
      <w:pPr>
        <w:pStyle w:val="Prrafodelista"/>
        <w:spacing w:after="0"/>
        <w:ind w:left="142"/>
        <w:jc w:val="center"/>
        <w:rPr>
          <w:rFonts w:ascii="Verdana" w:hAnsi="Verdana"/>
          <w:noProof/>
          <w:highlight w:val="yellow"/>
        </w:rPr>
      </w:pPr>
    </w:p>
    <w:p w14:paraId="19C77F27" w14:textId="1098E8C1" w:rsidR="006F52F1" w:rsidRDefault="00402F23" w:rsidP="007A0AE0">
      <w:pPr>
        <w:pStyle w:val="Prrafodelista"/>
        <w:spacing w:after="0"/>
        <w:ind w:left="142"/>
        <w:jc w:val="center"/>
        <w:rPr>
          <w:rFonts w:ascii="Verdana" w:hAnsi="Verdana"/>
          <w:noProof/>
          <w:highlight w:val="yellow"/>
        </w:rPr>
      </w:pPr>
      <w:r>
        <w:rPr>
          <w:noProof/>
        </w:rPr>
        <w:drawing>
          <wp:inline distT="0" distB="0" distL="0" distR="0" wp14:anchorId="5525F6F3" wp14:editId="6348B868">
            <wp:extent cx="5628640" cy="2211572"/>
            <wp:effectExtent l="0" t="0" r="10160" b="17780"/>
            <wp:docPr id="1787108348" name="Gráfico 1">
              <a:extLst xmlns:a="http://schemas.openxmlformats.org/drawingml/2006/main">
                <a:ext uri="{FF2B5EF4-FFF2-40B4-BE49-F238E27FC236}">
                  <a16:creationId xmlns:a16="http://schemas.microsoft.com/office/drawing/2014/main" id="{1D5E2E09-31F4-4A9F-B87E-76657161AA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EA42516" w14:textId="3BE983E9" w:rsidR="007A0AE0" w:rsidRPr="00422D5C" w:rsidRDefault="00402F23" w:rsidP="007A0AE0">
      <w:pPr>
        <w:jc w:val="center"/>
        <w:rPr>
          <w:rFonts w:ascii="Verdana" w:hAnsi="Verdana" w:cs="Arial"/>
          <w:sz w:val="22"/>
          <w:szCs w:val="22"/>
          <w:lang w:val="es-MX" w:eastAsia="es-CO"/>
        </w:rPr>
      </w:pPr>
      <w:r w:rsidRPr="00422D5C">
        <w:rPr>
          <w:rFonts w:ascii="Verdana" w:hAnsi="Verdana" w:cs="Arial"/>
          <w:b/>
          <w:bCs/>
          <w:sz w:val="22"/>
          <w:szCs w:val="22"/>
          <w:lang w:val="es-MX" w:eastAsia="es-CO"/>
        </w:rPr>
        <w:t>Fuente</w:t>
      </w:r>
      <w:r w:rsidRPr="00422D5C">
        <w:rPr>
          <w:rFonts w:ascii="Verdana" w:hAnsi="Verdana" w:cs="Arial"/>
          <w:sz w:val="22"/>
          <w:szCs w:val="22"/>
          <w:lang w:val="es-MX" w:eastAsia="es-CO"/>
        </w:rPr>
        <w:t xml:space="preserve">: </w:t>
      </w:r>
      <w:r w:rsidR="007A0AE0" w:rsidRPr="00422D5C">
        <w:rPr>
          <w:rFonts w:ascii="Verdana" w:hAnsi="Verdana" w:cs="Arial"/>
          <w:sz w:val="22"/>
          <w:szCs w:val="22"/>
          <w:lang w:val="es-MX" w:eastAsia="es-CO"/>
        </w:rPr>
        <w:t>Elaboración propia</w:t>
      </w:r>
    </w:p>
    <w:p w14:paraId="1A2F841A" w14:textId="77777777" w:rsidR="007A0AE0" w:rsidRPr="00AF3ADE" w:rsidRDefault="007A0AE0" w:rsidP="007A0AE0">
      <w:pPr>
        <w:pStyle w:val="Prrafodelista"/>
        <w:spacing w:after="0"/>
        <w:rPr>
          <w:rFonts w:ascii="Verdana" w:hAnsi="Verdana" w:cs="Arial"/>
          <w:b/>
          <w:bCs/>
          <w:lang w:val="es-MX"/>
        </w:rPr>
      </w:pPr>
    </w:p>
    <w:p w14:paraId="2BEB9B62" w14:textId="6DA345F8" w:rsidR="007A0AE0" w:rsidRPr="00753F66" w:rsidRDefault="007A0AE0" w:rsidP="007A0AE0">
      <w:pPr>
        <w:pStyle w:val="Prrafodelista"/>
        <w:spacing w:after="0"/>
        <w:ind w:left="0"/>
        <w:rPr>
          <w:rFonts w:ascii="Verdana" w:hAnsi="Verdana" w:cs="Arial"/>
          <w:lang w:val="es-MX"/>
        </w:rPr>
      </w:pPr>
      <w:r w:rsidRPr="00AF3ADE">
        <w:rPr>
          <w:rFonts w:ascii="Verdana" w:hAnsi="Verdana" w:cs="Arial"/>
          <w:lang w:val="es-MX"/>
        </w:rPr>
        <w:lastRenderedPageBreak/>
        <w:t xml:space="preserve">Respecto al índice de endeudamiento, lo que se evidencia con el análisis, es que la mayoría de las empresas de la muestra tienen índices de endeudamiento ubicado en el rango 2 (&gt;=0,0 - &lt;0,25), en el rango 3 (&gt;=0,25 - &lt;0,50) y </w:t>
      </w:r>
      <w:r w:rsidR="000110C8">
        <w:rPr>
          <w:rFonts w:ascii="Verdana" w:hAnsi="Verdana" w:cs="Arial"/>
          <w:lang w:val="es-MX"/>
        </w:rPr>
        <w:t xml:space="preserve">en el rango </w:t>
      </w:r>
      <w:r w:rsidR="00AF3ADE">
        <w:rPr>
          <w:rFonts w:ascii="Verdana" w:hAnsi="Verdana" w:cs="Arial"/>
          <w:lang w:val="es-MX"/>
        </w:rPr>
        <w:t xml:space="preserve">4 </w:t>
      </w:r>
      <w:r w:rsidRPr="00AF3ADE">
        <w:rPr>
          <w:rFonts w:ascii="Verdana" w:hAnsi="Verdana" w:cs="Arial"/>
          <w:lang w:val="es-MX"/>
        </w:rPr>
        <w:t xml:space="preserve">(&gt;=0,50 - </w:t>
      </w:r>
      <w:r w:rsidRPr="00753F66">
        <w:rPr>
          <w:rFonts w:ascii="Verdana" w:hAnsi="Verdana" w:cs="Arial"/>
          <w:lang w:val="es-MX"/>
        </w:rPr>
        <w:t xml:space="preserve">&lt;0,75). Es importante resaltar que </w:t>
      </w:r>
      <w:r w:rsidR="00BE1474" w:rsidRPr="00753F66">
        <w:rPr>
          <w:rFonts w:ascii="Verdana" w:hAnsi="Verdana" w:cs="Arial"/>
          <w:lang w:val="es-MX"/>
        </w:rPr>
        <w:t xml:space="preserve">más de </w:t>
      </w:r>
      <w:r w:rsidRPr="00753F66">
        <w:rPr>
          <w:rFonts w:ascii="Verdana" w:hAnsi="Verdana" w:cs="Arial"/>
          <w:lang w:val="es-MX"/>
        </w:rPr>
        <w:t>la</w:t>
      </w:r>
      <w:r w:rsidR="00BE1474" w:rsidRPr="00753F66">
        <w:rPr>
          <w:rFonts w:ascii="Verdana" w:hAnsi="Verdana" w:cs="Arial"/>
          <w:lang w:val="es-MX"/>
        </w:rPr>
        <w:t xml:space="preserve"> mitad de las</w:t>
      </w:r>
      <w:r w:rsidRPr="00753F66">
        <w:rPr>
          <w:rFonts w:ascii="Verdana" w:hAnsi="Verdana" w:cs="Arial"/>
          <w:lang w:val="es-MX"/>
        </w:rPr>
        <w:t xml:space="preserve"> empresas ubicadas en el rango </w:t>
      </w:r>
      <w:r w:rsidR="00390EB4" w:rsidRPr="00753F66">
        <w:rPr>
          <w:rFonts w:ascii="Verdana" w:hAnsi="Verdana" w:cs="Arial"/>
          <w:lang w:val="es-MX"/>
        </w:rPr>
        <w:t>4</w:t>
      </w:r>
      <w:r w:rsidRPr="00753F66">
        <w:rPr>
          <w:rFonts w:ascii="Verdana" w:hAnsi="Verdana" w:cs="Arial"/>
          <w:lang w:val="es-MX"/>
        </w:rPr>
        <w:t xml:space="preserve">, corresponden a empresas </w:t>
      </w:r>
      <w:r w:rsidR="00390EB4" w:rsidRPr="00753F66">
        <w:rPr>
          <w:rFonts w:ascii="Verdana" w:hAnsi="Verdana" w:cs="Arial"/>
          <w:lang w:val="es-MX"/>
        </w:rPr>
        <w:t xml:space="preserve">medianas y </w:t>
      </w:r>
      <w:r w:rsidRPr="00753F66">
        <w:rPr>
          <w:rFonts w:ascii="Verdana" w:hAnsi="Verdana" w:cs="Arial"/>
          <w:lang w:val="es-MX"/>
        </w:rPr>
        <w:t>grandes.</w:t>
      </w:r>
    </w:p>
    <w:p w14:paraId="08B4D273" w14:textId="77777777" w:rsidR="007A0AE0" w:rsidRPr="00753F66" w:rsidRDefault="007A0AE0" w:rsidP="007A0AE0">
      <w:pPr>
        <w:pStyle w:val="Prrafodelista"/>
        <w:spacing w:after="0"/>
        <w:rPr>
          <w:rFonts w:ascii="Verdana" w:hAnsi="Verdana" w:cs="Arial"/>
          <w:lang w:val="es-MX"/>
        </w:rPr>
      </w:pPr>
    </w:p>
    <w:p w14:paraId="6AEBD357" w14:textId="06425374" w:rsidR="007A0AE0" w:rsidRPr="00753F66" w:rsidRDefault="007A0AE0" w:rsidP="007A0AE0">
      <w:pPr>
        <w:pStyle w:val="Prrafodelista"/>
        <w:spacing w:after="0"/>
        <w:ind w:left="0"/>
        <w:rPr>
          <w:rFonts w:ascii="Verdana" w:hAnsi="Verdana" w:cs="Arial"/>
          <w:lang w:val="es-MX"/>
        </w:rPr>
      </w:pPr>
      <w:r w:rsidRPr="00753F66">
        <w:rPr>
          <w:rFonts w:ascii="Verdana" w:hAnsi="Verdana" w:cs="Arial"/>
          <w:lang w:val="es-MX"/>
        </w:rPr>
        <w:t xml:space="preserve">Por otro lado, y respecto a los indicadores de capital de trabajo y patrimonio, el gráfico permite evidenciar que la mayoría de las empresas cuentan con un capital de trabajo y un patrimonio ubicados en </w:t>
      </w:r>
      <w:r w:rsidR="00155E68" w:rsidRPr="00753F66">
        <w:rPr>
          <w:rFonts w:ascii="Verdana" w:hAnsi="Verdana" w:cs="Arial"/>
          <w:lang w:val="es-MX"/>
        </w:rPr>
        <w:t xml:space="preserve">el rango </w:t>
      </w:r>
      <w:r w:rsidRPr="00753F66">
        <w:rPr>
          <w:rFonts w:ascii="Verdana" w:hAnsi="Verdana" w:cs="Arial"/>
          <w:lang w:val="es-MX"/>
        </w:rPr>
        <w:t xml:space="preserve">10 (&gt;=$4.000.000.000), sin </w:t>
      </w:r>
      <w:proofErr w:type="gramStart"/>
      <w:r w:rsidRPr="00753F66">
        <w:rPr>
          <w:rFonts w:ascii="Verdana" w:hAnsi="Verdana" w:cs="Arial"/>
          <w:lang w:val="es-MX"/>
        </w:rPr>
        <w:t>embargo</w:t>
      </w:r>
      <w:proofErr w:type="gramEnd"/>
      <w:r w:rsidRPr="00753F66">
        <w:rPr>
          <w:rFonts w:ascii="Verdana" w:hAnsi="Verdana" w:cs="Arial"/>
          <w:lang w:val="es-MX"/>
        </w:rPr>
        <w:t xml:space="preserve"> es importante indicar </w:t>
      </w:r>
      <w:proofErr w:type="gramStart"/>
      <w:r w:rsidRPr="00753F66">
        <w:rPr>
          <w:rFonts w:ascii="Verdana" w:hAnsi="Verdana" w:cs="Arial"/>
          <w:lang w:val="es-MX"/>
        </w:rPr>
        <w:t>que</w:t>
      </w:r>
      <w:proofErr w:type="gramEnd"/>
      <w:r w:rsidRPr="00753F66">
        <w:rPr>
          <w:rFonts w:ascii="Verdana" w:hAnsi="Verdana" w:cs="Arial"/>
          <w:lang w:val="es-MX"/>
        </w:rPr>
        <w:t xml:space="preserve"> de forma agregada, la mayoría de las empresas se ubica entre los rangos </w:t>
      </w:r>
      <w:r w:rsidR="00753F66" w:rsidRPr="00753F66">
        <w:rPr>
          <w:rFonts w:ascii="Verdana" w:hAnsi="Verdana" w:cs="Arial"/>
          <w:lang w:val="es-MX"/>
        </w:rPr>
        <w:t>2</w:t>
      </w:r>
      <w:r w:rsidRPr="00753F66">
        <w:rPr>
          <w:rFonts w:ascii="Verdana" w:hAnsi="Verdana" w:cs="Arial"/>
          <w:lang w:val="es-MX"/>
        </w:rPr>
        <w:t xml:space="preserve"> y </w:t>
      </w:r>
      <w:r w:rsidR="00753F66" w:rsidRPr="00753F66">
        <w:rPr>
          <w:rFonts w:ascii="Verdana" w:hAnsi="Verdana" w:cs="Arial"/>
          <w:lang w:val="es-MX"/>
        </w:rPr>
        <w:t>9</w:t>
      </w:r>
      <w:r w:rsidRPr="00753F66">
        <w:rPr>
          <w:rFonts w:ascii="Verdana" w:hAnsi="Verdana" w:cs="Arial"/>
          <w:lang w:val="es-MX"/>
        </w:rPr>
        <w:t xml:space="preserve"> tanto para el capital de trabajo como para el indicador de patrimonio, tal y como se puede ver a continuación:</w:t>
      </w:r>
    </w:p>
    <w:p w14:paraId="4B6B2C6F" w14:textId="77777777" w:rsidR="007A0AE0" w:rsidRPr="00753F66" w:rsidRDefault="007A0AE0" w:rsidP="007A0AE0">
      <w:pPr>
        <w:pStyle w:val="Prrafodelista"/>
        <w:spacing w:after="0"/>
        <w:rPr>
          <w:rFonts w:ascii="Verdana" w:hAnsi="Verdana" w:cs="Arial"/>
          <w:lang w:val="es-MX"/>
        </w:rPr>
      </w:pPr>
    </w:p>
    <w:p w14:paraId="58FC307D" w14:textId="1D7AEA76" w:rsidR="007A0AE0" w:rsidRPr="00753F66" w:rsidRDefault="007A0AE0" w:rsidP="007A0AE0">
      <w:pPr>
        <w:pStyle w:val="Descripcin"/>
        <w:spacing w:after="0"/>
        <w:jc w:val="center"/>
        <w:rPr>
          <w:rFonts w:ascii="Verdana" w:eastAsia="Times New Roman" w:hAnsi="Verdana" w:cs="Arial"/>
          <w:sz w:val="24"/>
          <w:szCs w:val="24"/>
          <w:lang w:val="es-CO" w:eastAsia="es-MX"/>
        </w:rPr>
      </w:pPr>
      <w:bookmarkStart w:id="436" w:name="_Toc180136802"/>
      <w:bookmarkStart w:id="437" w:name="_Toc231368808"/>
      <w:r w:rsidRPr="00753F66">
        <w:rPr>
          <w:rFonts w:ascii="Verdana" w:eastAsia="Times New Roman" w:hAnsi="Verdana" w:cs="Arial"/>
          <w:sz w:val="24"/>
          <w:szCs w:val="24"/>
          <w:lang w:val="es-CO" w:eastAsia="es-MX"/>
        </w:rPr>
        <w:t xml:space="preserve">Gráfica </w:t>
      </w:r>
      <w:r w:rsidRPr="00753F66">
        <w:rPr>
          <w:rFonts w:ascii="Verdana" w:eastAsia="Times New Roman" w:hAnsi="Verdana" w:cs="Arial"/>
          <w:sz w:val="24"/>
          <w:szCs w:val="24"/>
          <w:lang w:val="es-CO" w:eastAsia="es-MX"/>
        </w:rPr>
        <w:fldChar w:fldCharType="begin"/>
      </w:r>
      <w:r w:rsidRPr="00753F66">
        <w:rPr>
          <w:rFonts w:ascii="Verdana" w:eastAsia="Times New Roman" w:hAnsi="Verdana" w:cs="Arial"/>
          <w:sz w:val="24"/>
          <w:szCs w:val="24"/>
          <w:lang w:val="es-CO" w:eastAsia="es-MX"/>
        </w:rPr>
        <w:instrText xml:space="preserve"> SEQ Gráfica \* ARABIC </w:instrText>
      </w:r>
      <w:r w:rsidRPr="00753F66">
        <w:rPr>
          <w:rFonts w:ascii="Verdana" w:eastAsia="Times New Roman" w:hAnsi="Verdana" w:cs="Arial"/>
          <w:sz w:val="24"/>
          <w:szCs w:val="24"/>
          <w:lang w:val="es-CO" w:eastAsia="es-MX"/>
        </w:rPr>
        <w:fldChar w:fldCharType="separate"/>
      </w:r>
      <w:r w:rsidR="00973CF5">
        <w:rPr>
          <w:rFonts w:ascii="Verdana" w:eastAsia="Times New Roman" w:hAnsi="Verdana" w:cs="Arial"/>
          <w:noProof/>
          <w:sz w:val="24"/>
          <w:szCs w:val="24"/>
          <w:lang w:val="es-CO" w:eastAsia="es-MX"/>
        </w:rPr>
        <w:t>33</w:t>
      </w:r>
      <w:r w:rsidRPr="00753F66">
        <w:rPr>
          <w:rFonts w:ascii="Verdana" w:eastAsia="Times New Roman" w:hAnsi="Verdana" w:cs="Arial"/>
          <w:sz w:val="24"/>
          <w:szCs w:val="24"/>
          <w:lang w:val="es-CO" w:eastAsia="es-MX"/>
        </w:rPr>
        <w:fldChar w:fldCharType="end"/>
      </w:r>
      <w:r w:rsidR="44B4FBC4" w:rsidRPr="00753F66">
        <w:rPr>
          <w:rFonts w:ascii="Verdana" w:eastAsia="Times New Roman" w:hAnsi="Verdana" w:cs="Arial"/>
          <w:sz w:val="24"/>
          <w:szCs w:val="24"/>
          <w:lang w:val="es-CO" w:eastAsia="es-MX"/>
        </w:rPr>
        <w:t>.</w:t>
      </w:r>
      <w:r w:rsidRPr="00753F66">
        <w:rPr>
          <w:rFonts w:ascii="Verdana" w:eastAsia="Times New Roman" w:hAnsi="Verdana" w:cs="Arial"/>
          <w:sz w:val="24"/>
          <w:szCs w:val="24"/>
          <w:lang w:val="es-CO" w:eastAsia="es-MX"/>
        </w:rPr>
        <w:t xml:space="preserve"> Capital de trabajo</w:t>
      </w:r>
      <w:bookmarkEnd w:id="436"/>
      <w:bookmarkEnd w:id="437"/>
    </w:p>
    <w:p w14:paraId="745A98E8" w14:textId="550E164F" w:rsidR="00753F66" w:rsidRPr="00753F66" w:rsidRDefault="00753F66" w:rsidP="007A0AE0">
      <w:pPr>
        <w:pStyle w:val="Prrafodelista"/>
        <w:spacing w:after="0"/>
        <w:ind w:left="284"/>
        <w:jc w:val="center"/>
        <w:rPr>
          <w:rFonts w:ascii="Verdana" w:hAnsi="Verdana"/>
          <w:noProof/>
        </w:rPr>
      </w:pPr>
      <w:r w:rsidRPr="00753F66">
        <w:rPr>
          <w:noProof/>
        </w:rPr>
        <w:drawing>
          <wp:inline distT="0" distB="0" distL="0" distR="0" wp14:anchorId="187AC2EC" wp14:editId="5BB610CA">
            <wp:extent cx="6120765" cy="2576945"/>
            <wp:effectExtent l="0" t="0" r="13335" b="13970"/>
            <wp:docPr id="486972982" name="Gráfico 1">
              <a:extLst xmlns:a="http://schemas.openxmlformats.org/drawingml/2006/main">
                <a:ext uri="{FF2B5EF4-FFF2-40B4-BE49-F238E27FC236}">
                  <a16:creationId xmlns:a16="http://schemas.microsoft.com/office/drawing/2014/main" id="{B6805F92-6B76-4FAD-BBEB-125AEF7F12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E0FFCDC" w14:textId="77777777" w:rsidR="00422D5C" w:rsidRPr="00422D5C" w:rsidRDefault="00422D5C" w:rsidP="00422D5C">
      <w:pPr>
        <w:jc w:val="center"/>
        <w:rPr>
          <w:rFonts w:ascii="Verdana" w:hAnsi="Verdana" w:cs="Arial"/>
          <w:sz w:val="22"/>
          <w:szCs w:val="22"/>
          <w:lang w:val="es-MX" w:eastAsia="es-CO"/>
        </w:rPr>
      </w:pPr>
      <w:r w:rsidRPr="00422D5C">
        <w:rPr>
          <w:rFonts w:ascii="Verdana" w:hAnsi="Verdana" w:cs="Arial"/>
          <w:b/>
          <w:bCs/>
          <w:sz w:val="22"/>
          <w:szCs w:val="22"/>
          <w:lang w:val="es-MX" w:eastAsia="es-CO"/>
        </w:rPr>
        <w:t>Fuente</w:t>
      </w:r>
      <w:r w:rsidRPr="00422D5C">
        <w:rPr>
          <w:rFonts w:ascii="Verdana" w:hAnsi="Verdana" w:cs="Arial"/>
          <w:sz w:val="22"/>
          <w:szCs w:val="22"/>
          <w:lang w:val="es-MX" w:eastAsia="es-CO"/>
        </w:rPr>
        <w:t>: Elaboración propia</w:t>
      </w:r>
    </w:p>
    <w:p w14:paraId="60225D67" w14:textId="77777777" w:rsidR="00135B85" w:rsidRDefault="00135B85" w:rsidP="007A0AE0">
      <w:pPr>
        <w:pStyle w:val="Prrafodelista"/>
        <w:spacing w:after="0"/>
        <w:rPr>
          <w:rFonts w:ascii="Verdana" w:hAnsi="Verdana" w:cs="Arial"/>
          <w:highlight w:val="yellow"/>
          <w:lang w:val="es-MX"/>
        </w:rPr>
      </w:pPr>
    </w:p>
    <w:p w14:paraId="4347E3E1" w14:textId="77777777" w:rsidR="00422D5C" w:rsidRDefault="00422D5C" w:rsidP="007A0AE0">
      <w:pPr>
        <w:pStyle w:val="Prrafodelista"/>
        <w:spacing w:after="0"/>
        <w:rPr>
          <w:rFonts w:ascii="Verdana" w:hAnsi="Verdana" w:cs="Arial"/>
          <w:highlight w:val="yellow"/>
          <w:lang w:val="es-MX"/>
        </w:rPr>
      </w:pPr>
    </w:p>
    <w:p w14:paraId="26D2B07E" w14:textId="77777777" w:rsidR="00422D5C" w:rsidRDefault="00422D5C" w:rsidP="007A0AE0">
      <w:pPr>
        <w:pStyle w:val="Prrafodelista"/>
        <w:spacing w:after="0"/>
        <w:rPr>
          <w:rFonts w:ascii="Verdana" w:hAnsi="Verdana" w:cs="Arial"/>
          <w:highlight w:val="yellow"/>
          <w:lang w:val="es-MX"/>
        </w:rPr>
      </w:pPr>
    </w:p>
    <w:p w14:paraId="75386D70" w14:textId="77777777" w:rsidR="00422D5C" w:rsidRDefault="00422D5C" w:rsidP="007A0AE0">
      <w:pPr>
        <w:pStyle w:val="Prrafodelista"/>
        <w:spacing w:after="0"/>
        <w:rPr>
          <w:rFonts w:ascii="Verdana" w:hAnsi="Verdana" w:cs="Arial"/>
          <w:highlight w:val="yellow"/>
          <w:lang w:val="es-MX"/>
        </w:rPr>
      </w:pPr>
    </w:p>
    <w:p w14:paraId="58CC7F8E" w14:textId="77777777" w:rsidR="00422D5C" w:rsidRDefault="00422D5C" w:rsidP="007A0AE0">
      <w:pPr>
        <w:pStyle w:val="Prrafodelista"/>
        <w:spacing w:after="0"/>
        <w:rPr>
          <w:rFonts w:ascii="Verdana" w:hAnsi="Verdana" w:cs="Arial"/>
          <w:highlight w:val="yellow"/>
          <w:lang w:val="es-MX"/>
        </w:rPr>
      </w:pPr>
    </w:p>
    <w:p w14:paraId="7FD8316F" w14:textId="77777777" w:rsidR="00422D5C" w:rsidRDefault="00422D5C" w:rsidP="007A0AE0">
      <w:pPr>
        <w:pStyle w:val="Prrafodelista"/>
        <w:spacing w:after="0"/>
        <w:rPr>
          <w:rFonts w:ascii="Verdana" w:hAnsi="Verdana" w:cs="Arial"/>
          <w:highlight w:val="yellow"/>
          <w:lang w:val="es-MX"/>
        </w:rPr>
      </w:pPr>
    </w:p>
    <w:p w14:paraId="6D178208" w14:textId="77777777" w:rsidR="00422D5C" w:rsidRDefault="00422D5C" w:rsidP="007A0AE0">
      <w:pPr>
        <w:pStyle w:val="Prrafodelista"/>
        <w:spacing w:after="0"/>
        <w:rPr>
          <w:rFonts w:ascii="Verdana" w:hAnsi="Verdana" w:cs="Arial"/>
          <w:highlight w:val="yellow"/>
          <w:lang w:val="es-MX"/>
        </w:rPr>
      </w:pPr>
    </w:p>
    <w:p w14:paraId="00B77E06" w14:textId="77777777" w:rsidR="00422D5C" w:rsidRDefault="00422D5C" w:rsidP="007A0AE0">
      <w:pPr>
        <w:pStyle w:val="Prrafodelista"/>
        <w:spacing w:after="0"/>
        <w:rPr>
          <w:rFonts w:ascii="Verdana" w:hAnsi="Verdana" w:cs="Arial"/>
          <w:highlight w:val="yellow"/>
          <w:lang w:val="es-MX"/>
        </w:rPr>
      </w:pPr>
    </w:p>
    <w:p w14:paraId="21835F04" w14:textId="77777777" w:rsidR="00422D5C" w:rsidRPr="00611315" w:rsidRDefault="00422D5C" w:rsidP="007A0AE0">
      <w:pPr>
        <w:pStyle w:val="Prrafodelista"/>
        <w:spacing w:after="0"/>
        <w:rPr>
          <w:rFonts w:ascii="Verdana" w:hAnsi="Verdana" w:cs="Arial"/>
          <w:highlight w:val="yellow"/>
          <w:lang w:val="es-MX"/>
        </w:rPr>
      </w:pPr>
    </w:p>
    <w:p w14:paraId="00ED4277" w14:textId="465BD397" w:rsidR="007A0AE0" w:rsidRPr="008E6702" w:rsidRDefault="007A0AE0" w:rsidP="007A0AE0">
      <w:pPr>
        <w:pStyle w:val="Descripcin"/>
        <w:spacing w:after="0"/>
        <w:jc w:val="center"/>
        <w:rPr>
          <w:rFonts w:ascii="Verdana" w:eastAsia="Times New Roman" w:hAnsi="Verdana" w:cs="Arial"/>
          <w:sz w:val="24"/>
          <w:szCs w:val="24"/>
          <w:lang w:val="es-CO" w:eastAsia="es-MX"/>
        </w:rPr>
      </w:pPr>
      <w:bookmarkStart w:id="438" w:name="_Toc180136803"/>
      <w:bookmarkStart w:id="439" w:name="_Toc231368809"/>
      <w:r w:rsidRPr="008E6702">
        <w:rPr>
          <w:rFonts w:ascii="Verdana" w:eastAsia="Times New Roman" w:hAnsi="Verdana" w:cs="Arial"/>
          <w:sz w:val="24"/>
          <w:szCs w:val="24"/>
          <w:lang w:val="es-CO" w:eastAsia="es-MX"/>
        </w:rPr>
        <w:lastRenderedPageBreak/>
        <w:t xml:space="preserve">Gráfica </w:t>
      </w:r>
      <w:r w:rsidRPr="008E6702">
        <w:rPr>
          <w:rFonts w:ascii="Verdana" w:eastAsia="Times New Roman" w:hAnsi="Verdana" w:cs="Arial"/>
          <w:sz w:val="24"/>
          <w:szCs w:val="24"/>
          <w:lang w:val="es-CO" w:eastAsia="es-MX"/>
        </w:rPr>
        <w:fldChar w:fldCharType="begin"/>
      </w:r>
      <w:r w:rsidRPr="008E6702">
        <w:rPr>
          <w:rFonts w:ascii="Verdana" w:eastAsia="Times New Roman" w:hAnsi="Verdana" w:cs="Arial"/>
          <w:sz w:val="24"/>
          <w:szCs w:val="24"/>
          <w:lang w:val="es-CO" w:eastAsia="es-MX"/>
        </w:rPr>
        <w:instrText xml:space="preserve"> SEQ Gráfica \* ARABIC </w:instrText>
      </w:r>
      <w:r w:rsidRPr="008E6702">
        <w:rPr>
          <w:rFonts w:ascii="Verdana" w:eastAsia="Times New Roman" w:hAnsi="Verdana" w:cs="Arial"/>
          <w:sz w:val="24"/>
          <w:szCs w:val="24"/>
          <w:lang w:val="es-CO" w:eastAsia="es-MX"/>
        </w:rPr>
        <w:fldChar w:fldCharType="separate"/>
      </w:r>
      <w:r w:rsidR="00973CF5">
        <w:rPr>
          <w:rFonts w:ascii="Verdana" w:eastAsia="Times New Roman" w:hAnsi="Verdana" w:cs="Arial"/>
          <w:noProof/>
          <w:sz w:val="24"/>
          <w:szCs w:val="24"/>
          <w:lang w:val="es-CO" w:eastAsia="es-MX"/>
        </w:rPr>
        <w:t>34</w:t>
      </w:r>
      <w:r w:rsidRPr="008E6702">
        <w:rPr>
          <w:rFonts w:ascii="Verdana" w:eastAsia="Times New Roman" w:hAnsi="Verdana" w:cs="Arial"/>
          <w:sz w:val="24"/>
          <w:szCs w:val="24"/>
          <w:lang w:val="es-CO" w:eastAsia="es-MX"/>
        </w:rPr>
        <w:fldChar w:fldCharType="end"/>
      </w:r>
      <w:r w:rsidRPr="008E6702">
        <w:rPr>
          <w:rFonts w:ascii="Verdana" w:eastAsia="Times New Roman" w:hAnsi="Verdana" w:cs="Arial"/>
          <w:sz w:val="24"/>
          <w:szCs w:val="24"/>
          <w:lang w:val="es-CO" w:eastAsia="es-MX"/>
        </w:rPr>
        <w:t>. Patrimonio</w:t>
      </w:r>
      <w:bookmarkEnd w:id="438"/>
      <w:bookmarkEnd w:id="439"/>
    </w:p>
    <w:p w14:paraId="291B6D21" w14:textId="14D74403" w:rsidR="007A0AE0" w:rsidRPr="008E6702" w:rsidRDefault="008E6702" w:rsidP="007A0AE0">
      <w:pPr>
        <w:pStyle w:val="Prrafodelista"/>
        <w:spacing w:after="0"/>
        <w:ind w:left="284"/>
        <w:rPr>
          <w:rFonts w:ascii="Verdana" w:hAnsi="Verdana" w:cs="Arial"/>
          <w:lang w:val="es-MX"/>
        </w:rPr>
      </w:pPr>
      <w:r w:rsidRPr="008E6702">
        <w:rPr>
          <w:noProof/>
        </w:rPr>
        <w:drawing>
          <wp:inline distT="0" distB="0" distL="0" distR="0" wp14:anchorId="2158DF23" wp14:editId="63E00E1E">
            <wp:extent cx="6120765" cy="2402958"/>
            <wp:effectExtent l="0" t="0" r="13335" b="16510"/>
            <wp:docPr id="2058380113" name="Gráfico 1">
              <a:extLst xmlns:a="http://schemas.openxmlformats.org/drawingml/2006/main">
                <a:ext uri="{FF2B5EF4-FFF2-40B4-BE49-F238E27FC236}">
                  <a16:creationId xmlns:a16="http://schemas.microsoft.com/office/drawing/2014/main" id="{C9E26C81-D88E-483F-88DC-06708E7288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B1C6869" w14:textId="77777777" w:rsidR="00422D5C" w:rsidRPr="00422D5C" w:rsidRDefault="00422D5C" w:rsidP="00422D5C">
      <w:pPr>
        <w:jc w:val="center"/>
        <w:rPr>
          <w:rFonts w:ascii="Verdana" w:hAnsi="Verdana" w:cs="Arial"/>
          <w:sz w:val="22"/>
          <w:szCs w:val="22"/>
          <w:lang w:val="es-MX" w:eastAsia="es-CO"/>
        </w:rPr>
      </w:pPr>
      <w:r w:rsidRPr="00422D5C">
        <w:rPr>
          <w:rFonts w:ascii="Verdana" w:hAnsi="Verdana" w:cs="Arial"/>
          <w:b/>
          <w:bCs/>
          <w:sz w:val="22"/>
          <w:szCs w:val="22"/>
          <w:lang w:val="es-MX" w:eastAsia="es-CO"/>
        </w:rPr>
        <w:t>Fuente</w:t>
      </w:r>
      <w:r w:rsidRPr="00422D5C">
        <w:rPr>
          <w:rFonts w:ascii="Verdana" w:hAnsi="Verdana" w:cs="Arial"/>
          <w:sz w:val="22"/>
          <w:szCs w:val="22"/>
          <w:lang w:val="es-MX" w:eastAsia="es-CO"/>
        </w:rPr>
        <w:t>: Elaboración propia</w:t>
      </w:r>
    </w:p>
    <w:p w14:paraId="6AC1B8FA" w14:textId="77777777" w:rsidR="007A0AE0" w:rsidRPr="00611315" w:rsidRDefault="007A0AE0" w:rsidP="007A0AE0">
      <w:pPr>
        <w:pStyle w:val="Prrafodelista"/>
        <w:spacing w:after="0"/>
        <w:rPr>
          <w:rFonts w:ascii="Verdana" w:hAnsi="Verdana" w:cs="Arial"/>
          <w:highlight w:val="yellow"/>
          <w:lang w:val="es-MX"/>
        </w:rPr>
      </w:pPr>
    </w:p>
    <w:p w14:paraId="24E232E4" w14:textId="217423B9" w:rsidR="007A0AE0" w:rsidRDefault="007A0AE0" w:rsidP="007A0AE0">
      <w:pPr>
        <w:pStyle w:val="Prrafodelista"/>
        <w:spacing w:after="0"/>
        <w:ind w:left="142"/>
        <w:rPr>
          <w:rFonts w:ascii="Verdana" w:hAnsi="Verdana" w:cs="Arial"/>
          <w:lang w:val="es-MX"/>
        </w:rPr>
      </w:pPr>
      <w:r w:rsidRPr="008E5DDF">
        <w:rPr>
          <w:rFonts w:ascii="Verdana" w:hAnsi="Verdana" w:cs="Arial"/>
          <w:lang w:val="es-MX"/>
        </w:rPr>
        <w:t>Cómo se puede evidenciar, tanto para en el indicador “Rentabilidad sobre patrimonio” como el de “Rentabilidad sobre activo”, la mayor cantidad de empresas cuentan con indicadores ubicados en el rango 7 (&gt;=0,25).</w:t>
      </w:r>
    </w:p>
    <w:p w14:paraId="0E5D2A7F" w14:textId="77777777" w:rsidR="00422D5C" w:rsidRPr="008E5DDF" w:rsidRDefault="00422D5C" w:rsidP="007A0AE0">
      <w:pPr>
        <w:pStyle w:val="Prrafodelista"/>
        <w:spacing w:after="0"/>
        <w:ind w:left="142"/>
        <w:rPr>
          <w:rFonts w:ascii="Verdana" w:hAnsi="Verdana" w:cs="Arial"/>
          <w:lang w:val="es-MX"/>
        </w:rPr>
      </w:pPr>
    </w:p>
    <w:p w14:paraId="330C44B5" w14:textId="77777777" w:rsidR="007A0AE0" w:rsidRPr="008E5DDF" w:rsidRDefault="007A0AE0" w:rsidP="007A0AE0">
      <w:pPr>
        <w:pStyle w:val="Prrafodelista"/>
        <w:spacing w:after="0"/>
        <w:rPr>
          <w:rFonts w:ascii="Verdana" w:hAnsi="Verdana" w:cs="Arial"/>
          <w:lang w:val="es-MX"/>
        </w:rPr>
      </w:pPr>
    </w:p>
    <w:p w14:paraId="78B49DA1" w14:textId="1E92D139" w:rsidR="007A0AE0" w:rsidRPr="008E5DDF" w:rsidRDefault="007A0AE0" w:rsidP="007A0AE0">
      <w:pPr>
        <w:pStyle w:val="Descripcin"/>
        <w:spacing w:after="0"/>
        <w:jc w:val="center"/>
        <w:rPr>
          <w:rFonts w:ascii="Verdana" w:eastAsia="Times New Roman" w:hAnsi="Verdana" w:cs="Arial"/>
          <w:sz w:val="24"/>
          <w:szCs w:val="24"/>
          <w:lang w:val="es-CO" w:eastAsia="es-MX"/>
        </w:rPr>
      </w:pPr>
      <w:bookmarkStart w:id="440" w:name="_Toc180136804"/>
      <w:bookmarkStart w:id="441" w:name="_Toc231368810"/>
      <w:r w:rsidRPr="008E5DDF">
        <w:rPr>
          <w:rFonts w:ascii="Verdana" w:eastAsia="Times New Roman" w:hAnsi="Verdana" w:cs="Arial"/>
          <w:sz w:val="24"/>
          <w:szCs w:val="24"/>
          <w:lang w:val="es-CO" w:eastAsia="es-MX"/>
        </w:rPr>
        <w:t xml:space="preserve">Gráfica </w:t>
      </w:r>
      <w:r w:rsidRPr="008E5DDF">
        <w:rPr>
          <w:rFonts w:ascii="Verdana" w:eastAsia="Times New Roman" w:hAnsi="Verdana" w:cs="Arial"/>
          <w:sz w:val="24"/>
          <w:szCs w:val="24"/>
          <w:lang w:val="es-CO" w:eastAsia="es-MX"/>
        </w:rPr>
        <w:fldChar w:fldCharType="begin"/>
      </w:r>
      <w:r w:rsidRPr="008E5DDF">
        <w:rPr>
          <w:rFonts w:ascii="Verdana" w:eastAsia="Times New Roman" w:hAnsi="Verdana" w:cs="Arial"/>
          <w:sz w:val="24"/>
          <w:szCs w:val="24"/>
          <w:lang w:val="es-CO" w:eastAsia="es-MX"/>
        </w:rPr>
        <w:instrText xml:space="preserve"> SEQ Gráfica \* ARABIC </w:instrText>
      </w:r>
      <w:r w:rsidRPr="008E5DDF">
        <w:rPr>
          <w:rFonts w:ascii="Verdana" w:eastAsia="Times New Roman" w:hAnsi="Verdana" w:cs="Arial"/>
          <w:sz w:val="24"/>
          <w:szCs w:val="24"/>
          <w:lang w:val="es-CO" w:eastAsia="es-MX"/>
        </w:rPr>
        <w:fldChar w:fldCharType="separate"/>
      </w:r>
      <w:r w:rsidR="00973CF5">
        <w:rPr>
          <w:rFonts w:ascii="Verdana" w:eastAsia="Times New Roman" w:hAnsi="Verdana" w:cs="Arial"/>
          <w:noProof/>
          <w:sz w:val="24"/>
          <w:szCs w:val="24"/>
          <w:lang w:val="es-CO" w:eastAsia="es-MX"/>
        </w:rPr>
        <w:t>35</w:t>
      </w:r>
      <w:r w:rsidRPr="008E5DDF">
        <w:rPr>
          <w:rFonts w:ascii="Verdana" w:eastAsia="Times New Roman" w:hAnsi="Verdana" w:cs="Arial"/>
          <w:sz w:val="24"/>
          <w:szCs w:val="24"/>
          <w:lang w:val="es-CO" w:eastAsia="es-MX"/>
        </w:rPr>
        <w:fldChar w:fldCharType="end"/>
      </w:r>
      <w:r w:rsidRPr="008E5DDF">
        <w:rPr>
          <w:rFonts w:ascii="Verdana" w:eastAsia="Times New Roman" w:hAnsi="Verdana" w:cs="Arial"/>
          <w:sz w:val="24"/>
          <w:szCs w:val="24"/>
          <w:lang w:val="es-CO" w:eastAsia="es-MX"/>
        </w:rPr>
        <w:t>. Rentabilidad sobre Patrimonio</w:t>
      </w:r>
      <w:bookmarkEnd w:id="440"/>
      <w:bookmarkEnd w:id="441"/>
    </w:p>
    <w:p w14:paraId="44102D70" w14:textId="2628935E" w:rsidR="007A0AE0" w:rsidRPr="00926E19" w:rsidRDefault="008E5DDF" w:rsidP="007A0AE0">
      <w:pPr>
        <w:pStyle w:val="Prrafodelista"/>
        <w:spacing w:after="0"/>
        <w:ind w:left="284"/>
        <w:jc w:val="center"/>
        <w:rPr>
          <w:rFonts w:ascii="Verdana" w:hAnsi="Verdana" w:cs="Arial"/>
          <w:lang w:val="es-MX"/>
        </w:rPr>
      </w:pPr>
      <w:r w:rsidRPr="00926E19">
        <w:rPr>
          <w:noProof/>
        </w:rPr>
        <w:drawing>
          <wp:inline distT="0" distB="0" distL="0" distR="0" wp14:anchorId="7DAA454D" wp14:editId="0AD1959D">
            <wp:extent cx="5700395" cy="2030680"/>
            <wp:effectExtent l="0" t="0" r="14605" b="8255"/>
            <wp:docPr id="459002208" name="Gráfico 1">
              <a:extLst xmlns:a="http://schemas.openxmlformats.org/drawingml/2006/main">
                <a:ext uri="{FF2B5EF4-FFF2-40B4-BE49-F238E27FC236}">
                  <a16:creationId xmlns:a16="http://schemas.microsoft.com/office/drawing/2014/main" id="{7FFBC58A-9117-478F-8102-B487339FDA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BD62732" w14:textId="77777777" w:rsidR="00422D5C" w:rsidRPr="00422D5C" w:rsidRDefault="00422D5C" w:rsidP="00422D5C">
      <w:pPr>
        <w:jc w:val="center"/>
        <w:rPr>
          <w:rFonts w:ascii="Verdana" w:hAnsi="Verdana" w:cs="Arial"/>
          <w:sz w:val="22"/>
          <w:szCs w:val="22"/>
          <w:lang w:val="es-MX" w:eastAsia="es-CO"/>
        </w:rPr>
      </w:pPr>
      <w:r w:rsidRPr="00422D5C">
        <w:rPr>
          <w:rFonts w:ascii="Verdana" w:hAnsi="Verdana" w:cs="Arial"/>
          <w:b/>
          <w:bCs/>
          <w:sz w:val="22"/>
          <w:szCs w:val="22"/>
          <w:lang w:val="es-MX" w:eastAsia="es-CO"/>
        </w:rPr>
        <w:t>Fuente</w:t>
      </w:r>
      <w:r w:rsidRPr="00422D5C">
        <w:rPr>
          <w:rFonts w:ascii="Verdana" w:hAnsi="Verdana" w:cs="Arial"/>
          <w:sz w:val="22"/>
          <w:szCs w:val="22"/>
          <w:lang w:val="es-MX" w:eastAsia="es-CO"/>
        </w:rPr>
        <w:t>: Elaboración propia</w:t>
      </w:r>
    </w:p>
    <w:p w14:paraId="4F1F8440" w14:textId="77777777" w:rsidR="007A0AE0" w:rsidRDefault="007A0AE0" w:rsidP="007A0AE0">
      <w:pPr>
        <w:pStyle w:val="Prrafodelista"/>
        <w:spacing w:after="0"/>
        <w:ind w:left="426"/>
        <w:rPr>
          <w:rFonts w:ascii="Verdana" w:hAnsi="Verdana" w:cs="Arial"/>
          <w:lang w:val="es-MX"/>
        </w:rPr>
      </w:pPr>
    </w:p>
    <w:p w14:paraId="4D55A23A" w14:textId="77777777" w:rsidR="00422D5C" w:rsidRDefault="00422D5C" w:rsidP="007A0AE0">
      <w:pPr>
        <w:pStyle w:val="Prrafodelista"/>
        <w:spacing w:after="0"/>
        <w:ind w:left="426"/>
        <w:rPr>
          <w:rFonts w:ascii="Verdana" w:hAnsi="Verdana" w:cs="Arial"/>
          <w:lang w:val="es-MX"/>
        </w:rPr>
      </w:pPr>
    </w:p>
    <w:p w14:paraId="0FBDAB69" w14:textId="77777777" w:rsidR="00422D5C" w:rsidRPr="00926E19" w:rsidRDefault="00422D5C" w:rsidP="007A0AE0">
      <w:pPr>
        <w:pStyle w:val="Prrafodelista"/>
        <w:spacing w:after="0"/>
        <w:ind w:left="426"/>
        <w:rPr>
          <w:rFonts w:ascii="Verdana" w:hAnsi="Verdana" w:cs="Arial"/>
          <w:lang w:val="es-MX"/>
        </w:rPr>
      </w:pPr>
    </w:p>
    <w:p w14:paraId="07216817" w14:textId="31CC18B3" w:rsidR="007A0AE0" w:rsidRPr="00926E19" w:rsidRDefault="007A0AE0" w:rsidP="007A0AE0">
      <w:pPr>
        <w:pStyle w:val="Descripcin"/>
        <w:spacing w:after="0"/>
        <w:jc w:val="center"/>
        <w:rPr>
          <w:rFonts w:ascii="Verdana" w:eastAsia="Times New Roman" w:hAnsi="Verdana" w:cs="Arial"/>
          <w:sz w:val="24"/>
          <w:szCs w:val="24"/>
          <w:lang w:val="es-CO" w:eastAsia="es-MX"/>
        </w:rPr>
      </w:pPr>
      <w:bookmarkStart w:id="442" w:name="_Toc180136805"/>
      <w:bookmarkStart w:id="443" w:name="_Toc231368811"/>
      <w:r w:rsidRPr="00926E19">
        <w:rPr>
          <w:rFonts w:ascii="Verdana" w:eastAsia="Times New Roman" w:hAnsi="Verdana" w:cs="Arial"/>
          <w:sz w:val="24"/>
          <w:szCs w:val="24"/>
          <w:lang w:val="es-CO" w:eastAsia="es-MX"/>
        </w:rPr>
        <w:lastRenderedPageBreak/>
        <w:t xml:space="preserve">Gráfica </w:t>
      </w:r>
      <w:r w:rsidRPr="00926E19">
        <w:rPr>
          <w:rFonts w:ascii="Verdana" w:eastAsia="Times New Roman" w:hAnsi="Verdana" w:cs="Arial"/>
          <w:sz w:val="24"/>
          <w:szCs w:val="24"/>
          <w:lang w:val="es-CO" w:eastAsia="es-MX"/>
        </w:rPr>
        <w:fldChar w:fldCharType="begin"/>
      </w:r>
      <w:r w:rsidRPr="00926E19">
        <w:rPr>
          <w:rFonts w:ascii="Verdana" w:eastAsia="Times New Roman" w:hAnsi="Verdana" w:cs="Arial"/>
          <w:sz w:val="24"/>
          <w:szCs w:val="24"/>
          <w:lang w:val="es-CO" w:eastAsia="es-MX"/>
        </w:rPr>
        <w:instrText xml:space="preserve"> SEQ Gráfica \* ARABIC </w:instrText>
      </w:r>
      <w:r w:rsidRPr="00926E19">
        <w:rPr>
          <w:rFonts w:ascii="Verdana" w:eastAsia="Times New Roman" w:hAnsi="Verdana" w:cs="Arial"/>
          <w:sz w:val="24"/>
          <w:szCs w:val="24"/>
          <w:lang w:val="es-CO" w:eastAsia="es-MX"/>
        </w:rPr>
        <w:fldChar w:fldCharType="separate"/>
      </w:r>
      <w:r w:rsidR="00973CF5">
        <w:rPr>
          <w:rFonts w:ascii="Verdana" w:eastAsia="Times New Roman" w:hAnsi="Verdana" w:cs="Arial"/>
          <w:noProof/>
          <w:sz w:val="24"/>
          <w:szCs w:val="24"/>
          <w:lang w:val="es-CO" w:eastAsia="es-MX"/>
        </w:rPr>
        <w:t>36</w:t>
      </w:r>
      <w:r w:rsidRPr="00926E19">
        <w:rPr>
          <w:rFonts w:ascii="Verdana" w:eastAsia="Times New Roman" w:hAnsi="Verdana" w:cs="Arial"/>
          <w:sz w:val="24"/>
          <w:szCs w:val="24"/>
          <w:lang w:val="es-CO" w:eastAsia="es-MX"/>
        </w:rPr>
        <w:fldChar w:fldCharType="end"/>
      </w:r>
      <w:r w:rsidRPr="00926E19">
        <w:rPr>
          <w:rFonts w:ascii="Verdana" w:eastAsia="Times New Roman" w:hAnsi="Verdana" w:cs="Arial"/>
          <w:sz w:val="24"/>
          <w:szCs w:val="24"/>
          <w:lang w:val="es-CO" w:eastAsia="es-MX"/>
        </w:rPr>
        <w:t>. Rentabilidad sobre Activos</w:t>
      </w:r>
      <w:bookmarkEnd w:id="442"/>
      <w:bookmarkEnd w:id="443"/>
    </w:p>
    <w:p w14:paraId="27A2EFDB" w14:textId="35B0B524" w:rsidR="007A0AE0" w:rsidRPr="00926E19" w:rsidRDefault="00926E19" w:rsidP="00926E19">
      <w:pPr>
        <w:jc w:val="center"/>
        <w:rPr>
          <w:rFonts w:ascii="Verdana" w:hAnsi="Verdana"/>
        </w:rPr>
      </w:pPr>
      <w:r w:rsidRPr="00926E19">
        <w:rPr>
          <w:noProof/>
        </w:rPr>
        <w:drawing>
          <wp:inline distT="0" distB="0" distL="0" distR="0" wp14:anchorId="5721F37A" wp14:editId="1B3D8AA8">
            <wp:extent cx="5212715" cy="2101932"/>
            <wp:effectExtent l="0" t="0" r="6985" b="12700"/>
            <wp:docPr id="1936844040" name="Gráfico 1">
              <a:extLst xmlns:a="http://schemas.openxmlformats.org/drawingml/2006/main">
                <a:ext uri="{FF2B5EF4-FFF2-40B4-BE49-F238E27FC236}">
                  <a16:creationId xmlns:a16="http://schemas.microsoft.com/office/drawing/2014/main" id="{A3DB25EF-A3C6-4B03-930B-D68B68B3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7E00C93" w14:textId="77777777" w:rsidR="00422D5C" w:rsidRPr="00422D5C" w:rsidRDefault="00422D5C" w:rsidP="00422D5C">
      <w:pPr>
        <w:jc w:val="center"/>
        <w:rPr>
          <w:rFonts w:ascii="Verdana" w:hAnsi="Verdana" w:cs="Arial"/>
          <w:sz w:val="22"/>
          <w:szCs w:val="22"/>
          <w:lang w:val="es-MX" w:eastAsia="es-CO"/>
        </w:rPr>
      </w:pPr>
      <w:r w:rsidRPr="00422D5C">
        <w:rPr>
          <w:rFonts w:ascii="Verdana" w:hAnsi="Verdana" w:cs="Arial"/>
          <w:b/>
          <w:bCs/>
          <w:sz w:val="22"/>
          <w:szCs w:val="22"/>
          <w:lang w:val="es-MX" w:eastAsia="es-CO"/>
        </w:rPr>
        <w:t>Fuente</w:t>
      </w:r>
      <w:r w:rsidRPr="00422D5C">
        <w:rPr>
          <w:rFonts w:ascii="Verdana" w:hAnsi="Verdana" w:cs="Arial"/>
          <w:sz w:val="22"/>
          <w:szCs w:val="22"/>
          <w:lang w:val="es-MX" w:eastAsia="es-CO"/>
        </w:rPr>
        <w:t>: Elaboración propia</w:t>
      </w:r>
    </w:p>
    <w:p w14:paraId="41C5BE3C" w14:textId="77777777" w:rsidR="007A0AE0" w:rsidRPr="00611315" w:rsidRDefault="007A0AE0" w:rsidP="007A0AE0">
      <w:pPr>
        <w:pStyle w:val="Prrafodelista"/>
        <w:spacing w:after="0"/>
        <w:rPr>
          <w:rFonts w:ascii="Verdana" w:hAnsi="Verdana" w:cs="Arial"/>
          <w:highlight w:val="yellow"/>
          <w:lang w:val="es-MX"/>
        </w:rPr>
      </w:pPr>
    </w:p>
    <w:p w14:paraId="3C776222" w14:textId="77777777" w:rsidR="00926E19" w:rsidRDefault="00926E19" w:rsidP="007A0AE0">
      <w:pPr>
        <w:pStyle w:val="Prrafodelista"/>
        <w:spacing w:after="0"/>
        <w:rPr>
          <w:rFonts w:ascii="Verdana" w:hAnsi="Verdana" w:cs="Arial"/>
          <w:b/>
          <w:bCs/>
          <w:highlight w:val="yellow"/>
          <w:lang w:val="es-MX"/>
        </w:rPr>
      </w:pPr>
    </w:p>
    <w:p w14:paraId="54EBAD5C" w14:textId="77777777" w:rsidR="00926E19" w:rsidRPr="00611315" w:rsidRDefault="00926E19" w:rsidP="007A0AE0">
      <w:pPr>
        <w:pStyle w:val="Prrafodelista"/>
        <w:spacing w:after="0"/>
        <w:rPr>
          <w:rFonts w:ascii="Verdana" w:hAnsi="Verdana" w:cs="Arial"/>
          <w:b/>
          <w:bCs/>
          <w:highlight w:val="yellow"/>
          <w:lang w:val="es-MX"/>
        </w:rPr>
      </w:pPr>
    </w:p>
    <w:p w14:paraId="66A8234A" w14:textId="77777777" w:rsidR="007A0AE0" w:rsidRPr="00AB5728" w:rsidRDefault="007A0AE0" w:rsidP="007A0AE0">
      <w:pPr>
        <w:spacing w:line="276" w:lineRule="auto"/>
        <w:rPr>
          <w:rFonts w:ascii="Verdana" w:hAnsi="Verdana" w:cs="Arial"/>
          <w:b/>
          <w:sz w:val="22"/>
          <w:szCs w:val="22"/>
        </w:rPr>
      </w:pPr>
      <w:r w:rsidRPr="00AB5728">
        <w:rPr>
          <w:rFonts w:ascii="Verdana" w:hAnsi="Verdana" w:cs="Arial"/>
          <w:b/>
          <w:sz w:val="22"/>
          <w:szCs w:val="22"/>
        </w:rPr>
        <w:t xml:space="preserve">Propuesta requisitos habilitantes de capacidad financiera y organizacional </w:t>
      </w:r>
    </w:p>
    <w:p w14:paraId="5B5EC16C" w14:textId="77777777" w:rsidR="007A0AE0" w:rsidRPr="00AB5728" w:rsidRDefault="007A0AE0" w:rsidP="007A0AE0">
      <w:pPr>
        <w:rPr>
          <w:rFonts w:ascii="Verdana" w:hAnsi="Verdana" w:cs="Arial"/>
          <w:lang w:val="es-MX"/>
        </w:rPr>
      </w:pPr>
    </w:p>
    <w:p w14:paraId="5D2F2985" w14:textId="2F06C672" w:rsidR="007A0AE0" w:rsidRPr="00AB5728" w:rsidRDefault="007A0AE0" w:rsidP="007A0AE0">
      <w:pPr>
        <w:pStyle w:val="Descripcin"/>
        <w:jc w:val="both"/>
        <w:rPr>
          <w:rFonts w:ascii="Verdana" w:eastAsia="Times New Roman" w:hAnsi="Verdana" w:cs="Arial"/>
          <w:b w:val="0"/>
          <w:bCs w:val="0"/>
          <w:sz w:val="22"/>
          <w:szCs w:val="22"/>
          <w:lang w:val="es-MX" w:eastAsia="es-MX"/>
        </w:rPr>
      </w:pPr>
      <w:r w:rsidRPr="00AB5728">
        <w:rPr>
          <w:rFonts w:ascii="Verdana" w:eastAsia="Times New Roman" w:hAnsi="Verdana" w:cs="Arial"/>
          <w:b w:val="0"/>
          <w:bCs w:val="0"/>
          <w:sz w:val="22"/>
          <w:szCs w:val="22"/>
          <w:lang w:val="es-MX" w:eastAsia="es-MX"/>
        </w:rPr>
        <w:t xml:space="preserve">Conforme con lo anterior, y con el objetivo de establecer requisitos mínimos habilitantes de capacidad financiera y organizacional que sean proporcionales a las diferentes condiciones de los procesos de selección (modalidad, presupuesto, plazo, </w:t>
      </w:r>
      <w:proofErr w:type="spellStart"/>
      <w:r w:rsidRPr="00AB5728">
        <w:rPr>
          <w:rFonts w:ascii="Verdana" w:eastAsia="Times New Roman" w:hAnsi="Verdana" w:cs="Arial"/>
          <w:b w:val="0"/>
          <w:bCs w:val="0"/>
          <w:sz w:val="22"/>
          <w:szCs w:val="22"/>
          <w:lang w:val="es-MX" w:eastAsia="es-MX"/>
        </w:rPr>
        <w:t>etc</w:t>
      </w:r>
      <w:proofErr w:type="spellEnd"/>
      <w:r w:rsidRPr="00AB5728">
        <w:rPr>
          <w:rFonts w:ascii="Verdana" w:eastAsia="Times New Roman" w:hAnsi="Verdana" w:cs="Arial"/>
          <w:b w:val="0"/>
          <w:bCs w:val="0"/>
          <w:sz w:val="22"/>
          <w:szCs w:val="22"/>
          <w:lang w:val="es-MX" w:eastAsia="es-MX"/>
        </w:rPr>
        <w:t xml:space="preserve">), a continuación, se presenta la propuesta de indicadores financieros para ser consideradas para la nueva actualización del pliego tipo para proyectos de infraestructura de obra </w:t>
      </w:r>
      <w:r w:rsidR="00AB5728" w:rsidRPr="00AB5728">
        <w:rPr>
          <w:rFonts w:ascii="Verdana" w:eastAsia="Times New Roman" w:hAnsi="Verdana" w:cs="Arial"/>
          <w:b w:val="0"/>
          <w:bCs w:val="0"/>
          <w:sz w:val="22"/>
          <w:szCs w:val="22"/>
          <w:lang w:val="es-MX" w:eastAsia="es-MX"/>
        </w:rPr>
        <w:t>agua potable y saneamiento básico</w:t>
      </w:r>
      <w:r w:rsidRPr="00AB5728">
        <w:rPr>
          <w:rFonts w:ascii="Verdana" w:eastAsia="Times New Roman" w:hAnsi="Verdana" w:cs="Arial"/>
          <w:b w:val="0"/>
          <w:bCs w:val="0"/>
          <w:sz w:val="22"/>
          <w:szCs w:val="22"/>
          <w:lang w:val="es-MX" w:eastAsia="es-MX"/>
        </w:rPr>
        <w:t xml:space="preserve"> en la modalidad de licitación pública</w:t>
      </w:r>
      <w:r w:rsidR="00AB5728" w:rsidRPr="00AB5728">
        <w:rPr>
          <w:rFonts w:ascii="Verdana" w:eastAsia="Times New Roman" w:hAnsi="Verdana" w:cs="Arial"/>
          <w:b w:val="0"/>
          <w:bCs w:val="0"/>
          <w:sz w:val="22"/>
          <w:szCs w:val="22"/>
          <w:lang w:val="es-MX" w:eastAsia="es-MX"/>
        </w:rPr>
        <w:t>.</w:t>
      </w:r>
      <w:r w:rsidRPr="00AB5728">
        <w:rPr>
          <w:rFonts w:ascii="Verdana" w:eastAsia="Times New Roman" w:hAnsi="Verdana" w:cs="Arial"/>
          <w:b w:val="0"/>
          <w:bCs w:val="0"/>
          <w:sz w:val="22"/>
          <w:szCs w:val="22"/>
          <w:lang w:val="es-MX" w:eastAsia="es-MX"/>
        </w:rPr>
        <w:t xml:space="preserve"> </w:t>
      </w:r>
    </w:p>
    <w:p w14:paraId="7558B29F" w14:textId="2D9E3F20" w:rsidR="007A0AE0" w:rsidRPr="00AB5728" w:rsidRDefault="007A0AE0" w:rsidP="007A0AE0">
      <w:pPr>
        <w:pStyle w:val="Descripcin"/>
        <w:jc w:val="both"/>
        <w:rPr>
          <w:rFonts w:ascii="Verdana" w:hAnsi="Verdana"/>
        </w:rPr>
      </w:pPr>
      <w:r w:rsidRPr="00AB5728">
        <w:rPr>
          <w:rFonts w:ascii="Verdana" w:eastAsia="Times New Roman" w:hAnsi="Verdana" w:cs="Arial"/>
          <w:b w:val="0"/>
          <w:bCs w:val="0"/>
          <w:sz w:val="22"/>
          <w:szCs w:val="22"/>
          <w:lang w:val="es-MX" w:eastAsia="es-MX"/>
        </w:rPr>
        <w:t xml:space="preserve">En esta nueva versión del documento tipo, los requisitos de capacidad financiera y organizacional serán definidos de acuerdo con el presupuesto oficial del proceso de selección (expresados en SMMLV), con base en los siguientes rangos de presupuesto definidos de conformidad con </w:t>
      </w:r>
      <w:r w:rsidR="253036D8" w:rsidRPr="00AB5728">
        <w:rPr>
          <w:rFonts w:ascii="Verdana" w:eastAsia="Times New Roman" w:hAnsi="Verdana" w:cs="Arial"/>
          <w:b w:val="0"/>
          <w:bCs w:val="0"/>
          <w:sz w:val="22"/>
          <w:szCs w:val="22"/>
          <w:lang w:val="es-MX" w:eastAsia="es-MX"/>
        </w:rPr>
        <w:t>las matrices</w:t>
      </w:r>
      <w:r w:rsidRPr="00AB5728">
        <w:rPr>
          <w:rFonts w:ascii="Verdana" w:eastAsia="Times New Roman" w:hAnsi="Verdana" w:cs="Arial"/>
          <w:b w:val="0"/>
          <w:bCs w:val="0"/>
          <w:sz w:val="22"/>
          <w:szCs w:val="22"/>
          <w:lang w:val="es-MX" w:eastAsia="es-MX"/>
        </w:rPr>
        <w:t xml:space="preserve"> de experiencia de los proyectos de infraestructura </w:t>
      </w:r>
      <w:r w:rsidR="00D65F57">
        <w:rPr>
          <w:rFonts w:ascii="Verdana" w:eastAsia="Times New Roman" w:hAnsi="Verdana" w:cs="Arial"/>
          <w:b w:val="0"/>
          <w:bCs w:val="0"/>
          <w:sz w:val="22"/>
          <w:szCs w:val="22"/>
          <w:lang w:val="es-MX" w:eastAsia="es-MX"/>
        </w:rPr>
        <w:t>de agua potables y saneamiento básico</w:t>
      </w:r>
      <w:r w:rsidRPr="00AB5728">
        <w:rPr>
          <w:rFonts w:ascii="Verdana" w:eastAsia="Times New Roman" w:hAnsi="Verdana" w:cs="Arial"/>
          <w:b w:val="0"/>
          <w:bCs w:val="0"/>
          <w:sz w:val="22"/>
          <w:szCs w:val="22"/>
          <w:lang w:val="es-MX" w:eastAsia="es-MX"/>
        </w:rPr>
        <w:t xml:space="preserve"> estructurada para la presente versión de los pliegos tipo:</w:t>
      </w:r>
    </w:p>
    <w:p w14:paraId="66C97FC3" w14:textId="2A993CFF" w:rsidR="007A0AE0" w:rsidRPr="00AB5728" w:rsidRDefault="007A0AE0" w:rsidP="007A0AE0">
      <w:pPr>
        <w:pStyle w:val="Descripcin"/>
        <w:spacing w:after="0"/>
        <w:jc w:val="center"/>
        <w:rPr>
          <w:rFonts w:ascii="Verdana" w:hAnsi="Verdana" w:cs="Arial"/>
          <w:lang w:val="es-MX"/>
        </w:rPr>
      </w:pPr>
      <w:bookmarkStart w:id="444" w:name="_Toc180136827"/>
      <w:bookmarkStart w:id="445" w:name="_Toc231368678"/>
      <w:r w:rsidRPr="00AB5728">
        <w:rPr>
          <w:rFonts w:ascii="Verdana" w:eastAsia="Verdana Pro" w:hAnsi="Verdana" w:cs="Verdana Pro"/>
          <w:sz w:val="22"/>
          <w:szCs w:val="22"/>
        </w:rPr>
        <w:t xml:space="preserve">Tabla </w:t>
      </w:r>
      <w:r w:rsidRPr="00AB5728">
        <w:rPr>
          <w:rFonts w:ascii="Verdana" w:hAnsi="Verdana"/>
          <w:sz w:val="22"/>
          <w:szCs w:val="22"/>
        </w:rPr>
        <w:fldChar w:fldCharType="begin"/>
      </w:r>
      <w:r w:rsidRPr="00AB5728">
        <w:rPr>
          <w:rFonts w:ascii="Verdana" w:hAnsi="Verdana"/>
          <w:sz w:val="22"/>
          <w:szCs w:val="22"/>
        </w:rPr>
        <w:instrText xml:space="preserve"> SEQ Tabla \* ARABIC </w:instrText>
      </w:r>
      <w:r w:rsidRPr="00AB5728">
        <w:rPr>
          <w:rFonts w:ascii="Verdana" w:hAnsi="Verdana"/>
          <w:sz w:val="22"/>
          <w:szCs w:val="22"/>
        </w:rPr>
        <w:fldChar w:fldCharType="separate"/>
      </w:r>
      <w:r w:rsidR="00F322F6">
        <w:rPr>
          <w:rFonts w:ascii="Verdana" w:hAnsi="Verdana"/>
          <w:noProof/>
          <w:sz w:val="22"/>
          <w:szCs w:val="22"/>
        </w:rPr>
        <w:t>11</w:t>
      </w:r>
      <w:r w:rsidRPr="00AB5728">
        <w:rPr>
          <w:rFonts w:ascii="Verdana" w:hAnsi="Verdana"/>
          <w:sz w:val="22"/>
          <w:szCs w:val="22"/>
        </w:rPr>
        <w:fldChar w:fldCharType="end"/>
      </w:r>
      <w:r w:rsidRPr="00AB5728">
        <w:rPr>
          <w:rFonts w:ascii="Verdana" w:eastAsia="Verdana Pro" w:hAnsi="Verdana" w:cs="Verdana Pro"/>
          <w:sz w:val="22"/>
          <w:szCs w:val="22"/>
        </w:rPr>
        <w:t>. Rangos SMMLV</w:t>
      </w:r>
      <w:bookmarkEnd w:id="444"/>
      <w:bookmarkEnd w:id="445"/>
    </w:p>
    <w:tbl>
      <w:tblPr>
        <w:tblW w:w="0" w:type="auto"/>
        <w:jc w:val="center"/>
        <w:tblCellMar>
          <w:left w:w="70" w:type="dxa"/>
          <w:right w:w="70" w:type="dxa"/>
        </w:tblCellMar>
        <w:tblLook w:val="04A0" w:firstRow="1" w:lastRow="0" w:firstColumn="1" w:lastColumn="0" w:noHBand="0" w:noVBand="1"/>
      </w:tblPr>
      <w:tblGrid>
        <w:gridCol w:w="1129"/>
        <w:gridCol w:w="1330"/>
        <w:gridCol w:w="1364"/>
        <w:gridCol w:w="1417"/>
      </w:tblGrid>
      <w:tr w:rsidR="007A0AE0" w:rsidRPr="00AB5728" w14:paraId="6688982E" w14:textId="77777777" w:rsidTr="00007C4E">
        <w:trPr>
          <w:trHeight w:val="20"/>
          <w:jc w:val="center"/>
        </w:trPr>
        <w:tc>
          <w:tcPr>
            <w:tcW w:w="245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373B5F" w14:textId="77777777" w:rsidR="007A0AE0" w:rsidRPr="00AB5728" w:rsidRDefault="007A0AE0" w:rsidP="00007C4E">
            <w:pPr>
              <w:jc w:val="center"/>
              <w:rPr>
                <w:rFonts w:ascii="Verdana" w:hAnsi="Verdana" w:cs="Arial"/>
                <w:b/>
                <w:bCs/>
                <w:sz w:val="20"/>
                <w:szCs w:val="20"/>
                <w:lang w:eastAsia="es-CO"/>
              </w:rPr>
            </w:pPr>
            <w:r w:rsidRPr="00AB5728">
              <w:rPr>
                <w:rFonts w:ascii="Verdana" w:hAnsi="Verdana" w:cs="Arial"/>
                <w:b/>
                <w:bCs/>
                <w:sz w:val="20"/>
                <w:szCs w:val="20"/>
                <w:lang w:eastAsia="es-CO"/>
              </w:rPr>
              <w:t>Rango 1</w:t>
            </w:r>
          </w:p>
        </w:tc>
        <w:tc>
          <w:tcPr>
            <w:tcW w:w="2781" w:type="dxa"/>
            <w:gridSpan w:val="2"/>
            <w:tcBorders>
              <w:top w:val="single" w:sz="4" w:space="0" w:color="auto"/>
              <w:left w:val="nil"/>
              <w:bottom w:val="single" w:sz="4" w:space="0" w:color="auto"/>
              <w:right w:val="single" w:sz="4" w:space="0" w:color="000000"/>
            </w:tcBorders>
            <w:shd w:val="clear" w:color="000000" w:fill="F2F2F2"/>
            <w:noWrap/>
            <w:vAlign w:val="center"/>
            <w:hideMark/>
          </w:tcPr>
          <w:p w14:paraId="70ED9C0D" w14:textId="77777777" w:rsidR="007A0AE0" w:rsidRPr="00AB5728" w:rsidRDefault="007A0AE0" w:rsidP="00007C4E">
            <w:pPr>
              <w:jc w:val="center"/>
              <w:rPr>
                <w:rFonts w:ascii="Verdana" w:hAnsi="Verdana" w:cs="Arial"/>
                <w:b/>
                <w:bCs/>
                <w:sz w:val="20"/>
                <w:szCs w:val="20"/>
                <w:lang w:eastAsia="es-CO"/>
              </w:rPr>
            </w:pPr>
            <w:r w:rsidRPr="00AB5728">
              <w:rPr>
                <w:rFonts w:ascii="Verdana" w:hAnsi="Verdana" w:cs="Arial"/>
                <w:b/>
                <w:bCs/>
                <w:sz w:val="20"/>
                <w:szCs w:val="20"/>
                <w:lang w:eastAsia="es-CO"/>
              </w:rPr>
              <w:t>Rango 2</w:t>
            </w:r>
          </w:p>
        </w:tc>
      </w:tr>
      <w:tr w:rsidR="007A0AE0" w:rsidRPr="00AB5728" w14:paraId="6350745A" w14:textId="77777777" w:rsidTr="00007C4E">
        <w:trPr>
          <w:trHeight w:val="20"/>
          <w:jc w:val="center"/>
        </w:trPr>
        <w:tc>
          <w:tcPr>
            <w:tcW w:w="1129" w:type="dxa"/>
            <w:tcBorders>
              <w:top w:val="nil"/>
              <w:left w:val="nil"/>
              <w:bottom w:val="nil"/>
              <w:right w:val="nil"/>
            </w:tcBorders>
            <w:noWrap/>
            <w:vAlign w:val="bottom"/>
            <w:hideMark/>
          </w:tcPr>
          <w:p w14:paraId="2143077C" w14:textId="77777777" w:rsidR="007A0AE0" w:rsidRPr="00AB5728" w:rsidRDefault="007A0AE0" w:rsidP="00007C4E">
            <w:pPr>
              <w:jc w:val="center"/>
              <w:rPr>
                <w:rFonts w:ascii="Verdana" w:hAnsi="Verdana" w:cs="Arial"/>
                <w:b/>
                <w:bCs/>
                <w:sz w:val="20"/>
                <w:szCs w:val="20"/>
                <w:lang w:eastAsia="es-CO"/>
              </w:rPr>
            </w:pPr>
          </w:p>
        </w:tc>
        <w:tc>
          <w:tcPr>
            <w:tcW w:w="1330" w:type="dxa"/>
            <w:tcBorders>
              <w:top w:val="nil"/>
              <w:left w:val="nil"/>
              <w:bottom w:val="nil"/>
              <w:right w:val="nil"/>
            </w:tcBorders>
            <w:noWrap/>
            <w:vAlign w:val="bottom"/>
            <w:hideMark/>
          </w:tcPr>
          <w:p w14:paraId="2382F3AB" w14:textId="77777777" w:rsidR="007A0AE0" w:rsidRPr="00AB5728" w:rsidRDefault="007A0AE0" w:rsidP="00007C4E">
            <w:pPr>
              <w:rPr>
                <w:rFonts w:ascii="Verdana" w:hAnsi="Verdana" w:cs="Arial"/>
                <w:sz w:val="20"/>
                <w:szCs w:val="20"/>
                <w:lang w:eastAsia="es-CO"/>
              </w:rPr>
            </w:pPr>
          </w:p>
        </w:tc>
        <w:tc>
          <w:tcPr>
            <w:tcW w:w="1364" w:type="dxa"/>
            <w:tcBorders>
              <w:top w:val="nil"/>
              <w:left w:val="nil"/>
              <w:bottom w:val="nil"/>
              <w:right w:val="nil"/>
            </w:tcBorders>
            <w:noWrap/>
            <w:vAlign w:val="bottom"/>
            <w:hideMark/>
          </w:tcPr>
          <w:p w14:paraId="71CAB5DE" w14:textId="77777777" w:rsidR="007A0AE0" w:rsidRPr="00AB5728" w:rsidRDefault="007A0AE0" w:rsidP="00007C4E">
            <w:pPr>
              <w:rPr>
                <w:rFonts w:ascii="Verdana" w:hAnsi="Verdana" w:cs="Arial"/>
                <w:sz w:val="20"/>
                <w:szCs w:val="20"/>
                <w:lang w:eastAsia="es-CO"/>
              </w:rPr>
            </w:pPr>
          </w:p>
        </w:tc>
        <w:tc>
          <w:tcPr>
            <w:tcW w:w="1417" w:type="dxa"/>
            <w:tcBorders>
              <w:top w:val="nil"/>
              <w:left w:val="nil"/>
              <w:bottom w:val="nil"/>
              <w:right w:val="nil"/>
            </w:tcBorders>
            <w:noWrap/>
            <w:vAlign w:val="bottom"/>
            <w:hideMark/>
          </w:tcPr>
          <w:p w14:paraId="08B0022F" w14:textId="77777777" w:rsidR="007A0AE0" w:rsidRPr="00AB5728" w:rsidRDefault="007A0AE0" w:rsidP="00007C4E">
            <w:pPr>
              <w:rPr>
                <w:rFonts w:ascii="Verdana" w:hAnsi="Verdana" w:cs="Arial"/>
                <w:sz w:val="20"/>
                <w:szCs w:val="20"/>
                <w:lang w:eastAsia="es-CO"/>
              </w:rPr>
            </w:pPr>
          </w:p>
        </w:tc>
      </w:tr>
      <w:tr w:rsidR="007A0AE0" w:rsidRPr="00AB5728" w14:paraId="4DDA78C7" w14:textId="77777777" w:rsidTr="00007C4E">
        <w:trPr>
          <w:trHeight w:val="20"/>
          <w:jc w:val="center"/>
        </w:trPr>
        <w:tc>
          <w:tcPr>
            <w:tcW w:w="1129" w:type="dxa"/>
            <w:tcBorders>
              <w:top w:val="single" w:sz="4" w:space="0" w:color="auto"/>
              <w:left w:val="single" w:sz="4" w:space="0" w:color="auto"/>
              <w:bottom w:val="single" w:sz="4" w:space="0" w:color="auto"/>
              <w:right w:val="single" w:sz="4" w:space="0" w:color="auto"/>
            </w:tcBorders>
            <w:noWrap/>
            <w:vAlign w:val="center"/>
            <w:hideMark/>
          </w:tcPr>
          <w:p w14:paraId="208C9224" w14:textId="77777777" w:rsidR="007A0AE0" w:rsidRPr="00AB5728" w:rsidRDefault="007A0AE0" w:rsidP="00007C4E">
            <w:pPr>
              <w:jc w:val="center"/>
              <w:rPr>
                <w:rFonts w:ascii="Verdana" w:hAnsi="Verdana" w:cs="Arial"/>
                <w:b/>
                <w:bCs/>
                <w:sz w:val="16"/>
                <w:szCs w:val="16"/>
                <w:lang w:eastAsia="es-CO"/>
              </w:rPr>
            </w:pPr>
            <w:r w:rsidRPr="00AB5728">
              <w:rPr>
                <w:rFonts w:ascii="Verdana" w:hAnsi="Verdana" w:cs="Arial"/>
                <w:b/>
                <w:bCs/>
                <w:sz w:val="16"/>
                <w:szCs w:val="16"/>
                <w:lang w:eastAsia="es-CO"/>
              </w:rPr>
              <w:t>&gt;0</w:t>
            </w:r>
          </w:p>
        </w:tc>
        <w:tc>
          <w:tcPr>
            <w:tcW w:w="1330" w:type="dxa"/>
            <w:tcBorders>
              <w:top w:val="single" w:sz="4" w:space="0" w:color="auto"/>
              <w:left w:val="nil"/>
              <w:bottom w:val="single" w:sz="4" w:space="0" w:color="auto"/>
              <w:right w:val="single" w:sz="4" w:space="0" w:color="auto"/>
            </w:tcBorders>
            <w:noWrap/>
            <w:vAlign w:val="center"/>
            <w:hideMark/>
          </w:tcPr>
          <w:p w14:paraId="4BCF22B4" w14:textId="77CA8C61" w:rsidR="007A0AE0" w:rsidRPr="00AB5728" w:rsidRDefault="007A0AE0" w:rsidP="00007C4E">
            <w:pPr>
              <w:jc w:val="center"/>
              <w:rPr>
                <w:rFonts w:ascii="Verdana" w:hAnsi="Verdana" w:cs="Arial"/>
                <w:b/>
                <w:bCs/>
                <w:sz w:val="16"/>
                <w:szCs w:val="16"/>
                <w:lang w:eastAsia="es-CO"/>
              </w:rPr>
            </w:pPr>
            <w:r w:rsidRPr="00AB5728">
              <w:rPr>
                <w:rFonts w:ascii="Verdana" w:hAnsi="Verdana" w:cs="Arial"/>
                <w:b/>
                <w:bCs/>
                <w:sz w:val="16"/>
                <w:szCs w:val="16"/>
                <w:lang w:eastAsia="es-CO"/>
              </w:rPr>
              <w:t>&lt;</w:t>
            </w:r>
            <w:r w:rsidR="00B85D54">
              <w:rPr>
                <w:rFonts w:ascii="Verdana" w:hAnsi="Verdana" w:cs="Arial"/>
                <w:b/>
                <w:bCs/>
                <w:sz w:val="16"/>
                <w:szCs w:val="16"/>
                <w:lang w:eastAsia="es-CO"/>
              </w:rPr>
              <w:t>13</w:t>
            </w:r>
            <w:r w:rsidRPr="00AB5728">
              <w:rPr>
                <w:rFonts w:ascii="Verdana" w:hAnsi="Verdana" w:cs="Arial"/>
                <w:b/>
                <w:bCs/>
                <w:sz w:val="16"/>
                <w:szCs w:val="16"/>
                <w:lang w:eastAsia="es-CO"/>
              </w:rPr>
              <w:t>.000</w:t>
            </w:r>
          </w:p>
        </w:tc>
        <w:tc>
          <w:tcPr>
            <w:tcW w:w="1364" w:type="dxa"/>
            <w:tcBorders>
              <w:top w:val="single" w:sz="4" w:space="0" w:color="auto"/>
              <w:left w:val="nil"/>
              <w:bottom w:val="single" w:sz="4" w:space="0" w:color="auto"/>
              <w:right w:val="single" w:sz="4" w:space="0" w:color="auto"/>
            </w:tcBorders>
            <w:noWrap/>
            <w:vAlign w:val="center"/>
            <w:hideMark/>
          </w:tcPr>
          <w:p w14:paraId="647332FF" w14:textId="3FA98DAB" w:rsidR="007A0AE0" w:rsidRPr="00AB5728" w:rsidRDefault="007A0AE0" w:rsidP="00007C4E">
            <w:pPr>
              <w:jc w:val="center"/>
              <w:rPr>
                <w:rFonts w:ascii="Verdana" w:hAnsi="Verdana" w:cs="Arial"/>
                <w:b/>
                <w:bCs/>
                <w:sz w:val="16"/>
                <w:szCs w:val="16"/>
                <w:lang w:eastAsia="es-CO"/>
              </w:rPr>
            </w:pPr>
            <w:r w:rsidRPr="00AB5728">
              <w:rPr>
                <w:rFonts w:ascii="Verdana" w:hAnsi="Verdana" w:cs="Arial"/>
                <w:b/>
                <w:bCs/>
                <w:sz w:val="16"/>
                <w:szCs w:val="16"/>
                <w:lang w:eastAsia="es-CO"/>
              </w:rPr>
              <w:t xml:space="preserve">&gt;= </w:t>
            </w:r>
            <w:r w:rsidR="00B85D54">
              <w:rPr>
                <w:rFonts w:ascii="Verdana" w:hAnsi="Verdana" w:cs="Arial"/>
                <w:b/>
                <w:bCs/>
                <w:sz w:val="16"/>
                <w:szCs w:val="16"/>
                <w:lang w:eastAsia="es-CO"/>
              </w:rPr>
              <w:t>13</w:t>
            </w:r>
            <w:r w:rsidRPr="00AB5728">
              <w:rPr>
                <w:rFonts w:ascii="Verdana" w:hAnsi="Verdana" w:cs="Arial"/>
                <w:b/>
                <w:bCs/>
                <w:sz w:val="16"/>
                <w:szCs w:val="16"/>
                <w:lang w:eastAsia="es-CO"/>
              </w:rPr>
              <w:t>.000</w:t>
            </w:r>
          </w:p>
        </w:tc>
        <w:tc>
          <w:tcPr>
            <w:tcW w:w="1417" w:type="dxa"/>
            <w:tcBorders>
              <w:top w:val="single" w:sz="4" w:space="0" w:color="auto"/>
              <w:left w:val="nil"/>
              <w:bottom w:val="single" w:sz="4" w:space="0" w:color="auto"/>
              <w:right w:val="single" w:sz="4" w:space="0" w:color="auto"/>
            </w:tcBorders>
            <w:noWrap/>
            <w:vAlign w:val="center"/>
            <w:hideMark/>
          </w:tcPr>
          <w:p w14:paraId="32785826" w14:textId="77777777" w:rsidR="007A0AE0" w:rsidRPr="00AB5728" w:rsidRDefault="007A0AE0" w:rsidP="00007C4E">
            <w:pPr>
              <w:jc w:val="center"/>
              <w:rPr>
                <w:rFonts w:ascii="Verdana" w:hAnsi="Verdana" w:cs="Arial"/>
                <w:b/>
                <w:bCs/>
                <w:sz w:val="16"/>
                <w:szCs w:val="16"/>
                <w:lang w:eastAsia="es-CO"/>
              </w:rPr>
            </w:pPr>
            <w:r w:rsidRPr="00AB5728">
              <w:rPr>
                <w:rFonts w:ascii="Verdana" w:hAnsi="Verdana" w:cs="Arial"/>
                <w:b/>
                <w:bCs/>
                <w:sz w:val="16"/>
                <w:szCs w:val="16"/>
                <w:lang w:eastAsia="es-CO"/>
              </w:rPr>
              <w:t>-</w:t>
            </w:r>
          </w:p>
        </w:tc>
      </w:tr>
    </w:tbl>
    <w:p w14:paraId="5158555D" w14:textId="24088363" w:rsidR="007A0AE0" w:rsidRPr="00E158AE" w:rsidRDefault="007A4815" w:rsidP="008A5378">
      <w:pPr>
        <w:pStyle w:val="Prrafodelista"/>
        <w:ind w:left="0"/>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008A5378" w:rsidRPr="00E158AE">
        <w:rPr>
          <w:rFonts w:ascii="Verdana" w:hAnsi="Verdana" w:cs="Arial"/>
          <w:lang w:val="es-MX"/>
        </w:rPr>
        <w:t>Elaboración propia</w:t>
      </w:r>
      <w:r w:rsidR="008A5378">
        <w:rPr>
          <w:rFonts w:ascii="Verdana" w:hAnsi="Verdana" w:cs="Arial"/>
          <w:lang w:val="es-MX"/>
        </w:rPr>
        <w:t xml:space="preserve"> </w:t>
      </w:r>
      <w:r w:rsidR="007A0AE0" w:rsidRPr="00E158AE">
        <w:rPr>
          <w:rFonts w:ascii="Verdana" w:hAnsi="Verdana" w:cs="Arial"/>
          <w:lang w:val="es-MX"/>
        </w:rPr>
        <w:t>(Cifras expresadas en SMMLV)</w:t>
      </w:r>
    </w:p>
    <w:p w14:paraId="18B72EE7" w14:textId="77777777" w:rsidR="007A0AE0" w:rsidRPr="00AB5728" w:rsidRDefault="007A0AE0" w:rsidP="007A0AE0">
      <w:pPr>
        <w:rPr>
          <w:rFonts w:ascii="Verdana" w:hAnsi="Verdana" w:cs="Arial"/>
          <w:sz w:val="16"/>
          <w:szCs w:val="16"/>
          <w:lang w:val="es-MX"/>
        </w:rPr>
      </w:pPr>
    </w:p>
    <w:p w14:paraId="468F1B79" w14:textId="77777777" w:rsidR="007A0AE0" w:rsidRPr="00AB5728" w:rsidRDefault="007A0AE0" w:rsidP="007A0AE0">
      <w:pPr>
        <w:pStyle w:val="Prrafodelista"/>
        <w:numPr>
          <w:ilvl w:val="0"/>
          <w:numId w:val="56"/>
        </w:numPr>
        <w:spacing w:after="200" w:line="276" w:lineRule="auto"/>
        <w:contextualSpacing w:val="0"/>
        <w:rPr>
          <w:rFonts w:ascii="Verdana" w:eastAsia="Times New Roman" w:hAnsi="Verdana" w:cs="Arial"/>
          <w:b/>
          <w:lang w:eastAsia="es-MX"/>
        </w:rPr>
      </w:pPr>
      <w:r w:rsidRPr="00AB5728">
        <w:rPr>
          <w:rFonts w:ascii="Verdana" w:eastAsia="Times New Roman" w:hAnsi="Verdana" w:cs="Arial"/>
          <w:b/>
          <w:lang w:eastAsia="es-MX"/>
        </w:rPr>
        <w:t>Indicadores de Capacidad Financiera y Organizacional</w:t>
      </w:r>
    </w:p>
    <w:p w14:paraId="7B1DDCB3" w14:textId="77777777" w:rsidR="007A0AE0" w:rsidRPr="00AB5728" w:rsidRDefault="007A0AE0" w:rsidP="007A0AE0">
      <w:pPr>
        <w:jc w:val="both"/>
        <w:rPr>
          <w:rFonts w:ascii="Verdana" w:hAnsi="Verdana" w:cs="Arial"/>
          <w:sz w:val="22"/>
          <w:szCs w:val="22"/>
          <w:lang w:val="es-MX"/>
        </w:rPr>
      </w:pPr>
      <w:r w:rsidRPr="00AB5728">
        <w:rPr>
          <w:rFonts w:ascii="Verdana" w:hAnsi="Verdana" w:cs="Arial"/>
          <w:sz w:val="22"/>
          <w:szCs w:val="22"/>
          <w:lang w:val="es-MX"/>
        </w:rPr>
        <w:t>Los indicadores de capacidad financiera y de capacidad organizacional propuestos son los siguientes:</w:t>
      </w:r>
    </w:p>
    <w:p w14:paraId="43A8C6DF" w14:textId="77777777" w:rsidR="007A0AE0" w:rsidRPr="00AB5728" w:rsidRDefault="007A0AE0" w:rsidP="007A0AE0">
      <w:pPr>
        <w:jc w:val="both"/>
        <w:rPr>
          <w:rFonts w:ascii="Verdana" w:hAnsi="Verdana" w:cs="Arial"/>
          <w:sz w:val="22"/>
          <w:szCs w:val="22"/>
          <w:lang w:val="es-MX"/>
        </w:rPr>
      </w:pPr>
    </w:p>
    <w:p w14:paraId="3CE23EFD" w14:textId="71FAE6D3" w:rsidR="007A0AE0" w:rsidRPr="00AB5728" w:rsidRDefault="007A0AE0" w:rsidP="007A0AE0">
      <w:pPr>
        <w:pStyle w:val="Descripcin"/>
        <w:spacing w:after="0"/>
        <w:jc w:val="center"/>
        <w:rPr>
          <w:rFonts w:ascii="Verdana" w:hAnsi="Verdana" w:cs="Arial"/>
          <w:sz w:val="22"/>
          <w:szCs w:val="22"/>
          <w:lang w:val="es-MX"/>
        </w:rPr>
      </w:pPr>
      <w:bookmarkStart w:id="446" w:name="_Toc180136828"/>
      <w:bookmarkStart w:id="447" w:name="_Toc231368679"/>
      <w:r w:rsidRPr="00AB5728">
        <w:rPr>
          <w:rFonts w:ascii="Verdana" w:hAnsi="Verdana"/>
          <w:sz w:val="22"/>
          <w:szCs w:val="22"/>
        </w:rPr>
        <w:t xml:space="preserve">Tabla </w:t>
      </w:r>
      <w:r w:rsidRPr="00AB5728">
        <w:rPr>
          <w:rFonts w:ascii="Verdana" w:hAnsi="Verdana"/>
          <w:sz w:val="22"/>
          <w:szCs w:val="22"/>
        </w:rPr>
        <w:fldChar w:fldCharType="begin"/>
      </w:r>
      <w:r w:rsidRPr="00AB5728">
        <w:rPr>
          <w:rFonts w:ascii="Verdana" w:hAnsi="Verdana"/>
          <w:sz w:val="22"/>
          <w:szCs w:val="22"/>
        </w:rPr>
        <w:instrText xml:space="preserve"> SEQ Tabla \* ARABIC </w:instrText>
      </w:r>
      <w:r w:rsidRPr="00AB5728">
        <w:rPr>
          <w:rFonts w:ascii="Verdana" w:hAnsi="Verdana"/>
          <w:sz w:val="22"/>
          <w:szCs w:val="22"/>
        </w:rPr>
        <w:fldChar w:fldCharType="separate"/>
      </w:r>
      <w:r w:rsidR="00D65F57">
        <w:rPr>
          <w:rFonts w:ascii="Verdana" w:hAnsi="Verdana"/>
          <w:noProof/>
          <w:sz w:val="22"/>
          <w:szCs w:val="22"/>
        </w:rPr>
        <w:t>12</w:t>
      </w:r>
      <w:r w:rsidRPr="00AB5728">
        <w:rPr>
          <w:rFonts w:ascii="Verdana" w:hAnsi="Verdana"/>
          <w:sz w:val="22"/>
          <w:szCs w:val="22"/>
        </w:rPr>
        <w:fldChar w:fldCharType="end"/>
      </w:r>
      <w:r w:rsidRPr="00AB5728">
        <w:rPr>
          <w:rFonts w:ascii="Verdana" w:hAnsi="Verdana"/>
          <w:sz w:val="22"/>
          <w:szCs w:val="22"/>
        </w:rPr>
        <w:t>. Indicadores por Rangos</w:t>
      </w:r>
      <w:bookmarkEnd w:id="446"/>
      <w:bookmarkEnd w:id="447"/>
    </w:p>
    <w:tbl>
      <w:tblPr>
        <w:tblW w:w="8833" w:type="dxa"/>
        <w:jc w:val="center"/>
        <w:tblCellMar>
          <w:left w:w="70" w:type="dxa"/>
          <w:right w:w="70" w:type="dxa"/>
        </w:tblCellMar>
        <w:tblLook w:val="04A0" w:firstRow="1" w:lastRow="0" w:firstColumn="1" w:lastColumn="0" w:noHBand="0" w:noVBand="1"/>
      </w:tblPr>
      <w:tblGrid>
        <w:gridCol w:w="403"/>
        <w:gridCol w:w="402"/>
        <w:gridCol w:w="146"/>
        <w:gridCol w:w="1298"/>
        <w:gridCol w:w="1832"/>
        <w:gridCol w:w="1389"/>
        <w:gridCol w:w="1699"/>
        <w:gridCol w:w="1664"/>
      </w:tblGrid>
      <w:tr w:rsidR="007A0AE0" w:rsidRPr="00AB5728" w14:paraId="15146B0E" w14:textId="77777777" w:rsidTr="00007C4E">
        <w:trPr>
          <w:trHeight w:val="20"/>
          <w:tblHeader/>
          <w:jc w:val="center"/>
        </w:trPr>
        <w:tc>
          <w:tcPr>
            <w:tcW w:w="0" w:type="auto"/>
            <w:gridSpan w:val="2"/>
            <w:vAlign w:val="center"/>
            <w:hideMark/>
          </w:tcPr>
          <w:p w14:paraId="4E9751EA" w14:textId="77777777" w:rsidR="007A0AE0" w:rsidRPr="00AB5728" w:rsidRDefault="007A0AE0" w:rsidP="00007C4E">
            <w:pPr>
              <w:rPr>
                <w:rFonts w:ascii="Verdana" w:hAnsi="Verdana" w:cs="Arial"/>
                <w:sz w:val="16"/>
                <w:szCs w:val="16"/>
                <w:lang w:eastAsia="es-CO"/>
              </w:rPr>
            </w:pPr>
          </w:p>
        </w:tc>
        <w:tc>
          <w:tcPr>
            <w:tcW w:w="0" w:type="auto"/>
            <w:tcBorders>
              <w:right w:val="single" w:sz="4" w:space="0" w:color="auto"/>
            </w:tcBorders>
            <w:noWrap/>
            <w:vAlign w:val="center"/>
            <w:hideMark/>
          </w:tcPr>
          <w:p w14:paraId="1E2E6E54"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764B4AB4"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INDICE DE LIQUIDEZ</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417DD274"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INDICE DE ENDEUDAMIENTO</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12FF77BF"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RAZON COBERTURA INTERESES</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6DA1986D"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RENTABILIDAD SOBRE PATRIMONIO</w:t>
            </w:r>
          </w:p>
        </w:tc>
        <w:tc>
          <w:tcPr>
            <w:tcW w:w="0" w:type="auto"/>
            <w:tcBorders>
              <w:top w:val="single" w:sz="4" w:space="0" w:color="auto"/>
              <w:left w:val="single" w:sz="4" w:space="0" w:color="auto"/>
              <w:bottom w:val="single" w:sz="4" w:space="0" w:color="auto"/>
              <w:right w:val="single" w:sz="4" w:space="0" w:color="auto"/>
            </w:tcBorders>
            <w:shd w:val="clear" w:color="000000" w:fill="D9E1F2"/>
            <w:vAlign w:val="center"/>
            <w:hideMark/>
          </w:tcPr>
          <w:p w14:paraId="6B6176B8"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RENTABILIDAD SOBRE ACTIVOS</w:t>
            </w:r>
          </w:p>
        </w:tc>
      </w:tr>
      <w:tr w:rsidR="007A0AE0" w:rsidRPr="00AB5728" w14:paraId="506C872C" w14:textId="77777777" w:rsidTr="00007C4E">
        <w:trPr>
          <w:trHeight w:val="20"/>
          <w:tblHeader/>
          <w:jc w:val="center"/>
        </w:trPr>
        <w:tc>
          <w:tcPr>
            <w:tcW w:w="0" w:type="auto"/>
            <w:tcBorders>
              <w:bottom w:val="single" w:sz="4" w:space="0" w:color="auto"/>
            </w:tcBorders>
            <w:noWrap/>
            <w:vAlign w:val="bottom"/>
            <w:hideMark/>
          </w:tcPr>
          <w:p w14:paraId="4B5BB574" w14:textId="77777777" w:rsidR="007A0AE0" w:rsidRPr="00AB5728" w:rsidRDefault="007A0AE0" w:rsidP="00007C4E">
            <w:pPr>
              <w:jc w:val="center"/>
              <w:rPr>
                <w:rFonts w:ascii="Verdana" w:hAnsi="Verdana" w:cs="Arial"/>
                <w:b/>
                <w:bCs/>
                <w:color w:val="000000"/>
                <w:sz w:val="16"/>
                <w:szCs w:val="16"/>
                <w:lang w:eastAsia="es-CO"/>
              </w:rPr>
            </w:pPr>
          </w:p>
        </w:tc>
        <w:tc>
          <w:tcPr>
            <w:tcW w:w="0" w:type="auto"/>
            <w:tcBorders>
              <w:bottom w:val="single" w:sz="4" w:space="0" w:color="auto"/>
            </w:tcBorders>
            <w:noWrap/>
            <w:vAlign w:val="bottom"/>
            <w:hideMark/>
          </w:tcPr>
          <w:p w14:paraId="184CF3EB" w14:textId="77777777" w:rsidR="007A0AE0" w:rsidRPr="00AB5728" w:rsidRDefault="007A0AE0" w:rsidP="00007C4E">
            <w:pPr>
              <w:rPr>
                <w:rFonts w:ascii="Verdana" w:hAnsi="Verdana" w:cs="Arial"/>
                <w:sz w:val="16"/>
                <w:szCs w:val="16"/>
                <w:lang w:eastAsia="es-CO"/>
              </w:rPr>
            </w:pPr>
          </w:p>
        </w:tc>
        <w:tc>
          <w:tcPr>
            <w:tcW w:w="0" w:type="auto"/>
            <w:tcBorders>
              <w:bottom w:val="single" w:sz="4" w:space="0" w:color="auto"/>
            </w:tcBorders>
            <w:noWrap/>
            <w:vAlign w:val="bottom"/>
            <w:hideMark/>
          </w:tcPr>
          <w:p w14:paraId="5B362A81"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bottom w:val="single" w:sz="4" w:space="0" w:color="auto"/>
            </w:tcBorders>
            <w:noWrap/>
            <w:vAlign w:val="bottom"/>
            <w:hideMark/>
          </w:tcPr>
          <w:p w14:paraId="4809702D"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bottom w:val="single" w:sz="4" w:space="0" w:color="auto"/>
            </w:tcBorders>
            <w:noWrap/>
            <w:vAlign w:val="bottom"/>
            <w:hideMark/>
          </w:tcPr>
          <w:p w14:paraId="2D215BF8"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bottom w:val="single" w:sz="4" w:space="0" w:color="auto"/>
            </w:tcBorders>
            <w:noWrap/>
            <w:vAlign w:val="bottom"/>
            <w:hideMark/>
          </w:tcPr>
          <w:p w14:paraId="73D208F7"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bottom w:val="single" w:sz="4" w:space="0" w:color="auto"/>
            </w:tcBorders>
            <w:noWrap/>
            <w:vAlign w:val="bottom"/>
            <w:hideMark/>
          </w:tcPr>
          <w:p w14:paraId="5BAEDDB2"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bottom w:val="single" w:sz="4" w:space="0" w:color="auto"/>
            </w:tcBorders>
            <w:noWrap/>
            <w:vAlign w:val="bottom"/>
            <w:hideMark/>
          </w:tcPr>
          <w:p w14:paraId="5E7BDA24" w14:textId="77777777" w:rsidR="007A0AE0" w:rsidRPr="00AB5728" w:rsidRDefault="007A0AE0" w:rsidP="00007C4E">
            <w:pPr>
              <w:rPr>
                <w:rFonts w:ascii="Verdana" w:hAnsi="Verdana" w:cs="Arial"/>
                <w:sz w:val="16"/>
                <w:szCs w:val="16"/>
                <w:lang w:eastAsia="es-CO"/>
              </w:rPr>
            </w:pPr>
          </w:p>
        </w:tc>
      </w:tr>
      <w:tr w:rsidR="007A0AE0" w:rsidRPr="00AB5728" w14:paraId="0CCA2FFD" w14:textId="77777777" w:rsidTr="00007C4E">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14:paraId="6E8A72A1" w14:textId="77777777" w:rsidR="007A0AE0" w:rsidRPr="00AB5728" w:rsidRDefault="007A0AE0" w:rsidP="00007C4E">
            <w:pPr>
              <w:jc w:val="center"/>
              <w:rPr>
                <w:rFonts w:ascii="Verdana" w:hAnsi="Verdana" w:cs="Arial"/>
                <w:b/>
                <w:bCs/>
                <w:color w:val="000000"/>
                <w:sz w:val="16"/>
                <w:szCs w:val="16"/>
                <w:lang w:eastAsia="es-CO"/>
              </w:rPr>
            </w:pPr>
            <w:r w:rsidRPr="00AB5728">
              <w:rPr>
                <w:rFonts w:ascii="Verdana" w:hAnsi="Verdana" w:cs="Arial"/>
                <w:b/>
                <w:bCs/>
                <w:color w:val="000000"/>
                <w:sz w:val="16"/>
                <w:szCs w:val="16"/>
                <w:lang w:eastAsia="es-CO"/>
              </w:rPr>
              <w:t>Rangos</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505C8DE9" w14:textId="77777777" w:rsidR="007A0AE0" w:rsidRPr="00AB5728" w:rsidRDefault="007A0AE0" w:rsidP="00007C4E">
            <w:pPr>
              <w:jc w:val="center"/>
              <w:rPr>
                <w:rFonts w:ascii="Verdana" w:hAnsi="Verdana" w:cs="Arial"/>
                <w:b/>
                <w:bCs/>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BD1491"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CAA7E3"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Menor o igual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A97858F"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EB8D79"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Mayor o igual</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9F4296"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Mayor o igual</w:t>
            </w:r>
          </w:p>
        </w:tc>
      </w:tr>
      <w:tr w:rsidR="007A0AE0" w:rsidRPr="00AB5728" w14:paraId="685749D7" w14:textId="77777777" w:rsidTr="00007C4E">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bottom"/>
            <w:hideMark/>
          </w:tcPr>
          <w:p w14:paraId="439FB8EE" w14:textId="77777777" w:rsidR="007A0AE0" w:rsidRPr="00AB5728" w:rsidRDefault="007A0AE0" w:rsidP="00007C4E">
            <w:pPr>
              <w:jc w:val="center"/>
              <w:rPr>
                <w:rFonts w:ascii="Verdana" w:hAnsi="Verdana"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18648E4"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7A74923"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67ADBCA6"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F2B0CBE"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1947FBD"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38F5174E"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2D8BD42B" w14:textId="77777777" w:rsidR="007A0AE0" w:rsidRPr="00AB5728" w:rsidRDefault="007A0AE0" w:rsidP="00007C4E">
            <w:pPr>
              <w:rPr>
                <w:rFonts w:ascii="Verdana" w:hAnsi="Verdana" w:cs="Arial"/>
                <w:sz w:val="16"/>
                <w:szCs w:val="16"/>
                <w:lang w:eastAsia="es-CO"/>
              </w:rPr>
            </w:pPr>
          </w:p>
        </w:tc>
      </w:tr>
      <w:tr w:rsidR="007A0AE0" w:rsidRPr="00AB5728" w14:paraId="00FFCCAF" w14:textId="77777777" w:rsidTr="00FE53ED">
        <w:trPr>
          <w:trHeight w:val="20"/>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14:paraId="77B89D3C"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Rango 1</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007508BA" w14:textId="77777777" w:rsidR="007A0AE0" w:rsidRPr="00AB5728" w:rsidRDefault="007A0AE0" w:rsidP="00007C4E">
            <w:pPr>
              <w:jc w:val="center"/>
              <w:rPr>
                <w:rFonts w:ascii="Verdana" w:hAnsi="Verdana"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4DC79D9" w14:textId="7029C746" w:rsidR="007A0AE0" w:rsidRPr="00AB5728" w:rsidRDefault="00796061"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1,3</w:t>
            </w:r>
          </w:p>
        </w:tc>
        <w:tc>
          <w:tcPr>
            <w:tcW w:w="0" w:type="auto"/>
            <w:tcBorders>
              <w:top w:val="single" w:sz="4" w:space="0" w:color="auto"/>
              <w:left w:val="single" w:sz="4" w:space="0" w:color="auto"/>
              <w:bottom w:val="single" w:sz="4" w:space="0" w:color="auto"/>
              <w:right w:val="single" w:sz="4" w:space="0" w:color="auto"/>
            </w:tcBorders>
            <w:noWrap/>
            <w:vAlign w:val="center"/>
          </w:tcPr>
          <w:p w14:paraId="393B4F1A" w14:textId="1EFEE0DC" w:rsidR="007A0AE0" w:rsidRPr="00AB5728" w:rsidRDefault="00796061"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0,70</w:t>
            </w:r>
          </w:p>
        </w:tc>
        <w:tc>
          <w:tcPr>
            <w:tcW w:w="0" w:type="auto"/>
            <w:tcBorders>
              <w:top w:val="single" w:sz="4" w:space="0" w:color="auto"/>
              <w:left w:val="single" w:sz="4" w:space="0" w:color="auto"/>
              <w:bottom w:val="single" w:sz="4" w:space="0" w:color="auto"/>
              <w:right w:val="single" w:sz="4" w:space="0" w:color="auto"/>
            </w:tcBorders>
            <w:noWrap/>
            <w:vAlign w:val="center"/>
          </w:tcPr>
          <w:p w14:paraId="3356728C" w14:textId="1F2F3A09" w:rsidR="007A0AE0" w:rsidRPr="00AB5728" w:rsidRDefault="00796061"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1</w:t>
            </w:r>
          </w:p>
        </w:tc>
        <w:tc>
          <w:tcPr>
            <w:tcW w:w="0" w:type="auto"/>
            <w:tcBorders>
              <w:top w:val="single" w:sz="4" w:space="0" w:color="auto"/>
              <w:left w:val="single" w:sz="4" w:space="0" w:color="auto"/>
              <w:bottom w:val="single" w:sz="4" w:space="0" w:color="auto"/>
              <w:right w:val="single" w:sz="4" w:space="0" w:color="auto"/>
            </w:tcBorders>
            <w:noWrap/>
            <w:vAlign w:val="center"/>
          </w:tcPr>
          <w:p w14:paraId="16753BC7" w14:textId="762C7AD7" w:rsidR="007A0AE0" w:rsidRPr="00AB5728" w:rsidRDefault="00CE12B0"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0,04</w:t>
            </w:r>
          </w:p>
        </w:tc>
        <w:tc>
          <w:tcPr>
            <w:tcW w:w="0" w:type="auto"/>
            <w:tcBorders>
              <w:top w:val="single" w:sz="4" w:space="0" w:color="auto"/>
              <w:left w:val="single" w:sz="4" w:space="0" w:color="auto"/>
              <w:bottom w:val="single" w:sz="4" w:space="0" w:color="auto"/>
              <w:right w:val="single" w:sz="4" w:space="0" w:color="auto"/>
            </w:tcBorders>
            <w:noWrap/>
            <w:vAlign w:val="center"/>
          </w:tcPr>
          <w:p w14:paraId="2A830FBF" w14:textId="6FF42143" w:rsidR="007A0AE0" w:rsidRPr="00AB5728" w:rsidRDefault="00CE12B0"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0,02</w:t>
            </w:r>
          </w:p>
        </w:tc>
      </w:tr>
      <w:tr w:rsidR="007A0AE0" w:rsidRPr="00AB5728" w14:paraId="6D5970A2" w14:textId="77777777" w:rsidTr="00007C4E">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bottom"/>
            <w:hideMark/>
          </w:tcPr>
          <w:p w14:paraId="705C1530" w14:textId="77777777" w:rsidR="007A0AE0" w:rsidRPr="00AB5728" w:rsidRDefault="007A0AE0" w:rsidP="00007C4E">
            <w:pPr>
              <w:jc w:val="center"/>
              <w:rPr>
                <w:rFonts w:ascii="Verdana" w:hAnsi="Verdana"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17A5B473"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4B084EE8"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C7FDCA"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5FEA40"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AA781C"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CEA25C"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379B9C" w14:textId="77777777" w:rsidR="007A0AE0" w:rsidRPr="00AB5728" w:rsidRDefault="007A0AE0" w:rsidP="00007C4E">
            <w:pPr>
              <w:jc w:val="center"/>
              <w:rPr>
                <w:rFonts w:ascii="Verdana" w:hAnsi="Verdana" w:cs="Arial"/>
                <w:sz w:val="16"/>
                <w:szCs w:val="16"/>
                <w:lang w:eastAsia="es-CO"/>
              </w:rPr>
            </w:pPr>
          </w:p>
        </w:tc>
      </w:tr>
      <w:tr w:rsidR="007A0AE0" w:rsidRPr="00AB5728" w14:paraId="55DCF1FA" w14:textId="77777777" w:rsidTr="00796061">
        <w:trPr>
          <w:trHeight w:val="20"/>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14:paraId="1B42E333" w14:textId="77777777" w:rsidR="007A0AE0" w:rsidRPr="00AB5728" w:rsidRDefault="007A0AE0" w:rsidP="00007C4E">
            <w:pPr>
              <w:jc w:val="center"/>
              <w:rPr>
                <w:rFonts w:ascii="Verdana" w:hAnsi="Verdana" w:cs="Arial"/>
                <w:color w:val="000000"/>
                <w:sz w:val="16"/>
                <w:szCs w:val="16"/>
                <w:lang w:eastAsia="es-CO"/>
              </w:rPr>
            </w:pPr>
            <w:r w:rsidRPr="00AB5728">
              <w:rPr>
                <w:rFonts w:ascii="Verdana" w:hAnsi="Verdana" w:cs="Arial"/>
                <w:color w:val="000000"/>
                <w:sz w:val="16"/>
                <w:szCs w:val="16"/>
                <w:lang w:eastAsia="es-CO"/>
              </w:rPr>
              <w:t>Rango 2</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012E82D" w14:textId="77777777" w:rsidR="007A0AE0" w:rsidRPr="00AB5728" w:rsidRDefault="007A0AE0" w:rsidP="00007C4E">
            <w:pPr>
              <w:jc w:val="center"/>
              <w:rPr>
                <w:rFonts w:ascii="Verdana" w:hAnsi="Verdana" w:cs="Arial"/>
                <w:color w:val="000000"/>
                <w:sz w:val="16"/>
                <w:szCs w:val="16"/>
                <w:lang w:eastAsia="es-CO"/>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061FF95" w14:textId="699E9CE3" w:rsidR="007A0AE0" w:rsidRPr="00AB5728" w:rsidRDefault="00796061"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1,4</w:t>
            </w:r>
          </w:p>
        </w:tc>
        <w:tc>
          <w:tcPr>
            <w:tcW w:w="0" w:type="auto"/>
            <w:tcBorders>
              <w:top w:val="single" w:sz="4" w:space="0" w:color="auto"/>
              <w:left w:val="single" w:sz="4" w:space="0" w:color="auto"/>
              <w:bottom w:val="single" w:sz="4" w:space="0" w:color="auto"/>
              <w:right w:val="single" w:sz="4" w:space="0" w:color="auto"/>
            </w:tcBorders>
            <w:noWrap/>
            <w:vAlign w:val="center"/>
          </w:tcPr>
          <w:p w14:paraId="6A96CD12" w14:textId="00462CBF" w:rsidR="007A0AE0" w:rsidRPr="00AB5728" w:rsidRDefault="00796061"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0,75</w:t>
            </w:r>
          </w:p>
        </w:tc>
        <w:tc>
          <w:tcPr>
            <w:tcW w:w="0" w:type="auto"/>
            <w:tcBorders>
              <w:top w:val="single" w:sz="4" w:space="0" w:color="auto"/>
              <w:left w:val="single" w:sz="4" w:space="0" w:color="auto"/>
              <w:bottom w:val="single" w:sz="4" w:space="0" w:color="auto"/>
              <w:right w:val="single" w:sz="4" w:space="0" w:color="auto"/>
            </w:tcBorders>
            <w:noWrap/>
            <w:vAlign w:val="center"/>
          </w:tcPr>
          <w:p w14:paraId="3646127E" w14:textId="01B4A5EA" w:rsidR="007A0AE0" w:rsidRPr="00AB5728" w:rsidRDefault="001C541D"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1</w:t>
            </w:r>
          </w:p>
        </w:tc>
        <w:tc>
          <w:tcPr>
            <w:tcW w:w="0" w:type="auto"/>
            <w:tcBorders>
              <w:top w:val="single" w:sz="4" w:space="0" w:color="auto"/>
              <w:left w:val="single" w:sz="4" w:space="0" w:color="auto"/>
              <w:bottom w:val="single" w:sz="4" w:space="0" w:color="auto"/>
              <w:right w:val="single" w:sz="4" w:space="0" w:color="auto"/>
            </w:tcBorders>
            <w:noWrap/>
            <w:vAlign w:val="center"/>
          </w:tcPr>
          <w:p w14:paraId="39403547" w14:textId="7BD7AA3C" w:rsidR="007A0AE0" w:rsidRPr="00AB5728" w:rsidRDefault="00CE12B0"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0,05</w:t>
            </w:r>
          </w:p>
        </w:tc>
        <w:tc>
          <w:tcPr>
            <w:tcW w:w="0" w:type="auto"/>
            <w:tcBorders>
              <w:top w:val="single" w:sz="4" w:space="0" w:color="auto"/>
              <w:left w:val="single" w:sz="4" w:space="0" w:color="auto"/>
              <w:bottom w:val="single" w:sz="4" w:space="0" w:color="auto"/>
              <w:right w:val="single" w:sz="4" w:space="0" w:color="auto"/>
            </w:tcBorders>
            <w:noWrap/>
            <w:vAlign w:val="center"/>
          </w:tcPr>
          <w:p w14:paraId="6F48C5E6" w14:textId="51A1873A" w:rsidR="007A0AE0" w:rsidRPr="00AB5728" w:rsidRDefault="00CE12B0" w:rsidP="00007C4E">
            <w:pPr>
              <w:jc w:val="center"/>
              <w:rPr>
                <w:rFonts w:ascii="Verdana" w:hAnsi="Verdana" w:cs="Arial"/>
                <w:color w:val="000000"/>
                <w:sz w:val="16"/>
                <w:szCs w:val="16"/>
                <w:lang w:eastAsia="es-CO"/>
              </w:rPr>
            </w:pPr>
            <w:r>
              <w:rPr>
                <w:rFonts w:ascii="Verdana" w:hAnsi="Verdana" w:cs="Arial"/>
                <w:color w:val="000000"/>
                <w:sz w:val="16"/>
                <w:szCs w:val="16"/>
                <w:lang w:eastAsia="es-CO"/>
              </w:rPr>
              <w:t>0,03</w:t>
            </w:r>
          </w:p>
        </w:tc>
      </w:tr>
      <w:tr w:rsidR="007A0AE0" w:rsidRPr="00AB5728" w14:paraId="71019AC4" w14:textId="77777777" w:rsidTr="00007C4E">
        <w:trPr>
          <w:trHeight w:val="20"/>
          <w:jc w:val="center"/>
        </w:trPr>
        <w:tc>
          <w:tcPr>
            <w:tcW w:w="0" w:type="auto"/>
            <w:tcBorders>
              <w:top w:val="single" w:sz="4" w:space="0" w:color="auto"/>
            </w:tcBorders>
            <w:noWrap/>
            <w:vAlign w:val="bottom"/>
            <w:hideMark/>
          </w:tcPr>
          <w:p w14:paraId="183BF38B" w14:textId="77777777" w:rsidR="007A0AE0" w:rsidRPr="00AB5728" w:rsidRDefault="007A0AE0" w:rsidP="00007C4E">
            <w:pPr>
              <w:jc w:val="center"/>
              <w:rPr>
                <w:rFonts w:ascii="Verdana" w:hAnsi="Verdana" w:cs="Arial"/>
                <w:color w:val="000000"/>
                <w:sz w:val="16"/>
                <w:szCs w:val="16"/>
                <w:lang w:eastAsia="es-CO"/>
              </w:rPr>
            </w:pPr>
          </w:p>
        </w:tc>
        <w:tc>
          <w:tcPr>
            <w:tcW w:w="0" w:type="auto"/>
            <w:tcBorders>
              <w:top w:val="single" w:sz="4" w:space="0" w:color="auto"/>
            </w:tcBorders>
            <w:noWrap/>
            <w:vAlign w:val="bottom"/>
            <w:hideMark/>
          </w:tcPr>
          <w:p w14:paraId="4EFAC84D"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tcBorders>
            <w:noWrap/>
            <w:vAlign w:val="bottom"/>
            <w:hideMark/>
          </w:tcPr>
          <w:p w14:paraId="05E323A5"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tcBorders>
            <w:noWrap/>
            <w:vAlign w:val="center"/>
            <w:hideMark/>
          </w:tcPr>
          <w:p w14:paraId="75DB131B" w14:textId="77777777" w:rsidR="007A0AE0" w:rsidRPr="00AB5728" w:rsidRDefault="007A0AE0" w:rsidP="00007C4E">
            <w:pPr>
              <w:rPr>
                <w:rFonts w:ascii="Verdana" w:hAnsi="Verdana" w:cs="Arial"/>
                <w:sz w:val="16"/>
                <w:szCs w:val="16"/>
                <w:lang w:eastAsia="es-CO"/>
              </w:rPr>
            </w:pPr>
          </w:p>
        </w:tc>
        <w:tc>
          <w:tcPr>
            <w:tcW w:w="0" w:type="auto"/>
            <w:tcBorders>
              <w:top w:val="single" w:sz="4" w:space="0" w:color="auto"/>
            </w:tcBorders>
            <w:noWrap/>
            <w:vAlign w:val="center"/>
            <w:hideMark/>
          </w:tcPr>
          <w:p w14:paraId="7078EC6A"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tcBorders>
            <w:noWrap/>
            <w:vAlign w:val="center"/>
            <w:hideMark/>
          </w:tcPr>
          <w:p w14:paraId="6A129737"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tcBorders>
            <w:noWrap/>
            <w:vAlign w:val="center"/>
            <w:hideMark/>
          </w:tcPr>
          <w:p w14:paraId="66400ACB" w14:textId="77777777" w:rsidR="007A0AE0" w:rsidRPr="00AB5728" w:rsidRDefault="007A0AE0" w:rsidP="00007C4E">
            <w:pPr>
              <w:jc w:val="center"/>
              <w:rPr>
                <w:rFonts w:ascii="Verdana" w:hAnsi="Verdana" w:cs="Arial"/>
                <w:sz w:val="16"/>
                <w:szCs w:val="16"/>
                <w:lang w:eastAsia="es-CO"/>
              </w:rPr>
            </w:pPr>
          </w:p>
        </w:tc>
        <w:tc>
          <w:tcPr>
            <w:tcW w:w="0" w:type="auto"/>
            <w:tcBorders>
              <w:top w:val="single" w:sz="4" w:space="0" w:color="auto"/>
            </w:tcBorders>
            <w:noWrap/>
            <w:vAlign w:val="center"/>
            <w:hideMark/>
          </w:tcPr>
          <w:p w14:paraId="41EB0A94" w14:textId="77777777" w:rsidR="007A0AE0" w:rsidRPr="00AB5728" w:rsidRDefault="007A0AE0" w:rsidP="00007C4E">
            <w:pPr>
              <w:jc w:val="center"/>
              <w:rPr>
                <w:rFonts w:ascii="Verdana" w:hAnsi="Verdana" w:cs="Arial"/>
                <w:sz w:val="16"/>
                <w:szCs w:val="16"/>
                <w:lang w:eastAsia="es-CO"/>
              </w:rPr>
            </w:pPr>
          </w:p>
        </w:tc>
      </w:tr>
    </w:tbl>
    <w:p w14:paraId="659B4A96" w14:textId="77777777" w:rsidR="007A0AE0" w:rsidRPr="00D65F57" w:rsidRDefault="007A0AE0" w:rsidP="007A0AE0">
      <w:pPr>
        <w:pStyle w:val="Prrafodelista"/>
        <w:ind w:left="284"/>
        <w:jc w:val="center"/>
        <w:rPr>
          <w:rFonts w:ascii="Verdana" w:hAnsi="Verdana" w:cs="Arial"/>
          <w:lang w:val="es-MX"/>
        </w:rPr>
      </w:pPr>
      <w:r w:rsidRPr="00D65F57">
        <w:rPr>
          <w:rFonts w:ascii="Verdana" w:hAnsi="Verdana" w:cs="Arial"/>
          <w:b/>
          <w:bCs/>
          <w:lang w:val="es-MX"/>
        </w:rPr>
        <w:t>Fuente</w:t>
      </w:r>
      <w:r w:rsidRPr="00D65F57">
        <w:rPr>
          <w:rFonts w:ascii="Verdana" w:hAnsi="Verdana" w:cs="Arial"/>
          <w:lang w:val="es-MX"/>
        </w:rPr>
        <w:t>: Elaboración propia</w:t>
      </w:r>
    </w:p>
    <w:p w14:paraId="1189403A" w14:textId="77777777" w:rsidR="007A0AE0" w:rsidRPr="00AB5728" w:rsidRDefault="007A0AE0" w:rsidP="007A0AE0">
      <w:pPr>
        <w:pStyle w:val="Prrafodelista"/>
        <w:ind w:left="1068"/>
        <w:jc w:val="center"/>
        <w:rPr>
          <w:rFonts w:ascii="Verdana" w:hAnsi="Verdana" w:cs="Arial"/>
          <w:sz w:val="16"/>
          <w:szCs w:val="16"/>
          <w:lang w:val="es-MX"/>
        </w:rPr>
      </w:pPr>
    </w:p>
    <w:p w14:paraId="4C753089" w14:textId="3BCC920E" w:rsidR="00F33A54" w:rsidRDefault="00747547" w:rsidP="00826503">
      <w:pPr>
        <w:jc w:val="both"/>
        <w:rPr>
          <w:rFonts w:ascii="Verdana" w:hAnsi="Verdana" w:cs="Arial"/>
          <w:sz w:val="22"/>
          <w:szCs w:val="22"/>
          <w:lang w:val="es-MX"/>
        </w:rPr>
      </w:pPr>
      <w:r w:rsidRPr="00AB5728">
        <w:rPr>
          <w:rFonts w:ascii="Verdana" w:hAnsi="Verdana" w:cs="Arial"/>
          <w:sz w:val="22"/>
          <w:szCs w:val="22"/>
          <w:lang w:val="es-MX"/>
        </w:rPr>
        <w:t>L</w:t>
      </w:r>
      <w:r w:rsidR="00053EA9">
        <w:rPr>
          <w:rFonts w:ascii="Verdana" w:hAnsi="Verdana" w:cs="Arial"/>
          <w:sz w:val="22"/>
          <w:szCs w:val="22"/>
          <w:lang w:val="es-MX"/>
        </w:rPr>
        <w:t xml:space="preserve">a propuesta planteada, busca </w:t>
      </w:r>
      <w:r w:rsidR="002B004F">
        <w:rPr>
          <w:rFonts w:ascii="Verdana" w:hAnsi="Verdana" w:cs="Arial"/>
          <w:sz w:val="22"/>
          <w:szCs w:val="22"/>
          <w:lang w:val="es-MX"/>
        </w:rPr>
        <w:t xml:space="preserve">actualizar los requisitos </w:t>
      </w:r>
      <w:r w:rsidR="000E342F">
        <w:rPr>
          <w:rFonts w:ascii="Verdana" w:hAnsi="Verdana" w:cs="Arial"/>
          <w:sz w:val="22"/>
          <w:szCs w:val="22"/>
          <w:lang w:val="es-MX"/>
        </w:rPr>
        <w:t>definidos</w:t>
      </w:r>
      <w:r w:rsidR="002B004F">
        <w:rPr>
          <w:rFonts w:ascii="Verdana" w:hAnsi="Verdana" w:cs="Arial"/>
          <w:sz w:val="22"/>
          <w:szCs w:val="22"/>
          <w:lang w:val="es-MX"/>
        </w:rPr>
        <w:t xml:space="preserve"> en el documento tipo vigente, fortaleciendo </w:t>
      </w:r>
      <w:r w:rsidR="00303E86">
        <w:rPr>
          <w:rFonts w:ascii="Verdana" w:hAnsi="Verdana" w:cs="Arial"/>
          <w:sz w:val="22"/>
          <w:szCs w:val="22"/>
          <w:lang w:val="es-MX"/>
        </w:rPr>
        <w:t xml:space="preserve">algunos de los indicadores como son el “Índice de liquidez”, la “Rentabilidad sobre patrimonio” y “Rentabilidad sobre activos”, con un énfasis mayor en aquellos grandes proyectos de infraestructura de agua potable y saneamiento básico que se ubican en el segundo rango de indicadores (&gt;= </w:t>
      </w:r>
      <w:r w:rsidR="00B85D54">
        <w:rPr>
          <w:rFonts w:ascii="Verdana" w:hAnsi="Verdana" w:cs="Arial"/>
          <w:sz w:val="22"/>
          <w:szCs w:val="22"/>
          <w:lang w:val="es-MX"/>
        </w:rPr>
        <w:t>13</w:t>
      </w:r>
      <w:r w:rsidR="00303E86">
        <w:rPr>
          <w:rFonts w:ascii="Verdana" w:hAnsi="Verdana" w:cs="Arial"/>
          <w:sz w:val="22"/>
          <w:szCs w:val="22"/>
          <w:lang w:val="es-MX"/>
        </w:rPr>
        <w:t xml:space="preserve">.000 </w:t>
      </w:r>
      <w:proofErr w:type="spellStart"/>
      <w:r w:rsidR="00F33A54">
        <w:rPr>
          <w:rFonts w:ascii="Verdana" w:hAnsi="Verdana" w:cs="Arial"/>
          <w:sz w:val="22"/>
          <w:szCs w:val="22"/>
          <w:lang w:val="es-MX"/>
        </w:rPr>
        <w:t>Smmlv</w:t>
      </w:r>
      <w:proofErr w:type="spellEnd"/>
      <w:r w:rsidR="00303E86">
        <w:rPr>
          <w:rFonts w:ascii="Verdana" w:hAnsi="Verdana" w:cs="Arial"/>
          <w:sz w:val="22"/>
          <w:szCs w:val="22"/>
          <w:lang w:val="es-MX"/>
        </w:rPr>
        <w:t>).</w:t>
      </w:r>
      <w:r w:rsidR="00826503">
        <w:rPr>
          <w:rFonts w:ascii="Verdana" w:hAnsi="Verdana" w:cs="Arial"/>
          <w:sz w:val="22"/>
          <w:szCs w:val="22"/>
          <w:lang w:val="es-MX"/>
        </w:rPr>
        <w:t xml:space="preserve"> Esta metodología busca que se </w:t>
      </w:r>
      <w:r w:rsidR="00F33A54" w:rsidRPr="00F33A54">
        <w:rPr>
          <w:rFonts w:ascii="Verdana" w:hAnsi="Verdana" w:cs="Arial"/>
          <w:sz w:val="22"/>
          <w:szCs w:val="22"/>
          <w:lang w:val="es-MX"/>
        </w:rPr>
        <w:t>consider</w:t>
      </w:r>
      <w:r w:rsidR="00826503">
        <w:rPr>
          <w:rFonts w:ascii="Verdana" w:hAnsi="Verdana" w:cs="Arial"/>
          <w:sz w:val="22"/>
          <w:szCs w:val="22"/>
          <w:lang w:val="es-MX"/>
        </w:rPr>
        <w:t>e</w:t>
      </w:r>
      <w:r w:rsidR="00F33A54" w:rsidRPr="00F33A54">
        <w:rPr>
          <w:rFonts w:ascii="Verdana" w:hAnsi="Verdana" w:cs="Arial"/>
          <w:sz w:val="22"/>
          <w:szCs w:val="22"/>
          <w:lang w:val="es-MX"/>
        </w:rPr>
        <w:t xml:space="preserve"> el nivel de complejidad técnica, operativa y financiera asociado a cada tipo de contrato</w:t>
      </w:r>
      <w:r w:rsidR="00826503">
        <w:rPr>
          <w:rFonts w:ascii="Verdana" w:hAnsi="Verdana" w:cs="Arial"/>
          <w:sz w:val="22"/>
          <w:szCs w:val="22"/>
          <w:lang w:val="es-MX"/>
        </w:rPr>
        <w:t xml:space="preserve"> que se pretende suscribir.</w:t>
      </w:r>
    </w:p>
    <w:p w14:paraId="6BEB9A15" w14:textId="77777777" w:rsidR="003343D6" w:rsidRDefault="003343D6" w:rsidP="00826503">
      <w:pPr>
        <w:jc w:val="both"/>
        <w:rPr>
          <w:rFonts w:ascii="Verdana" w:hAnsi="Verdana" w:cs="Arial"/>
          <w:sz w:val="22"/>
          <w:szCs w:val="22"/>
          <w:lang w:val="es-MX"/>
        </w:rPr>
      </w:pPr>
    </w:p>
    <w:p w14:paraId="31B58D42" w14:textId="77777777" w:rsidR="003343D6" w:rsidRPr="003343D6" w:rsidRDefault="003343D6" w:rsidP="003343D6">
      <w:pPr>
        <w:jc w:val="both"/>
        <w:rPr>
          <w:rFonts w:ascii="Verdana" w:hAnsi="Verdana" w:cs="Arial"/>
          <w:sz w:val="22"/>
          <w:szCs w:val="22"/>
          <w:lang w:val="es-MX"/>
        </w:rPr>
      </w:pPr>
      <w:r w:rsidRPr="003343D6">
        <w:rPr>
          <w:rFonts w:ascii="Verdana" w:hAnsi="Verdana" w:cs="Arial"/>
          <w:sz w:val="22"/>
          <w:szCs w:val="22"/>
          <w:lang w:val="es-MX"/>
        </w:rPr>
        <w:t>El índice de liquidez permite establecer la capacidad del proponente para atender sus obligaciones de corto plazo mediante sus activos corrientes, constituyéndose en un indicador relevante para evaluar la capacidad de respuesta financiera durante la ejecución contractual.</w:t>
      </w:r>
    </w:p>
    <w:p w14:paraId="1CF8D7F3" w14:textId="77777777" w:rsidR="003343D6" w:rsidRPr="003343D6" w:rsidRDefault="003343D6" w:rsidP="003343D6">
      <w:pPr>
        <w:jc w:val="both"/>
        <w:rPr>
          <w:rFonts w:ascii="Verdana" w:hAnsi="Verdana" w:cs="Arial"/>
          <w:sz w:val="22"/>
          <w:szCs w:val="22"/>
          <w:lang w:val="es-MX"/>
        </w:rPr>
      </w:pPr>
    </w:p>
    <w:p w14:paraId="697476C9" w14:textId="1F599CC5" w:rsidR="005D11F7" w:rsidRPr="005D11F7" w:rsidRDefault="003343D6" w:rsidP="005D11F7">
      <w:pPr>
        <w:jc w:val="both"/>
        <w:rPr>
          <w:rFonts w:ascii="Verdana" w:hAnsi="Verdana" w:cs="Arial"/>
          <w:sz w:val="22"/>
          <w:szCs w:val="22"/>
          <w:lang w:val="es-MX"/>
        </w:rPr>
      </w:pPr>
      <w:r w:rsidRPr="003343D6">
        <w:rPr>
          <w:rFonts w:ascii="Verdana" w:hAnsi="Verdana" w:cs="Arial"/>
          <w:sz w:val="22"/>
          <w:szCs w:val="22"/>
          <w:lang w:val="es-MX"/>
        </w:rPr>
        <w:t xml:space="preserve">Para los procesos con presupuesto inferior a </w:t>
      </w:r>
      <w:r w:rsidR="00B85D54">
        <w:rPr>
          <w:rFonts w:ascii="Verdana" w:hAnsi="Verdana" w:cs="Arial"/>
          <w:sz w:val="22"/>
          <w:szCs w:val="22"/>
          <w:lang w:val="es-MX"/>
        </w:rPr>
        <w:t>13</w:t>
      </w:r>
      <w:r w:rsidRPr="003343D6">
        <w:rPr>
          <w:rFonts w:ascii="Verdana" w:hAnsi="Verdana" w:cs="Arial"/>
          <w:sz w:val="22"/>
          <w:szCs w:val="22"/>
          <w:lang w:val="es-MX"/>
        </w:rPr>
        <w:t>.000 SMMLV se establece un índice de liquidez de 1,3, el cual se considera suficiente para acreditar una capacidad adecuada de cobertura de pasivos corrientes frente a contratos de menor magnitud financiera y operativa.</w:t>
      </w:r>
      <w:r w:rsidR="005D11F7">
        <w:rPr>
          <w:rFonts w:ascii="Verdana" w:hAnsi="Verdana" w:cs="Arial"/>
          <w:sz w:val="22"/>
          <w:szCs w:val="22"/>
          <w:lang w:val="es-MX"/>
        </w:rPr>
        <w:t xml:space="preserve"> </w:t>
      </w:r>
      <w:r w:rsidR="005D11F7" w:rsidRPr="005D11F7">
        <w:rPr>
          <w:rFonts w:ascii="Verdana" w:hAnsi="Verdana" w:cs="Arial"/>
          <w:sz w:val="22"/>
          <w:szCs w:val="22"/>
          <w:lang w:val="es-MX"/>
        </w:rPr>
        <w:t xml:space="preserve">Por su parte, para los procesos con presupuesto igual o superior a </w:t>
      </w:r>
      <w:r w:rsidR="00B85D54">
        <w:rPr>
          <w:rFonts w:ascii="Verdana" w:hAnsi="Verdana" w:cs="Arial"/>
          <w:sz w:val="22"/>
          <w:szCs w:val="22"/>
          <w:lang w:val="es-MX"/>
        </w:rPr>
        <w:t>13</w:t>
      </w:r>
      <w:r w:rsidR="005D11F7" w:rsidRPr="005D11F7">
        <w:rPr>
          <w:rFonts w:ascii="Verdana" w:hAnsi="Verdana" w:cs="Arial"/>
          <w:sz w:val="22"/>
          <w:szCs w:val="22"/>
          <w:lang w:val="es-MX"/>
        </w:rPr>
        <w:t>.000 SMMLV se incrementa el requisito a un índice de liquidez de 1,4, considerando que este tipo de proyectos demanda mayores requerimientos de capital de trabajo asociados, entre otros aspectos, a la adquisición de materiales, pago de nómina, movilización de equipos, ejecución simultánea de actividades y atención de contingencias operativas propias de contratos de alta complejidad y duración.</w:t>
      </w:r>
    </w:p>
    <w:p w14:paraId="33FDEF83" w14:textId="77777777" w:rsidR="005D11F7" w:rsidRPr="005D11F7" w:rsidRDefault="005D11F7" w:rsidP="005D11F7">
      <w:pPr>
        <w:jc w:val="both"/>
        <w:rPr>
          <w:rFonts w:ascii="Verdana" w:hAnsi="Verdana" w:cs="Arial"/>
          <w:sz w:val="22"/>
          <w:szCs w:val="22"/>
          <w:lang w:val="es-MX"/>
        </w:rPr>
      </w:pPr>
    </w:p>
    <w:p w14:paraId="63F78902" w14:textId="2FDA3D0C" w:rsidR="003343D6" w:rsidRDefault="005D11F7" w:rsidP="005D11F7">
      <w:pPr>
        <w:jc w:val="both"/>
        <w:rPr>
          <w:rFonts w:ascii="Verdana" w:hAnsi="Verdana" w:cs="Arial"/>
          <w:sz w:val="22"/>
          <w:szCs w:val="22"/>
          <w:lang w:val="es-MX"/>
        </w:rPr>
      </w:pPr>
      <w:r w:rsidRPr="005D11F7">
        <w:rPr>
          <w:rFonts w:ascii="Verdana" w:hAnsi="Verdana" w:cs="Arial"/>
          <w:sz w:val="22"/>
          <w:szCs w:val="22"/>
          <w:lang w:val="es-MX"/>
        </w:rPr>
        <w:t xml:space="preserve">En consecuencia, el incremento del indicador busca reducir el riesgo de iliquidez durante la ejecución contractual y garantizar que el contratista cuente con una estructura </w:t>
      </w:r>
      <w:r w:rsidRPr="005D11F7">
        <w:rPr>
          <w:rFonts w:ascii="Verdana" w:hAnsi="Verdana" w:cs="Arial"/>
          <w:sz w:val="22"/>
          <w:szCs w:val="22"/>
          <w:lang w:val="es-MX"/>
        </w:rPr>
        <w:lastRenderedPageBreak/>
        <w:t>financiera suficiente para soportar obligaciones de corto plazo derivadas de proyectos de mayor cuantía.</w:t>
      </w:r>
    </w:p>
    <w:p w14:paraId="1435ED28" w14:textId="77777777" w:rsidR="005D11F7" w:rsidRDefault="005D11F7" w:rsidP="005D11F7">
      <w:pPr>
        <w:jc w:val="both"/>
        <w:rPr>
          <w:rFonts w:ascii="Verdana" w:hAnsi="Verdana" w:cs="Arial"/>
          <w:sz w:val="22"/>
          <w:szCs w:val="22"/>
          <w:lang w:val="es-MX"/>
        </w:rPr>
      </w:pPr>
    </w:p>
    <w:p w14:paraId="71E8CDB8" w14:textId="29D33593" w:rsidR="0088259D" w:rsidRDefault="009B1034" w:rsidP="005D11F7">
      <w:pPr>
        <w:jc w:val="both"/>
        <w:rPr>
          <w:rFonts w:ascii="Verdana" w:hAnsi="Verdana" w:cs="Arial"/>
          <w:sz w:val="22"/>
          <w:szCs w:val="22"/>
        </w:rPr>
      </w:pPr>
      <w:r>
        <w:rPr>
          <w:rFonts w:ascii="Verdana" w:hAnsi="Verdana" w:cs="Arial"/>
          <w:sz w:val="22"/>
          <w:szCs w:val="22"/>
          <w:lang w:val="es-MX"/>
        </w:rPr>
        <w:t xml:space="preserve">Con relación a la propuesta planteada para los indicadores de Capacidad Organizacional, </w:t>
      </w:r>
      <w:r w:rsidR="001541BB">
        <w:rPr>
          <w:rFonts w:ascii="Verdana" w:hAnsi="Verdana" w:cs="Arial"/>
          <w:sz w:val="22"/>
          <w:szCs w:val="22"/>
          <w:lang w:val="es-MX"/>
        </w:rPr>
        <w:t xml:space="preserve">el </w:t>
      </w:r>
      <w:r w:rsidR="0088259D" w:rsidRPr="0088259D">
        <w:rPr>
          <w:rFonts w:ascii="Verdana" w:hAnsi="Verdana" w:cs="Arial"/>
          <w:sz w:val="22"/>
          <w:szCs w:val="22"/>
          <w:lang w:val="es-MX"/>
        </w:rPr>
        <w:t xml:space="preserve">incremento </w:t>
      </w:r>
      <w:r w:rsidR="001541BB">
        <w:rPr>
          <w:rFonts w:ascii="Verdana" w:hAnsi="Verdana" w:cs="Arial"/>
          <w:sz w:val="22"/>
          <w:szCs w:val="22"/>
          <w:lang w:val="es-MX"/>
        </w:rPr>
        <w:t>en</w:t>
      </w:r>
      <w:r w:rsidR="0088259D" w:rsidRPr="0088259D">
        <w:rPr>
          <w:rFonts w:ascii="Verdana" w:hAnsi="Verdana" w:cs="Arial"/>
          <w:sz w:val="22"/>
          <w:szCs w:val="22"/>
          <w:lang w:val="es-MX"/>
        </w:rPr>
        <w:t xml:space="preserve"> indicador</w:t>
      </w:r>
      <w:r w:rsidR="001541BB">
        <w:rPr>
          <w:rFonts w:ascii="Verdana" w:hAnsi="Verdana" w:cs="Arial"/>
          <w:sz w:val="22"/>
          <w:szCs w:val="22"/>
          <w:lang w:val="es-MX"/>
        </w:rPr>
        <w:t xml:space="preserve"> de Rentabilidad sobre el patrimonio</w:t>
      </w:r>
      <w:r w:rsidR="0088259D" w:rsidRPr="0088259D">
        <w:rPr>
          <w:rFonts w:ascii="Verdana" w:hAnsi="Verdana" w:cs="Arial"/>
          <w:sz w:val="22"/>
          <w:szCs w:val="22"/>
          <w:lang w:val="es-MX"/>
        </w:rPr>
        <w:t xml:space="preserve"> permite verificar que los proponentes cuentan con un desempeño financiero consistente y con capacidad de generación de utilidades suficiente para respaldar la adecuada ejecución de proyectos de mayor impacto y complejidad</w:t>
      </w:r>
      <w:r w:rsidR="001541BB">
        <w:rPr>
          <w:rFonts w:ascii="Verdana" w:hAnsi="Verdana" w:cs="Arial"/>
          <w:sz w:val="22"/>
          <w:szCs w:val="22"/>
          <w:lang w:val="es-MX"/>
        </w:rPr>
        <w:t xml:space="preserve"> (&gt;=</w:t>
      </w:r>
      <w:r w:rsidR="00B85D54">
        <w:rPr>
          <w:rFonts w:ascii="Verdana" w:hAnsi="Verdana" w:cs="Arial"/>
          <w:sz w:val="22"/>
          <w:szCs w:val="22"/>
          <w:lang w:val="es-MX"/>
        </w:rPr>
        <w:t>13</w:t>
      </w:r>
      <w:r w:rsidR="001541BB">
        <w:rPr>
          <w:rFonts w:ascii="Verdana" w:hAnsi="Verdana" w:cs="Arial"/>
          <w:sz w:val="22"/>
          <w:szCs w:val="22"/>
          <w:lang w:val="es-MX"/>
        </w:rPr>
        <w:t xml:space="preserve">.000 </w:t>
      </w:r>
      <w:proofErr w:type="spellStart"/>
      <w:r w:rsidR="001541BB">
        <w:rPr>
          <w:rFonts w:ascii="Verdana" w:hAnsi="Verdana" w:cs="Arial"/>
          <w:sz w:val="22"/>
          <w:szCs w:val="22"/>
          <w:lang w:val="es-MX"/>
        </w:rPr>
        <w:t>smmlv</w:t>
      </w:r>
      <w:proofErr w:type="spellEnd"/>
      <w:r w:rsidR="001541BB">
        <w:rPr>
          <w:rFonts w:ascii="Verdana" w:hAnsi="Verdana" w:cs="Arial"/>
          <w:sz w:val="22"/>
          <w:szCs w:val="22"/>
          <w:lang w:val="es-MX"/>
        </w:rPr>
        <w:t>).</w:t>
      </w:r>
      <w:r w:rsidR="008E2076">
        <w:rPr>
          <w:rFonts w:ascii="Verdana" w:hAnsi="Verdana" w:cs="Arial"/>
          <w:sz w:val="22"/>
          <w:szCs w:val="22"/>
          <w:lang w:val="es-MX"/>
        </w:rPr>
        <w:t xml:space="preserve"> Respecto al indicador de Rentabilidad sobre Activo</w:t>
      </w:r>
      <w:r w:rsidR="0088259D" w:rsidRPr="0088259D">
        <w:rPr>
          <w:rFonts w:ascii="Verdana" w:hAnsi="Verdana" w:cs="Arial"/>
          <w:sz w:val="22"/>
          <w:szCs w:val="22"/>
        </w:rPr>
        <w:t>, el incremento del indicador</w:t>
      </w:r>
      <w:r w:rsidR="008E2076">
        <w:rPr>
          <w:rFonts w:ascii="Verdana" w:hAnsi="Verdana" w:cs="Arial"/>
          <w:sz w:val="22"/>
          <w:szCs w:val="22"/>
        </w:rPr>
        <w:t xml:space="preserve"> para el segundo rango</w:t>
      </w:r>
      <w:r w:rsidR="0088259D" w:rsidRPr="0088259D">
        <w:rPr>
          <w:rFonts w:ascii="Verdana" w:hAnsi="Verdana" w:cs="Arial"/>
          <w:sz w:val="22"/>
          <w:szCs w:val="22"/>
        </w:rPr>
        <w:t xml:space="preserve"> busca garantizar que los proponentes cuenten con una administración eficiente de sus recursos y con capacidad suficiente para sostener la operación requerida en proyectos de gran magnitud, reduciendo riesgos asociados a ineficiencias operativas o debilidades financieras durante la ejecución contractual.</w:t>
      </w:r>
    </w:p>
    <w:p w14:paraId="6666346F" w14:textId="77777777" w:rsidR="00C714D4" w:rsidRDefault="00C714D4" w:rsidP="005D11F7">
      <w:pPr>
        <w:jc w:val="both"/>
        <w:rPr>
          <w:rFonts w:ascii="Verdana" w:hAnsi="Verdana" w:cs="Arial"/>
          <w:sz w:val="22"/>
          <w:szCs w:val="22"/>
        </w:rPr>
      </w:pPr>
    </w:p>
    <w:p w14:paraId="6C3BD397" w14:textId="3F69495C" w:rsidR="00BF5EDB" w:rsidRDefault="00C714D4" w:rsidP="005D11F7">
      <w:pPr>
        <w:jc w:val="both"/>
        <w:rPr>
          <w:rFonts w:ascii="Verdana" w:hAnsi="Verdana" w:cs="Arial"/>
          <w:sz w:val="22"/>
          <w:szCs w:val="22"/>
        </w:rPr>
      </w:pPr>
      <w:r>
        <w:rPr>
          <w:rFonts w:ascii="Verdana" w:hAnsi="Verdana" w:cs="Arial"/>
          <w:sz w:val="22"/>
          <w:szCs w:val="22"/>
        </w:rPr>
        <w:t xml:space="preserve">Por otro lado, respecto al “índice de endeudamiento”, se realiza una </w:t>
      </w:r>
      <w:r w:rsidR="000F7AFA">
        <w:rPr>
          <w:rFonts w:ascii="Verdana" w:hAnsi="Verdana" w:cs="Arial"/>
          <w:sz w:val="22"/>
          <w:szCs w:val="22"/>
        </w:rPr>
        <w:t xml:space="preserve">distribución diferente para cada rango, esto teniendo en cuenta que la naturaleza del indicadore es definir un </w:t>
      </w:r>
      <w:r w:rsidR="00CA406B">
        <w:rPr>
          <w:rFonts w:ascii="Verdana" w:hAnsi="Verdana" w:cs="Arial"/>
          <w:sz w:val="22"/>
          <w:szCs w:val="22"/>
        </w:rPr>
        <w:t>límite</w:t>
      </w:r>
      <w:r w:rsidR="000F7AFA">
        <w:rPr>
          <w:rFonts w:ascii="Verdana" w:hAnsi="Verdana" w:cs="Arial"/>
          <w:sz w:val="22"/>
          <w:szCs w:val="22"/>
        </w:rPr>
        <w:t xml:space="preserve"> máximo como mecanismo de acreditación.</w:t>
      </w:r>
      <w:r w:rsidR="00215159">
        <w:rPr>
          <w:rFonts w:ascii="Verdana" w:hAnsi="Verdana" w:cs="Arial"/>
          <w:sz w:val="22"/>
          <w:szCs w:val="22"/>
        </w:rPr>
        <w:t xml:space="preserve"> </w:t>
      </w:r>
    </w:p>
    <w:p w14:paraId="52F40137" w14:textId="77777777" w:rsidR="00BF5EDB" w:rsidRDefault="00BF5EDB" w:rsidP="005D11F7">
      <w:pPr>
        <w:jc w:val="both"/>
        <w:rPr>
          <w:rFonts w:ascii="Verdana" w:hAnsi="Verdana" w:cs="Arial"/>
          <w:sz w:val="22"/>
          <w:szCs w:val="22"/>
        </w:rPr>
      </w:pPr>
    </w:p>
    <w:p w14:paraId="251F0445" w14:textId="41F6BC87" w:rsidR="00BF5EDB" w:rsidRPr="00B6738B" w:rsidRDefault="001F23AD" w:rsidP="00BF5EDB">
      <w:pPr>
        <w:jc w:val="both"/>
        <w:rPr>
          <w:rFonts w:ascii="Verdana" w:hAnsi="Verdana" w:cs="Arial"/>
          <w:sz w:val="22"/>
          <w:szCs w:val="22"/>
        </w:rPr>
      </w:pPr>
      <w:r w:rsidRPr="00B6738B">
        <w:rPr>
          <w:rFonts w:ascii="Verdana" w:hAnsi="Verdana" w:cs="Arial"/>
          <w:sz w:val="22"/>
          <w:szCs w:val="22"/>
        </w:rPr>
        <w:t>Partiendo de lo anterior, se</w:t>
      </w:r>
      <w:r w:rsidR="00BF5EDB" w:rsidRPr="00B6738B">
        <w:rPr>
          <w:rFonts w:ascii="Verdana" w:hAnsi="Verdana" w:cs="Arial"/>
          <w:sz w:val="22"/>
          <w:szCs w:val="22"/>
        </w:rPr>
        <w:t xml:space="preserve"> considera pertinente establecer requisitos diferenciados para el indicador de endeudamiento según el rango presupuestal de los proyectos objeto del proceso de selección, atendiendo las particularidades financieras y operativas asociadas a los contratos de infraestructura de agua potable y saneamiento básico.</w:t>
      </w:r>
    </w:p>
    <w:p w14:paraId="2B6E8A22" w14:textId="77777777" w:rsidR="00215159" w:rsidRPr="00B6738B" w:rsidRDefault="00215159" w:rsidP="00BF5EDB">
      <w:pPr>
        <w:jc w:val="both"/>
        <w:rPr>
          <w:rFonts w:ascii="Verdana" w:hAnsi="Verdana" w:cs="Arial"/>
          <w:sz w:val="22"/>
          <w:szCs w:val="22"/>
        </w:rPr>
      </w:pPr>
    </w:p>
    <w:p w14:paraId="31F37F98" w14:textId="77777777" w:rsidR="00BF5EDB" w:rsidRPr="00B6738B" w:rsidRDefault="00BF5EDB" w:rsidP="00BF5EDB">
      <w:pPr>
        <w:jc w:val="both"/>
        <w:rPr>
          <w:rFonts w:ascii="Verdana" w:hAnsi="Verdana" w:cs="Arial"/>
          <w:sz w:val="22"/>
          <w:szCs w:val="22"/>
        </w:rPr>
      </w:pPr>
      <w:r w:rsidRPr="00B6738B">
        <w:rPr>
          <w:rFonts w:ascii="Verdana" w:hAnsi="Verdana" w:cs="Arial"/>
          <w:sz w:val="22"/>
          <w:szCs w:val="22"/>
        </w:rPr>
        <w:t>El indicador de endeudamiento permite medir el nivel de participación de los pasivos dentro de la estructura financiera del proponente, evidenciando el grado en que la empresa financia sus operaciones mediante recursos de terceros. En este sentido, el indicador constituye una herramienta relevante para evaluar la sostenibilidad financiera, capacidad de respaldo y nivel de riesgo financiero de los oferentes.</w:t>
      </w:r>
    </w:p>
    <w:p w14:paraId="416EAFCF" w14:textId="77777777" w:rsidR="00215159" w:rsidRPr="00B6738B" w:rsidRDefault="00215159" w:rsidP="00BF5EDB">
      <w:pPr>
        <w:jc w:val="both"/>
        <w:rPr>
          <w:rFonts w:ascii="Verdana" w:hAnsi="Verdana" w:cs="Arial"/>
          <w:sz w:val="22"/>
          <w:szCs w:val="22"/>
        </w:rPr>
      </w:pPr>
    </w:p>
    <w:p w14:paraId="6572AA5B" w14:textId="22803A72" w:rsidR="00BF5EDB" w:rsidRPr="00B6738B" w:rsidRDefault="00BF5EDB" w:rsidP="00BF5EDB">
      <w:pPr>
        <w:jc w:val="both"/>
        <w:rPr>
          <w:rFonts w:ascii="Verdana" w:hAnsi="Verdana" w:cs="Arial"/>
          <w:sz w:val="22"/>
          <w:szCs w:val="22"/>
        </w:rPr>
      </w:pPr>
      <w:r w:rsidRPr="00B6738B">
        <w:rPr>
          <w:rFonts w:ascii="Verdana" w:hAnsi="Verdana" w:cs="Arial"/>
          <w:sz w:val="22"/>
          <w:szCs w:val="22"/>
        </w:rPr>
        <w:t xml:space="preserve">Para los procesos con presupuesto oficial inferior a </w:t>
      </w:r>
      <w:r w:rsidR="00B85D54">
        <w:rPr>
          <w:rFonts w:ascii="Verdana" w:hAnsi="Verdana" w:cs="Arial"/>
          <w:sz w:val="22"/>
          <w:szCs w:val="22"/>
        </w:rPr>
        <w:t>13</w:t>
      </w:r>
      <w:r w:rsidRPr="00B6738B">
        <w:rPr>
          <w:rFonts w:ascii="Verdana" w:hAnsi="Verdana" w:cs="Arial"/>
          <w:sz w:val="22"/>
          <w:szCs w:val="22"/>
        </w:rPr>
        <w:t xml:space="preserve">.000 SMMLV, </w:t>
      </w:r>
      <w:r w:rsidR="001F23AD" w:rsidRPr="00B6738B">
        <w:rPr>
          <w:rFonts w:ascii="Verdana" w:hAnsi="Verdana" w:cs="Arial"/>
          <w:sz w:val="22"/>
          <w:szCs w:val="22"/>
        </w:rPr>
        <w:t>se define</w:t>
      </w:r>
      <w:r w:rsidRPr="00B6738B">
        <w:rPr>
          <w:rFonts w:ascii="Verdana" w:hAnsi="Verdana" w:cs="Arial"/>
          <w:sz w:val="22"/>
          <w:szCs w:val="22"/>
        </w:rPr>
        <w:t xml:space="preserve"> un límite máximo de endeudamiento de 0,70, considerando que los contratos de menor cuantía requieren estructuras financieras con niveles moderados de apalancamiento y una adecuada proporción de recursos propios frente a obligaciones financieras.</w:t>
      </w:r>
    </w:p>
    <w:p w14:paraId="24B720DE" w14:textId="77777777" w:rsidR="00215159" w:rsidRPr="00B6738B" w:rsidRDefault="00215159" w:rsidP="00BF5EDB">
      <w:pPr>
        <w:jc w:val="both"/>
        <w:rPr>
          <w:rFonts w:ascii="Verdana" w:hAnsi="Verdana" w:cs="Arial"/>
          <w:sz w:val="22"/>
          <w:szCs w:val="22"/>
        </w:rPr>
      </w:pPr>
    </w:p>
    <w:p w14:paraId="7AFE517A" w14:textId="711EEA2E" w:rsidR="00BF5EDB" w:rsidRPr="00B6738B" w:rsidRDefault="00BF5EDB" w:rsidP="00BF5EDB">
      <w:pPr>
        <w:jc w:val="both"/>
        <w:rPr>
          <w:rFonts w:ascii="Verdana" w:hAnsi="Verdana" w:cs="Arial"/>
          <w:sz w:val="22"/>
          <w:szCs w:val="22"/>
        </w:rPr>
      </w:pPr>
      <w:r w:rsidRPr="00B6738B">
        <w:rPr>
          <w:rFonts w:ascii="Verdana" w:hAnsi="Verdana" w:cs="Arial"/>
          <w:sz w:val="22"/>
          <w:szCs w:val="22"/>
        </w:rPr>
        <w:t xml:space="preserve">Por su parte, para los procesos con presupuesto oficial igual o superior a </w:t>
      </w:r>
      <w:r w:rsidR="00B85D54">
        <w:rPr>
          <w:rFonts w:ascii="Verdana" w:hAnsi="Verdana" w:cs="Arial"/>
          <w:sz w:val="22"/>
          <w:szCs w:val="22"/>
        </w:rPr>
        <w:t>13</w:t>
      </w:r>
      <w:r w:rsidRPr="00B6738B">
        <w:rPr>
          <w:rFonts w:ascii="Verdana" w:hAnsi="Verdana" w:cs="Arial"/>
          <w:sz w:val="22"/>
          <w:szCs w:val="22"/>
        </w:rPr>
        <w:t xml:space="preserve">.000 SMMLV, se establece un límite máximo de endeudamiento de 0,75, teniendo en cuenta que los proyectos de mayor magnitud demandan capacidades operativas y financieras superiores, las cuales frecuentemente implican el acceso a mecanismos de financiación </w:t>
      </w:r>
      <w:r w:rsidRPr="00B6738B">
        <w:rPr>
          <w:rFonts w:ascii="Verdana" w:hAnsi="Verdana" w:cs="Arial"/>
          <w:sz w:val="22"/>
          <w:szCs w:val="22"/>
        </w:rPr>
        <w:lastRenderedPageBreak/>
        <w:t>externa, crédito comercial y apalancamiento financiero como parte de una gestión empresarial normal y técnicamente razonable.</w:t>
      </w:r>
    </w:p>
    <w:p w14:paraId="377ACD14" w14:textId="77777777" w:rsidR="00215159" w:rsidRPr="00B6738B" w:rsidRDefault="00215159" w:rsidP="00BF5EDB">
      <w:pPr>
        <w:jc w:val="both"/>
        <w:rPr>
          <w:rFonts w:ascii="Verdana" w:hAnsi="Verdana" w:cs="Arial"/>
          <w:sz w:val="22"/>
          <w:szCs w:val="22"/>
        </w:rPr>
      </w:pPr>
    </w:p>
    <w:p w14:paraId="0988AF28" w14:textId="77777777" w:rsidR="00BF5EDB" w:rsidRPr="00B6738B" w:rsidRDefault="00BF5EDB" w:rsidP="00BF5EDB">
      <w:pPr>
        <w:jc w:val="both"/>
        <w:rPr>
          <w:rFonts w:ascii="Verdana" w:hAnsi="Verdana" w:cs="Arial"/>
          <w:sz w:val="22"/>
          <w:szCs w:val="22"/>
        </w:rPr>
      </w:pPr>
      <w:r w:rsidRPr="00B6738B">
        <w:rPr>
          <w:rFonts w:ascii="Verdana" w:hAnsi="Verdana" w:cs="Arial"/>
          <w:sz w:val="22"/>
          <w:szCs w:val="22"/>
        </w:rPr>
        <w:t>En efecto, los contratos de alta cuantía asociados a infraestructura de agua potable y saneamiento básico suelen requerir:</w:t>
      </w:r>
    </w:p>
    <w:p w14:paraId="658D8C7A" w14:textId="77777777" w:rsidR="001F23AD" w:rsidRPr="00B6738B" w:rsidRDefault="001F23AD" w:rsidP="00BF5EDB">
      <w:pPr>
        <w:jc w:val="both"/>
        <w:rPr>
          <w:rFonts w:ascii="Verdana" w:hAnsi="Verdana" w:cs="Arial"/>
          <w:sz w:val="22"/>
          <w:szCs w:val="22"/>
        </w:rPr>
      </w:pPr>
    </w:p>
    <w:p w14:paraId="5BB4527E"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Mayores niveles de inversión inicial.</w:t>
      </w:r>
    </w:p>
    <w:p w14:paraId="2FCD981F"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Movilización de maquinaria y equipos especializados.</w:t>
      </w:r>
    </w:p>
    <w:p w14:paraId="7D51A9C3"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Incremento en costos operativos y administrativos.</w:t>
      </w:r>
    </w:p>
    <w:p w14:paraId="40EA8923"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Ejecución simultánea de múltiples frentes de obra.</w:t>
      </w:r>
    </w:p>
    <w:p w14:paraId="009BE1C1"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Capacidad de sostenimiento financiero durante períodos prolongados.</w:t>
      </w:r>
    </w:p>
    <w:p w14:paraId="77305B03" w14:textId="77777777" w:rsidR="00BF5EDB" w:rsidRPr="00B6738B" w:rsidRDefault="00BF5EDB" w:rsidP="00BF5EDB">
      <w:pPr>
        <w:numPr>
          <w:ilvl w:val="0"/>
          <w:numId w:val="119"/>
        </w:numPr>
        <w:jc w:val="both"/>
        <w:rPr>
          <w:rFonts w:ascii="Verdana" w:hAnsi="Verdana" w:cs="Arial"/>
          <w:sz w:val="22"/>
          <w:szCs w:val="22"/>
        </w:rPr>
      </w:pPr>
      <w:r w:rsidRPr="00B6738B">
        <w:rPr>
          <w:rFonts w:ascii="Verdana" w:hAnsi="Verdana" w:cs="Arial"/>
          <w:sz w:val="22"/>
          <w:szCs w:val="22"/>
        </w:rPr>
        <w:t>Mayor necesidad de flujo de caja para atender obligaciones contractuales.</w:t>
      </w:r>
    </w:p>
    <w:p w14:paraId="7362A348" w14:textId="77777777" w:rsidR="00215159" w:rsidRPr="00B6738B" w:rsidRDefault="00215159" w:rsidP="00BF5EDB">
      <w:pPr>
        <w:jc w:val="both"/>
        <w:rPr>
          <w:rFonts w:ascii="Verdana" w:hAnsi="Verdana" w:cs="Arial"/>
          <w:sz w:val="22"/>
          <w:szCs w:val="22"/>
        </w:rPr>
      </w:pPr>
    </w:p>
    <w:p w14:paraId="1520813F" w14:textId="3CF7E777" w:rsidR="00BF5EDB" w:rsidRPr="00B6738B" w:rsidRDefault="00BF5EDB" w:rsidP="00BF5EDB">
      <w:pPr>
        <w:jc w:val="both"/>
        <w:rPr>
          <w:rFonts w:ascii="Verdana" w:hAnsi="Verdana" w:cs="Arial"/>
          <w:sz w:val="22"/>
          <w:szCs w:val="22"/>
        </w:rPr>
      </w:pPr>
      <w:r w:rsidRPr="00B6738B">
        <w:rPr>
          <w:rFonts w:ascii="Verdana" w:hAnsi="Verdana" w:cs="Arial"/>
          <w:sz w:val="22"/>
          <w:szCs w:val="22"/>
        </w:rPr>
        <w:t xml:space="preserve">En este contexto, </w:t>
      </w:r>
      <w:r w:rsidR="003E15B8" w:rsidRPr="00B6738B">
        <w:rPr>
          <w:rFonts w:ascii="Verdana" w:hAnsi="Verdana" w:cs="Arial"/>
          <w:sz w:val="22"/>
          <w:szCs w:val="22"/>
        </w:rPr>
        <w:t xml:space="preserve">y teniendo en cuenta que </w:t>
      </w:r>
      <w:r w:rsidRPr="00B6738B">
        <w:rPr>
          <w:rFonts w:ascii="Verdana" w:hAnsi="Verdana" w:cs="Arial"/>
          <w:sz w:val="22"/>
          <w:szCs w:val="22"/>
        </w:rPr>
        <w:t xml:space="preserve">las empresas con capacidad para ejecutar proyectos de gran escala pueden presentar estructuras financieras con mayores niveles de </w:t>
      </w:r>
      <w:r w:rsidR="003E15B8" w:rsidRPr="00B6738B">
        <w:rPr>
          <w:rFonts w:ascii="Verdana" w:hAnsi="Verdana" w:cs="Arial"/>
          <w:sz w:val="22"/>
          <w:szCs w:val="22"/>
        </w:rPr>
        <w:t>endeudamiento</w:t>
      </w:r>
      <w:r w:rsidRPr="00B6738B">
        <w:rPr>
          <w:rFonts w:ascii="Verdana" w:hAnsi="Verdana" w:cs="Arial"/>
          <w:sz w:val="22"/>
          <w:szCs w:val="22"/>
        </w:rPr>
        <w:t>, sin que ello implique necesariamente una condición de riesgo financiero inadecuado, siempre que dicho endeudamiento se mantenga dentro de límites razonables y sostenibles.</w:t>
      </w:r>
    </w:p>
    <w:p w14:paraId="1B0B1658" w14:textId="5AB1DF22" w:rsidR="00BF5EDB" w:rsidRPr="00B6738B" w:rsidRDefault="00BF5EDB" w:rsidP="00BF5EDB">
      <w:pPr>
        <w:jc w:val="both"/>
        <w:rPr>
          <w:rFonts w:ascii="Verdana" w:hAnsi="Verdana" w:cs="Arial"/>
          <w:sz w:val="22"/>
          <w:szCs w:val="22"/>
        </w:rPr>
      </w:pPr>
      <w:r w:rsidRPr="00B6738B">
        <w:rPr>
          <w:rFonts w:ascii="Verdana" w:hAnsi="Verdana" w:cs="Arial"/>
          <w:sz w:val="22"/>
          <w:szCs w:val="22"/>
        </w:rPr>
        <w:t>Por lo anterior, el incremento controlado del límite máximo de endeudamiento de 0,70 a 0,75 responde a criterios de proporcionalidad y adecuación a la realidad financiera de</w:t>
      </w:r>
      <w:r w:rsidR="003E15B8" w:rsidRPr="00B6738B">
        <w:rPr>
          <w:rFonts w:ascii="Verdana" w:hAnsi="Verdana" w:cs="Arial"/>
          <w:sz w:val="22"/>
          <w:szCs w:val="22"/>
        </w:rPr>
        <w:t xml:space="preserve"> las grandes empresas del</w:t>
      </w:r>
      <w:r w:rsidRPr="00B6738B">
        <w:rPr>
          <w:rFonts w:ascii="Verdana" w:hAnsi="Verdana" w:cs="Arial"/>
          <w:sz w:val="22"/>
          <w:szCs w:val="22"/>
        </w:rPr>
        <w:t xml:space="preserve"> sector, permitiendo ampliar la participación de empresas con capacidad técnica y operativa suficiente para ejecutar contratos de alta complejidad, sin comprometer la verificación de una estructura financiera estable y adecuada.</w:t>
      </w:r>
    </w:p>
    <w:p w14:paraId="75E25A20" w14:textId="77777777" w:rsidR="003E15B8" w:rsidRPr="00B6738B" w:rsidRDefault="003E15B8" w:rsidP="00BF5EDB">
      <w:pPr>
        <w:jc w:val="both"/>
        <w:rPr>
          <w:rFonts w:ascii="Verdana" w:hAnsi="Verdana" w:cs="Arial"/>
          <w:sz w:val="22"/>
          <w:szCs w:val="22"/>
        </w:rPr>
      </w:pPr>
    </w:p>
    <w:p w14:paraId="1364FA40" w14:textId="77777777" w:rsidR="00BF5EDB" w:rsidRDefault="00BF5EDB" w:rsidP="00BF5EDB">
      <w:pPr>
        <w:jc w:val="both"/>
        <w:rPr>
          <w:rFonts w:ascii="Verdana" w:hAnsi="Verdana" w:cs="Arial"/>
          <w:sz w:val="22"/>
          <w:szCs w:val="22"/>
        </w:rPr>
      </w:pPr>
      <w:r w:rsidRPr="00B6738B">
        <w:rPr>
          <w:rFonts w:ascii="Verdana" w:hAnsi="Verdana" w:cs="Arial"/>
          <w:sz w:val="22"/>
          <w:szCs w:val="22"/>
        </w:rPr>
        <w:t>En consecuencia, la definición diferenciada del indicador busca equilibrar la necesidad de mitigar riesgos financieros durante la ejecución contractual con la realidad económica y operativa propia de los proyectos de infraestructura de mayor cuantía, garantizando condiciones objetivas y razonables de participación.</w:t>
      </w:r>
    </w:p>
    <w:p w14:paraId="319F9071" w14:textId="77777777" w:rsidR="00EA40CD" w:rsidRDefault="00EA40CD" w:rsidP="00BF5EDB">
      <w:pPr>
        <w:jc w:val="both"/>
        <w:rPr>
          <w:rFonts w:ascii="Verdana" w:hAnsi="Verdana" w:cs="Arial"/>
          <w:sz w:val="22"/>
          <w:szCs w:val="22"/>
        </w:rPr>
      </w:pPr>
    </w:p>
    <w:p w14:paraId="7039B6F8" w14:textId="60FCFBD5" w:rsidR="0088259D" w:rsidRPr="00AB5728" w:rsidRDefault="00EA40CD" w:rsidP="005D11F7">
      <w:pPr>
        <w:jc w:val="both"/>
        <w:rPr>
          <w:rFonts w:ascii="Verdana" w:hAnsi="Verdana" w:cs="Arial"/>
          <w:sz w:val="22"/>
          <w:szCs w:val="22"/>
          <w:lang w:val="es-MX"/>
        </w:rPr>
      </w:pPr>
      <w:r>
        <w:rPr>
          <w:rFonts w:ascii="Verdana" w:hAnsi="Verdana" w:cs="Arial"/>
          <w:sz w:val="22"/>
          <w:szCs w:val="22"/>
        </w:rPr>
        <w:t xml:space="preserve">Articulado con los niveles de flexibilización del indicador de endeudamiento, </w:t>
      </w:r>
      <w:r w:rsidR="002E5C7F">
        <w:rPr>
          <w:rFonts w:ascii="Verdana" w:hAnsi="Verdana" w:cs="Arial"/>
          <w:sz w:val="22"/>
          <w:szCs w:val="22"/>
        </w:rPr>
        <w:t xml:space="preserve">se determinó definir la razón de cobertura de interés partiendo de la siguiente premisa: </w:t>
      </w:r>
      <w:r w:rsidR="002E5C7F" w:rsidRPr="002E5C7F">
        <w:rPr>
          <w:rFonts w:ascii="Verdana" w:hAnsi="Verdana" w:cs="Arial"/>
          <w:sz w:val="22"/>
          <w:szCs w:val="22"/>
        </w:rPr>
        <w:t>los proyectos de mayor cuantía pueden requerir mayores niveles de apalancamiento financiero</w:t>
      </w:r>
      <w:r w:rsidR="00BA0022">
        <w:rPr>
          <w:rFonts w:ascii="Verdana" w:hAnsi="Verdana" w:cs="Arial"/>
          <w:sz w:val="22"/>
          <w:szCs w:val="22"/>
        </w:rPr>
        <w:t>, por ende se surte un proceso de flexibilización para los proyectos con mayor alcance a nivel presupuestal,</w:t>
      </w:r>
      <w:r w:rsidR="002E5C7F" w:rsidRPr="002E5C7F">
        <w:rPr>
          <w:rFonts w:ascii="Verdana" w:hAnsi="Verdana" w:cs="Arial"/>
          <w:sz w:val="22"/>
          <w:szCs w:val="22"/>
        </w:rPr>
        <w:t xml:space="preserve"> sin embargo, </w:t>
      </w:r>
      <w:r w:rsidR="00BA0022">
        <w:rPr>
          <w:rFonts w:ascii="Verdana" w:hAnsi="Verdana" w:cs="Arial"/>
          <w:sz w:val="22"/>
          <w:szCs w:val="22"/>
        </w:rPr>
        <w:t xml:space="preserve">se </w:t>
      </w:r>
      <w:r w:rsidR="002E5C7F" w:rsidRPr="002E5C7F">
        <w:rPr>
          <w:rFonts w:ascii="Verdana" w:hAnsi="Verdana" w:cs="Arial"/>
          <w:sz w:val="22"/>
          <w:szCs w:val="22"/>
        </w:rPr>
        <w:t>considera necesario mantener una razón mínima de cobertura de intereses de 1 para todos los rangos, con el fin de garantizar que los proponentes cuenten con capacidad operacional suficiente para atender sus obligaciones financieras y sostener la ejecución contractual durante toda la vigencia del contrato</w:t>
      </w:r>
      <w:r w:rsidR="00BA0022">
        <w:rPr>
          <w:rFonts w:ascii="Verdana" w:hAnsi="Verdana" w:cs="Arial"/>
          <w:sz w:val="22"/>
          <w:szCs w:val="22"/>
        </w:rPr>
        <w:t>.</w:t>
      </w:r>
    </w:p>
    <w:p w14:paraId="59719B7A" w14:textId="77777777" w:rsidR="007A0AE0" w:rsidRPr="00611315" w:rsidRDefault="007A0AE0" w:rsidP="007A0AE0">
      <w:pPr>
        <w:pStyle w:val="Prrafodelista"/>
        <w:ind w:left="1068"/>
        <w:jc w:val="center"/>
        <w:rPr>
          <w:rFonts w:ascii="Verdana" w:hAnsi="Verdana" w:cs="Arial"/>
          <w:sz w:val="16"/>
          <w:szCs w:val="16"/>
          <w:highlight w:val="yellow"/>
          <w:lang w:val="es-MX"/>
        </w:rPr>
      </w:pPr>
    </w:p>
    <w:p w14:paraId="7666902D" w14:textId="77777777" w:rsidR="007A0AE0" w:rsidRPr="00611315" w:rsidRDefault="007A0AE0" w:rsidP="007A0AE0">
      <w:pPr>
        <w:pStyle w:val="Prrafodelista"/>
        <w:ind w:left="1068"/>
        <w:jc w:val="center"/>
        <w:rPr>
          <w:rFonts w:ascii="Verdana" w:hAnsi="Verdana" w:cs="Arial"/>
          <w:sz w:val="16"/>
          <w:szCs w:val="16"/>
          <w:highlight w:val="yellow"/>
          <w:lang w:val="es-MX"/>
        </w:rPr>
      </w:pPr>
    </w:p>
    <w:p w14:paraId="57B60E06" w14:textId="77777777" w:rsidR="007A0AE0" w:rsidRPr="00AF246E" w:rsidRDefault="007A0AE0" w:rsidP="007A0AE0">
      <w:pPr>
        <w:pStyle w:val="Prrafodelista"/>
        <w:numPr>
          <w:ilvl w:val="0"/>
          <w:numId w:val="56"/>
        </w:numPr>
        <w:spacing w:after="0" w:line="276" w:lineRule="auto"/>
        <w:contextualSpacing w:val="0"/>
        <w:rPr>
          <w:rFonts w:ascii="Verdana" w:eastAsia="Times New Roman" w:hAnsi="Verdana" w:cs="Arial"/>
          <w:b/>
          <w:lang w:eastAsia="es-MX"/>
        </w:rPr>
      </w:pPr>
      <w:r w:rsidRPr="00AF246E">
        <w:rPr>
          <w:rFonts w:ascii="Verdana" w:eastAsia="Times New Roman" w:hAnsi="Verdana" w:cs="Arial"/>
          <w:b/>
          <w:lang w:eastAsia="es-MX"/>
        </w:rPr>
        <w:lastRenderedPageBreak/>
        <w:t>Indicadores adicionales de capacidad financiera</w:t>
      </w:r>
    </w:p>
    <w:p w14:paraId="7E44E9CC" w14:textId="77777777" w:rsidR="007A0AE0" w:rsidRPr="00AF246E" w:rsidRDefault="007A0AE0" w:rsidP="007A0AE0">
      <w:pPr>
        <w:jc w:val="both"/>
        <w:rPr>
          <w:rFonts w:ascii="Verdana" w:hAnsi="Verdana" w:cs="Arial"/>
          <w:lang w:val="es-MX"/>
        </w:rPr>
      </w:pPr>
    </w:p>
    <w:p w14:paraId="34CA2D59" w14:textId="108EBDE7" w:rsidR="007A0AE0" w:rsidRPr="00AF246E" w:rsidRDefault="007A0AE0" w:rsidP="007A0AE0">
      <w:pPr>
        <w:jc w:val="both"/>
        <w:rPr>
          <w:rFonts w:ascii="Verdana" w:hAnsi="Verdana" w:cs="Arial"/>
          <w:sz w:val="22"/>
          <w:szCs w:val="22"/>
          <w:lang w:val="es-MX"/>
        </w:rPr>
      </w:pPr>
      <w:r w:rsidRPr="00AF246E">
        <w:rPr>
          <w:rFonts w:ascii="Verdana" w:hAnsi="Verdana" w:cs="Arial"/>
          <w:sz w:val="22"/>
          <w:szCs w:val="22"/>
          <w:lang w:val="es-MX"/>
        </w:rPr>
        <w:t xml:space="preserve">Con el objetivo de fortalecer los procesos de selección de infraestructura de </w:t>
      </w:r>
      <w:r w:rsidR="00E5637A">
        <w:rPr>
          <w:rFonts w:ascii="Verdana" w:hAnsi="Verdana" w:cs="Arial"/>
          <w:sz w:val="22"/>
          <w:szCs w:val="22"/>
          <w:lang w:val="es-MX"/>
        </w:rPr>
        <w:t xml:space="preserve">agua potables y saneamiento </w:t>
      </w:r>
      <w:r w:rsidR="000874E3">
        <w:rPr>
          <w:rFonts w:ascii="Verdana" w:hAnsi="Verdana" w:cs="Arial"/>
          <w:sz w:val="22"/>
          <w:szCs w:val="22"/>
          <w:lang w:val="es-MX"/>
        </w:rPr>
        <w:t>básico</w:t>
      </w:r>
      <w:r w:rsidRPr="00AF246E">
        <w:rPr>
          <w:rFonts w:ascii="Verdana" w:hAnsi="Verdana" w:cs="Arial"/>
          <w:sz w:val="22"/>
          <w:szCs w:val="22"/>
          <w:lang w:val="es-MX"/>
        </w:rPr>
        <w:t xml:space="preserve"> en la nueva versión del documento tipo se considera relevante preservar como un requisito habilitante de capacidad financiera adicional el indicador de “Capital de trabajo” e incluir en el documento tipo el indicador de “Patrimonio” cuando el proyecto cumpla con dos condiciones específicas.</w:t>
      </w:r>
    </w:p>
    <w:p w14:paraId="4B3A7B16" w14:textId="77777777" w:rsidR="007A0AE0" w:rsidRPr="00AF246E" w:rsidRDefault="007A0AE0" w:rsidP="007A0AE0">
      <w:pPr>
        <w:jc w:val="both"/>
        <w:rPr>
          <w:rFonts w:ascii="Verdana" w:hAnsi="Verdana" w:cs="Arial"/>
          <w:sz w:val="22"/>
          <w:szCs w:val="22"/>
          <w:lang w:val="es-MX"/>
        </w:rPr>
      </w:pPr>
    </w:p>
    <w:p w14:paraId="1D90C6F9" w14:textId="77777777" w:rsidR="007A0AE0" w:rsidRPr="00AF246E" w:rsidRDefault="007A0AE0" w:rsidP="007A0AE0">
      <w:pPr>
        <w:jc w:val="both"/>
        <w:rPr>
          <w:rFonts w:ascii="Verdana" w:hAnsi="Verdana" w:cs="Arial"/>
          <w:sz w:val="22"/>
          <w:szCs w:val="22"/>
          <w:lang w:val="es-MX"/>
        </w:rPr>
      </w:pPr>
      <w:r w:rsidRPr="00AF246E">
        <w:rPr>
          <w:rFonts w:ascii="Verdana" w:hAnsi="Verdana" w:cs="Arial"/>
          <w:sz w:val="22"/>
          <w:szCs w:val="22"/>
          <w:lang w:val="es-MX"/>
        </w:rPr>
        <w:t>Lo anterior, tomando en consideración lo indicado en el numeral 4.2 Indicadores Adicionales de Capacidad Financiera del Manual para la definición de requisitos habilitantes expedido por la Agencia Nacional de Contratación Pública – Colombia Compra Eficiente (versión 3): “</w:t>
      </w:r>
      <w:r w:rsidRPr="00AF246E">
        <w:rPr>
          <w:rFonts w:ascii="Verdana" w:hAnsi="Verdana" w:cs="Arial"/>
          <w:i/>
          <w:iCs/>
          <w:sz w:val="22"/>
          <w:szCs w:val="22"/>
          <w:lang w:val="es-MX"/>
        </w:rPr>
        <w:t>Las Entidades Estatales también pueden optar por utilizar indicadores distintos de los señalados en el artículo 2.2.1.1.1.5.3 del Decreto 1082 de 2015 para evaluar la capacidad financiera, cuando en virtud del análisis correspondiente se determine necesario. Dicho análisis a su vez puede estudiar la necesidad de aplicar los indicadores señalados en la norma en conjunto con otros indicadores complementarios, relevantes en relación con las características del objeto a contratar, la naturaleza, valor, complejidad y Riesgo del Proceso de Contratación</w:t>
      </w:r>
      <w:r w:rsidRPr="00AF246E">
        <w:rPr>
          <w:rFonts w:ascii="Verdana" w:hAnsi="Verdana" w:cs="Arial"/>
          <w:sz w:val="22"/>
          <w:szCs w:val="22"/>
          <w:lang w:val="es-MX"/>
        </w:rPr>
        <w:t>”</w:t>
      </w:r>
      <w:r w:rsidRPr="00AF246E">
        <w:rPr>
          <w:rStyle w:val="Refdenotaalpie"/>
          <w:rFonts w:ascii="Verdana" w:hAnsi="Verdana" w:cs="Arial"/>
          <w:sz w:val="22"/>
          <w:szCs w:val="22"/>
          <w:lang w:val="es-MX"/>
        </w:rPr>
        <w:footnoteReference w:id="41"/>
      </w:r>
      <w:r w:rsidRPr="00AF246E">
        <w:rPr>
          <w:rFonts w:ascii="Verdana" w:hAnsi="Verdana" w:cs="Arial"/>
          <w:sz w:val="22"/>
          <w:szCs w:val="22"/>
          <w:lang w:val="es-MX"/>
        </w:rPr>
        <w:t>.</w:t>
      </w:r>
    </w:p>
    <w:p w14:paraId="562DF8FA" w14:textId="77777777" w:rsidR="007A0AE0" w:rsidRPr="00AF246E" w:rsidRDefault="007A0AE0" w:rsidP="007A0AE0">
      <w:pPr>
        <w:jc w:val="both"/>
        <w:rPr>
          <w:rFonts w:ascii="Verdana" w:hAnsi="Verdana" w:cs="Arial"/>
          <w:sz w:val="22"/>
          <w:szCs w:val="22"/>
          <w:lang w:val="es-MX"/>
        </w:rPr>
      </w:pPr>
    </w:p>
    <w:p w14:paraId="3CB56357" w14:textId="77777777" w:rsidR="007A0AE0" w:rsidRPr="00E93D63" w:rsidRDefault="007A0AE0" w:rsidP="007A0AE0">
      <w:pPr>
        <w:jc w:val="both"/>
        <w:rPr>
          <w:rFonts w:ascii="Verdana" w:hAnsi="Verdana" w:cs="Arial"/>
          <w:sz w:val="22"/>
          <w:szCs w:val="22"/>
          <w:lang w:val="es-MX"/>
        </w:rPr>
      </w:pPr>
      <w:r w:rsidRPr="00AF246E">
        <w:rPr>
          <w:rFonts w:ascii="Verdana" w:hAnsi="Verdana" w:cs="Arial"/>
          <w:sz w:val="22"/>
          <w:szCs w:val="22"/>
          <w:lang w:val="es-MX"/>
        </w:rPr>
        <w:t xml:space="preserve">Por lo anterior, es importante reseñar que la inclusión del indicador y el requisito a solicitar </w:t>
      </w:r>
      <w:r w:rsidRPr="00E93D63">
        <w:rPr>
          <w:rFonts w:ascii="Verdana" w:hAnsi="Verdana" w:cs="Arial"/>
          <w:sz w:val="22"/>
          <w:szCs w:val="22"/>
          <w:lang w:val="es-MX"/>
        </w:rPr>
        <w:t>dependerán de factores como el presupuesto y el plazo de ejecución del proceso de selección, conforme con las condiciones definidas a continuación:</w:t>
      </w:r>
    </w:p>
    <w:p w14:paraId="15B0D640" w14:textId="77777777" w:rsidR="007A0AE0" w:rsidRPr="00E93D63" w:rsidRDefault="007A0AE0" w:rsidP="007A0AE0">
      <w:pPr>
        <w:jc w:val="both"/>
        <w:rPr>
          <w:rFonts w:ascii="Verdana" w:hAnsi="Verdana" w:cs="Arial"/>
          <w:lang w:val="es-MX"/>
        </w:rPr>
      </w:pPr>
    </w:p>
    <w:p w14:paraId="3C182054" w14:textId="77777777" w:rsidR="007A0AE0" w:rsidRPr="00E93D63" w:rsidRDefault="007A0AE0" w:rsidP="007A0AE0">
      <w:pPr>
        <w:pStyle w:val="Prrafodelista"/>
        <w:spacing w:after="0" w:line="276" w:lineRule="auto"/>
        <w:contextualSpacing w:val="0"/>
        <w:rPr>
          <w:rFonts w:ascii="Verdana" w:eastAsia="Times New Roman" w:hAnsi="Verdana" w:cs="Arial"/>
          <w:b/>
          <w:lang w:eastAsia="es-MX"/>
        </w:rPr>
      </w:pPr>
      <w:r w:rsidRPr="00E93D63">
        <w:rPr>
          <w:rFonts w:ascii="Verdana" w:eastAsia="Times New Roman" w:hAnsi="Verdana" w:cs="Arial"/>
          <w:b/>
          <w:lang w:eastAsia="es-MX"/>
        </w:rPr>
        <w:t>Capital de trabajo</w:t>
      </w:r>
    </w:p>
    <w:p w14:paraId="049D1082" w14:textId="77777777" w:rsidR="007A0AE0" w:rsidRPr="00E93D63" w:rsidRDefault="007A0AE0" w:rsidP="007A0AE0">
      <w:pPr>
        <w:ind w:left="708"/>
        <w:jc w:val="both"/>
        <w:rPr>
          <w:rFonts w:ascii="Verdana" w:hAnsi="Verdana" w:cs="Arial"/>
          <w:b/>
          <w:bCs/>
          <w:sz w:val="22"/>
          <w:szCs w:val="22"/>
          <w:u w:val="single"/>
          <w:lang w:val="es-MX"/>
        </w:rPr>
      </w:pPr>
    </w:p>
    <w:p w14:paraId="188F0479" w14:textId="75E7DBFB" w:rsidR="007A0AE0" w:rsidRPr="00E93D63" w:rsidRDefault="007A0AE0" w:rsidP="007A0AE0">
      <w:pPr>
        <w:jc w:val="both"/>
        <w:rPr>
          <w:rFonts w:ascii="Verdana" w:hAnsi="Verdana" w:cs="Arial"/>
          <w:sz w:val="22"/>
          <w:szCs w:val="22"/>
          <w:lang w:val="es-MX"/>
        </w:rPr>
      </w:pPr>
      <w:r w:rsidRPr="00E93D63">
        <w:rPr>
          <w:rFonts w:ascii="Verdana" w:hAnsi="Verdana" w:cs="Arial"/>
          <w:sz w:val="22"/>
          <w:szCs w:val="22"/>
          <w:lang w:val="es-MX"/>
        </w:rPr>
        <w:t xml:space="preserve">Teniendo en cuenta que los servicios de obra para infraestructura </w:t>
      </w:r>
      <w:r w:rsidR="00E5637A" w:rsidRPr="00E93D63">
        <w:rPr>
          <w:rFonts w:ascii="Verdana" w:hAnsi="Verdana" w:cs="Arial"/>
          <w:sz w:val="22"/>
          <w:szCs w:val="22"/>
          <w:lang w:val="es-MX"/>
        </w:rPr>
        <w:t>de agua potable y saneamiento básico</w:t>
      </w:r>
      <w:r w:rsidRPr="00E93D63">
        <w:rPr>
          <w:rFonts w:ascii="Verdana" w:hAnsi="Verdana" w:cs="Arial"/>
          <w:sz w:val="22"/>
          <w:szCs w:val="22"/>
          <w:lang w:val="es-MX"/>
        </w:rPr>
        <w:t xml:space="preserve"> requieren un alto nivel de apalancamiento para el desarrollo de sus proyectos</w:t>
      </w:r>
      <w:r w:rsidRPr="00E93D63">
        <w:rPr>
          <w:rFonts w:ascii="Verdana" w:hAnsi="Verdana"/>
          <w:sz w:val="22"/>
          <w:szCs w:val="22"/>
          <w:vertAlign w:val="superscript"/>
        </w:rPr>
        <w:footnoteReference w:id="42"/>
      </w:r>
      <w:r w:rsidRPr="00E93D63">
        <w:rPr>
          <w:rFonts w:ascii="Verdana" w:hAnsi="Verdana" w:cs="Arial"/>
          <w:sz w:val="22"/>
          <w:szCs w:val="22"/>
          <w:vertAlign w:val="superscript"/>
          <w:lang w:val="es-MX"/>
        </w:rPr>
        <w:t>,</w:t>
      </w:r>
      <w:r w:rsidRPr="00E93D63">
        <w:rPr>
          <w:rFonts w:ascii="Verdana" w:hAnsi="Verdana" w:cs="Arial"/>
          <w:sz w:val="22"/>
          <w:szCs w:val="22"/>
          <w:lang w:val="es-MX"/>
        </w:rPr>
        <w:t xml:space="preserve"> el capital de trabajo será un requisito de capacidad financiera que se solicitará para todos los procesos de selección en el marco del documento tipo de infraestructura </w:t>
      </w:r>
      <w:r w:rsidR="00E93D63" w:rsidRPr="00E93D63">
        <w:rPr>
          <w:rFonts w:ascii="Verdana" w:hAnsi="Verdana" w:cs="Arial"/>
          <w:sz w:val="22"/>
          <w:szCs w:val="22"/>
          <w:lang w:val="es-MX"/>
        </w:rPr>
        <w:t>de agua potable y saneamiento básico</w:t>
      </w:r>
      <w:r w:rsidRPr="00E93D63">
        <w:rPr>
          <w:rFonts w:ascii="Verdana" w:hAnsi="Verdana" w:cs="Arial"/>
          <w:sz w:val="22"/>
          <w:szCs w:val="22"/>
          <w:lang w:val="es-MX"/>
        </w:rPr>
        <w:t>.</w:t>
      </w:r>
    </w:p>
    <w:p w14:paraId="41AB671B" w14:textId="77777777" w:rsidR="007A0AE0" w:rsidRPr="00E93D63" w:rsidRDefault="007A0AE0" w:rsidP="007A0AE0">
      <w:pPr>
        <w:jc w:val="both"/>
        <w:rPr>
          <w:rFonts w:ascii="Verdana" w:hAnsi="Verdana" w:cs="Arial"/>
          <w:sz w:val="22"/>
          <w:szCs w:val="22"/>
          <w:lang w:val="es-MX"/>
        </w:rPr>
      </w:pPr>
    </w:p>
    <w:p w14:paraId="679F45C8" w14:textId="5AEF154F" w:rsidR="007A0AE0" w:rsidRPr="00E93D63" w:rsidRDefault="007A0AE0" w:rsidP="007A0AE0">
      <w:pPr>
        <w:jc w:val="both"/>
        <w:rPr>
          <w:rFonts w:ascii="Verdana" w:hAnsi="Verdana" w:cs="Arial"/>
          <w:sz w:val="22"/>
          <w:szCs w:val="22"/>
          <w:lang w:val="es-MX"/>
        </w:rPr>
      </w:pPr>
      <w:r w:rsidRPr="00E93D63">
        <w:rPr>
          <w:rFonts w:ascii="Verdana" w:hAnsi="Verdana" w:cs="Arial"/>
          <w:sz w:val="22"/>
          <w:szCs w:val="22"/>
          <w:lang w:val="es-MX"/>
        </w:rPr>
        <w:t xml:space="preserve">Es importante precisar que con el objetivo de establecer este requisito de forma más proporcional a las condiciones particulares del proceso, se solicitará este requisito considerando una cantidad de meses de apalancamiento dependiendo el plazo estimado de ejecución del proyecto (con el objetivo de solicitar el requisito de forma proporcional </w:t>
      </w:r>
      <w:r w:rsidRPr="00E93D63">
        <w:rPr>
          <w:rFonts w:ascii="Verdana" w:hAnsi="Verdana" w:cs="Arial"/>
          <w:sz w:val="22"/>
          <w:szCs w:val="22"/>
          <w:lang w:val="es-MX"/>
        </w:rPr>
        <w:lastRenderedPageBreak/>
        <w:t>al presupuesto oficial y el plazo estimado de ejecución de cada proceso), pero considerando descontar dentro del cálculo del capital de trabajo demandado, los recursos que por concepto de anticipo o pago anticipado, la Entidad contratante contemple entregar en el marco del proceso de selección, si así lo determina.</w:t>
      </w:r>
    </w:p>
    <w:p w14:paraId="6444F4BA" w14:textId="77777777" w:rsidR="007A0AE0" w:rsidRPr="00E93D63" w:rsidRDefault="007A0AE0" w:rsidP="007A0AE0">
      <w:pPr>
        <w:jc w:val="both"/>
        <w:rPr>
          <w:rFonts w:ascii="Verdana" w:hAnsi="Verdana" w:cs="Arial"/>
          <w:sz w:val="22"/>
          <w:szCs w:val="22"/>
          <w:lang w:val="es-MX"/>
        </w:rPr>
      </w:pPr>
    </w:p>
    <w:p w14:paraId="446D7310" w14:textId="77777777" w:rsidR="007A0AE0" w:rsidRDefault="007A0AE0" w:rsidP="007A0AE0">
      <w:pPr>
        <w:jc w:val="both"/>
        <w:rPr>
          <w:rFonts w:ascii="Verdana" w:hAnsi="Verdana" w:cs="Arial"/>
          <w:sz w:val="22"/>
          <w:szCs w:val="22"/>
          <w:lang w:val="es-MX"/>
        </w:rPr>
      </w:pPr>
      <w:r w:rsidRPr="00E93D63">
        <w:rPr>
          <w:rFonts w:ascii="Verdana" w:hAnsi="Verdana" w:cs="Arial"/>
          <w:sz w:val="22"/>
          <w:szCs w:val="22"/>
        </w:rPr>
        <w:t>Para los procesos de selección con un plazo estimado de ejecución mayor o igual a 12 meses,</w:t>
      </w:r>
      <w:r w:rsidRPr="00E93D63">
        <w:rPr>
          <w:rFonts w:ascii="Verdana" w:hAnsi="Verdana" w:cs="Arial"/>
          <w:sz w:val="22"/>
          <w:szCs w:val="22"/>
          <w:lang w:val="es-MX"/>
        </w:rPr>
        <w:t xml:space="preserve"> La determinación del capital de trabajo demandado (requerido), que es una medición de los recursos que se requieren para apalancar las necesidades contractuales equivalentes a una cantidad (n) de meses, se hará de acuerdo con la siguiente tabla, conforme con el plazo estimado de ejecución del proceso de selección:</w:t>
      </w:r>
    </w:p>
    <w:p w14:paraId="30A6DC1E" w14:textId="77777777" w:rsidR="00405BDB" w:rsidRPr="00E93D63" w:rsidRDefault="00405BDB" w:rsidP="007A0AE0">
      <w:pPr>
        <w:jc w:val="both"/>
        <w:rPr>
          <w:rFonts w:ascii="Verdana" w:hAnsi="Verdana" w:cs="Arial"/>
          <w:sz w:val="22"/>
          <w:szCs w:val="22"/>
          <w:lang w:val="es-MX"/>
        </w:rPr>
      </w:pPr>
    </w:p>
    <w:p w14:paraId="35E41171" w14:textId="77777777" w:rsidR="007A0AE0" w:rsidRPr="00E93D63" w:rsidRDefault="007A0AE0" w:rsidP="007A0AE0">
      <w:pPr>
        <w:jc w:val="both"/>
        <w:rPr>
          <w:rFonts w:ascii="Verdana" w:hAnsi="Verdana" w:cs="Arial"/>
          <w:sz w:val="22"/>
          <w:szCs w:val="22"/>
          <w:lang w:val="es-MX"/>
        </w:rPr>
      </w:pPr>
    </w:p>
    <w:p w14:paraId="097DF3B8" w14:textId="3735D5B8" w:rsidR="007A0AE0" w:rsidRPr="00E93D63" w:rsidRDefault="00AE546C" w:rsidP="00AE546C">
      <w:pPr>
        <w:pStyle w:val="Descripcin"/>
        <w:jc w:val="center"/>
        <w:rPr>
          <w:rFonts w:ascii="Verdana" w:hAnsi="Verdana" w:cs="Arial"/>
          <w:sz w:val="28"/>
          <w:szCs w:val="28"/>
          <w:lang w:val="es-MX"/>
        </w:rPr>
      </w:pPr>
      <w:bookmarkStart w:id="448" w:name="_Toc231368680"/>
      <w:r w:rsidRPr="00E93D63">
        <w:rPr>
          <w:rFonts w:ascii="Verdana" w:hAnsi="Verdana"/>
          <w:sz w:val="22"/>
          <w:szCs w:val="22"/>
        </w:rPr>
        <w:t xml:space="preserve">Tabla </w:t>
      </w:r>
      <w:r w:rsidRPr="00E93D63">
        <w:rPr>
          <w:rFonts w:ascii="Verdana" w:hAnsi="Verdana"/>
          <w:sz w:val="22"/>
          <w:szCs w:val="22"/>
        </w:rPr>
        <w:fldChar w:fldCharType="begin"/>
      </w:r>
      <w:r w:rsidRPr="00E93D63">
        <w:rPr>
          <w:rFonts w:ascii="Verdana" w:hAnsi="Verdana"/>
          <w:sz w:val="22"/>
          <w:szCs w:val="22"/>
        </w:rPr>
        <w:instrText xml:space="preserve"> SEQ Tabla \* ARABIC </w:instrText>
      </w:r>
      <w:r w:rsidRPr="00E93D63">
        <w:rPr>
          <w:rFonts w:ascii="Verdana" w:hAnsi="Verdana"/>
          <w:sz w:val="22"/>
          <w:szCs w:val="22"/>
        </w:rPr>
        <w:fldChar w:fldCharType="separate"/>
      </w:r>
      <w:r w:rsidR="007A4815">
        <w:rPr>
          <w:rFonts w:ascii="Verdana" w:hAnsi="Verdana"/>
          <w:noProof/>
          <w:sz w:val="22"/>
          <w:szCs w:val="22"/>
        </w:rPr>
        <w:t>13</w:t>
      </w:r>
      <w:r w:rsidRPr="00E93D63">
        <w:rPr>
          <w:rFonts w:ascii="Verdana" w:hAnsi="Verdana"/>
          <w:sz w:val="22"/>
          <w:szCs w:val="22"/>
        </w:rPr>
        <w:fldChar w:fldCharType="end"/>
      </w:r>
      <w:r w:rsidRPr="00E93D63">
        <w:rPr>
          <w:rFonts w:ascii="Verdana" w:hAnsi="Verdana"/>
          <w:sz w:val="22"/>
          <w:szCs w:val="22"/>
        </w:rPr>
        <w:t>. Apalancamiento Capital de trabajo</w:t>
      </w:r>
      <w:bookmarkEnd w:id="448"/>
    </w:p>
    <w:tbl>
      <w:tblPr>
        <w:tblW w:w="0" w:type="auto"/>
        <w:jc w:val="center"/>
        <w:tblCellMar>
          <w:left w:w="70" w:type="dxa"/>
          <w:right w:w="70" w:type="dxa"/>
        </w:tblCellMar>
        <w:tblLook w:val="04A0" w:firstRow="1" w:lastRow="0" w:firstColumn="1" w:lastColumn="0" w:noHBand="0" w:noVBand="1"/>
      </w:tblPr>
      <w:tblGrid>
        <w:gridCol w:w="1665"/>
        <w:gridCol w:w="1665"/>
        <w:gridCol w:w="146"/>
        <w:gridCol w:w="146"/>
        <w:gridCol w:w="1760"/>
      </w:tblGrid>
      <w:tr w:rsidR="007A0AE0" w:rsidRPr="00E93D63" w14:paraId="6F038708" w14:textId="77777777" w:rsidTr="000874E3">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5F210"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Plazo estimado de ejecución</w:t>
            </w:r>
          </w:p>
          <w:p w14:paraId="6904132C"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 xml:space="preserve"> del proceso de selección</w:t>
            </w:r>
          </w:p>
        </w:tc>
        <w:tc>
          <w:tcPr>
            <w:tcW w:w="2052" w:type="dxa"/>
            <w:gridSpan w:val="3"/>
            <w:vMerge w:val="restart"/>
            <w:tcBorders>
              <w:top w:val="single" w:sz="4" w:space="0" w:color="auto"/>
              <w:left w:val="nil"/>
              <w:right w:val="single" w:sz="4" w:space="0" w:color="auto"/>
            </w:tcBorders>
            <w:shd w:val="clear" w:color="auto" w:fill="D9D9D9" w:themeFill="background1" w:themeFillShade="D9"/>
            <w:noWrap/>
            <w:vAlign w:val="center"/>
          </w:tcPr>
          <w:p w14:paraId="5C606423"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 xml:space="preserve">Meses de </w:t>
            </w:r>
          </w:p>
          <w:p w14:paraId="78EE74CB"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apalancamiento</w:t>
            </w:r>
          </w:p>
        </w:tc>
      </w:tr>
      <w:tr w:rsidR="007A0AE0" w:rsidRPr="00E93D63" w14:paraId="28A85C2B" w14:textId="77777777" w:rsidTr="000874E3">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601E56"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&gt;=</w:t>
            </w:r>
          </w:p>
          <w:p w14:paraId="0378C0C2"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(meses)</w:t>
            </w:r>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A877B2A"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 xml:space="preserve"> &lt;</w:t>
            </w:r>
          </w:p>
          <w:p w14:paraId="4A8CC5EF" w14:textId="77777777" w:rsidR="007A0AE0" w:rsidRPr="00E93D63" w:rsidRDefault="007A0AE0" w:rsidP="00007C4E">
            <w:pPr>
              <w:jc w:val="center"/>
              <w:rPr>
                <w:rFonts w:ascii="Verdana" w:hAnsi="Verdana" w:cs="Arial"/>
                <w:b/>
                <w:bCs/>
                <w:color w:val="000000"/>
                <w:sz w:val="20"/>
                <w:szCs w:val="20"/>
                <w:lang w:eastAsia="es-CO"/>
              </w:rPr>
            </w:pPr>
            <w:r w:rsidRPr="00E93D63">
              <w:rPr>
                <w:rFonts w:ascii="Verdana" w:hAnsi="Verdana" w:cs="Arial"/>
                <w:b/>
                <w:bCs/>
                <w:color w:val="000000"/>
                <w:sz w:val="20"/>
                <w:szCs w:val="20"/>
                <w:lang w:eastAsia="es-CO"/>
              </w:rPr>
              <w:t>(meses)</w:t>
            </w:r>
          </w:p>
        </w:tc>
        <w:tc>
          <w:tcPr>
            <w:tcW w:w="2052" w:type="dxa"/>
            <w:gridSpan w:val="3"/>
            <w:vMerge/>
            <w:tcBorders>
              <w:left w:val="nil"/>
              <w:bottom w:val="single" w:sz="4" w:space="0" w:color="auto"/>
              <w:right w:val="single" w:sz="4" w:space="0" w:color="auto"/>
            </w:tcBorders>
            <w:shd w:val="clear" w:color="auto" w:fill="D9D9D9" w:themeFill="background1" w:themeFillShade="D9"/>
            <w:noWrap/>
            <w:vAlign w:val="center"/>
            <w:hideMark/>
          </w:tcPr>
          <w:p w14:paraId="15924D33" w14:textId="77777777" w:rsidR="007A0AE0" w:rsidRPr="00E93D63" w:rsidRDefault="007A0AE0" w:rsidP="00007C4E">
            <w:pPr>
              <w:jc w:val="center"/>
              <w:rPr>
                <w:rFonts w:ascii="Verdana" w:hAnsi="Verdana" w:cs="Arial"/>
                <w:b/>
                <w:bCs/>
                <w:color w:val="000000"/>
                <w:sz w:val="20"/>
                <w:szCs w:val="20"/>
                <w:lang w:eastAsia="es-CO"/>
              </w:rPr>
            </w:pPr>
          </w:p>
        </w:tc>
      </w:tr>
      <w:tr w:rsidR="007A0AE0" w:rsidRPr="00E93D63" w14:paraId="6AAC985B" w14:textId="77777777" w:rsidTr="000874E3">
        <w:trPr>
          <w:trHeight w:val="20"/>
          <w:jc w:val="center"/>
        </w:trPr>
        <w:tc>
          <w:tcPr>
            <w:tcW w:w="0" w:type="auto"/>
            <w:tcBorders>
              <w:top w:val="nil"/>
              <w:left w:val="nil"/>
              <w:bottom w:val="single" w:sz="4" w:space="0" w:color="auto"/>
              <w:right w:val="nil"/>
            </w:tcBorders>
            <w:noWrap/>
            <w:vAlign w:val="bottom"/>
            <w:hideMark/>
          </w:tcPr>
          <w:p w14:paraId="5DE4B1C4" w14:textId="77777777" w:rsidR="007A0AE0" w:rsidRPr="00E93D63" w:rsidRDefault="007A0AE0" w:rsidP="00007C4E">
            <w:pPr>
              <w:jc w:val="center"/>
              <w:rPr>
                <w:rFonts w:ascii="Verdana" w:hAnsi="Verdana" w:cs="Arial"/>
                <w:b/>
                <w:bCs/>
                <w:color w:val="000000"/>
                <w:sz w:val="20"/>
                <w:szCs w:val="20"/>
                <w:lang w:eastAsia="es-CO"/>
              </w:rPr>
            </w:pPr>
          </w:p>
        </w:tc>
        <w:tc>
          <w:tcPr>
            <w:tcW w:w="0" w:type="auto"/>
            <w:tcBorders>
              <w:top w:val="nil"/>
              <w:left w:val="nil"/>
              <w:bottom w:val="single" w:sz="4" w:space="0" w:color="auto"/>
              <w:right w:val="nil"/>
            </w:tcBorders>
            <w:noWrap/>
            <w:vAlign w:val="bottom"/>
            <w:hideMark/>
          </w:tcPr>
          <w:p w14:paraId="2984855F" w14:textId="77777777" w:rsidR="007A0AE0" w:rsidRPr="00E93D63" w:rsidRDefault="007A0AE0" w:rsidP="00007C4E">
            <w:pPr>
              <w:jc w:val="center"/>
              <w:rPr>
                <w:rFonts w:ascii="Verdana" w:hAnsi="Verdana" w:cs="Arial"/>
                <w:sz w:val="20"/>
                <w:szCs w:val="20"/>
                <w:lang w:eastAsia="es-CO"/>
              </w:rPr>
            </w:pPr>
          </w:p>
        </w:tc>
        <w:tc>
          <w:tcPr>
            <w:tcW w:w="0" w:type="auto"/>
            <w:tcBorders>
              <w:top w:val="nil"/>
              <w:left w:val="nil"/>
              <w:bottom w:val="nil"/>
              <w:right w:val="nil"/>
            </w:tcBorders>
            <w:noWrap/>
            <w:vAlign w:val="bottom"/>
            <w:hideMark/>
          </w:tcPr>
          <w:p w14:paraId="5BFD46D5" w14:textId="77777777" w:rsidR="007A0AE0" w:rsidRPr="00E93D63" w:rsidRDefault="007A0AE0" w:rsidP="00007C4E">
            <w:pPr>
              <w:jc w:val="center"/>
              <w:rPr>
                <w:rFonts w:ascii="Verdana" w:hAnsi="Verdana" w:cs="Arial"/>
                <w:sz w:val="20"/>
                <w:szCs w:val="20"/>
                <w:lang w:eastAsia="es-CO"/>
              </w:rPr>
            </w:pPr>
          </w:p>
        </w:tc>
        <w:tc>
          <w:tcPr>
            <w:tcW w:w="0" w:type="auto"/>
            <w:tcBorders>
              <w:top w:val="nil"/>
              <w:left w:val="nil"/>
              <w:bottom w:val="nil"/>
              <w:right w:val="nil"/>
            </w:tcBorders>
            <w:noWrap/>
            <w:vAlign w:val="bottom"/>
            <w:hideMark/>
          </w:tcPr>
          <w:p w14:paraId="1E93317F" w14:textId="77777777" w:rsidR="007A0AE0" w:rsidRPr="00E93D63" w:rsidRDefault="007A0AE0" w:rsidP="00007C4E">
            <w:pPr>
              <w:jc w:val="center"/>
              <w:rPr>
                <w:rFonts w:ascii="Verdana" w:hAnsi="Verdana" w:cs="Arial"/>
                <w:sz w:val="20"/>
                <w:szCs w:val="20"/>
                <w:lang w:eastAsia="es-CO"/>
              </w:rPr>
            </w:pPr>
          </w:p>
        </w:tc>
        <w:tc>
          <w:tcPr>
            <w:tcW w:w="1760" w:type="dxa"/>
            <w:tcBorders>
              <w:top w:val="nil"/>
              <w:left w:val="nil"/>
              <w:bottom w:val="nil"/>
              <w:right w:val="nil"/>
            </w:tcBorders>
            <w:noWrap/>
            <w:vAlign w:val="bottom"/>
            <w:hideMark/>
          </w:tcPr>
          <w:p w14:paraId="0FDE9FFE" w14:textId="77777777" w:rsidR="007A0AE0" w:rsidRPr="00E93D63" w:rsidRDefault="007A0AE0" w:rsidP="00007C4E">
            <w:pPr>
              <w:rPr>
                <w:rFonts w:ascii="Verdana" w:hAnsi="Verdana" w:cs="Arial"/>
                <w:sz w:val="20"/>
                <w:szCs w:val="20"/>
                <w:lang w:eastAsia="es-CO"/>
              </w:rPr>
            </w:pPr>
          </w:p>
        </w:tc>
      </w:tr>
      <w:tr w:rsidR="007A0AE0" w:rsidRPr="00E93D63" w14:paraId="6F0B453C" w14:textId="77777777" w:rsidTr="000874E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A5DC707"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12</w:t>
            </w:r>
          </w:p>
        </w:tc>
        <w:tc>
          <w:tcPr>
            <w:tcW w:w="0" w:type="auto"/>
            <w:tcBorders>
              <w:top w:val="single" w:sz="4" w:space="0" w:color="auto"/>
              <w:left w:val="nil"/>
              <w:bottom w:val="single" w:sz="4" w:space="0" w:color="auto"/>
              <w:right w:val="single" w:sz="4" w:space="0" w:color="auto"/>
            </w:tcBorders>
            <w:noWrap/>
            <w:vAlign w:val="center"/>
          </w:tcPr>
          <w:p w14:paraId="7AA94DED"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18</w:t>
            </w:r>
          </w:p>
        </w:tc>
        <w:tc>
          <w:tcPr>
            <w:tcW w:w="2052" w:type="dxa"/>
            <w:gridSpan w:val="3"/>
            <w:tcBorders>
              <w:top w:val="single" w:sz="4" w:space="0" w:color="auto"/>
              <w:left w:val="nil"/>
              <w:bottom w:val="single" w:sz="4" w:space="0" w:color="auto"/>
              <w:right w:val="single" w:sz="4" w:space="0" w:color="auto"/>
            </w:tcBorders>
            <w:noWrap/>
            <w:vAlign w:val="center"/>
          </w:tcPr>
          <w:p w14:paraId="4C1F7D00"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4</w:t>
            </w:r>
          </w:p>
        </w:tc>
      </w:tr>
      <w:tr w:rsidR="007A0AE0" w:rsidRPr="00E93D63" w14:paraId="6F7220D0"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1E6BFFA4"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18</w:t>
            </w:r>
          </w:p>
        </w:tc>
        <w:tc>
          <w:tcPr>
            <w:tcW w:w="0" w:type="auto"/>
            <w:tcBorders>
              <w:top w:val="nil"/>
              <w:left w:val="nil"/>
              <w:bottom w:val="single" w:sz="4" w:space="0" w:color="auto"/>
              <w:right w:val="single" w:sz="4" w:space="0" w:color="auto"/>
            </w:tcBorders>
            <w:noWrap/>
            <w:vAlign w:val="center"/>
          </w:tcPr>
          <w:p w14:paraId="303AFF56"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24</w:t>
            </w:r>
          </w:p>
        </w:tc>
        <w:tc>
          <w:tcPr>
            <w:tcW w:w="2052" w:type="dxa"/>
            <w:gridSpan w:val="3"/>
            <w:tcBorders>
              <w:top w:val="single" w:sz="4" w:space="0" w:color="auto"/>
              <w:left w:val="nil"/>
              <w:bottom w:val="single" w:sz="4" w:space="0" w:color="auto"/>
              <w:right w:val="single" w:sz="4" w:space="0" w:color="auto"/>
            </w:tcBorders>
            <w:noWrap/>
            <w:vAlign w:val="center"/>
          </w:tcPr>
          <w:p w14:paraId="62624807"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6</w:t>
            </w:r>
          </w:p>
        </w:tc>
      </w:tr>
      <w:tr w:rsidR="007A0AE0" w:rsidRPr="00E93D63" w14:paraId="0C0A6F7B"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0861B777"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24</w:t>
            </w:r>
          </w:p>
        </w:tc>
        <w:tc>
          <w:tcPr>
            <w:tcW w:w="0" w:type="auto"/>
            <w:tcBorders>
              <w:top w:val="nil"/>
              <w:left w:val="nil"/>
              <w:bottom w:val="single" w:sz="4" w:space="0" w:color="auto"/>
              <w:right w:val="single" w:sz="4" w:space="0" w:color="auto"/>
            </w:tcBorders>
            <w:noWrap/>
            <w:vAlign w:val="center"/>
          </w:tcPr>
          <w:p w14:paraId="27C7F2ED"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30</w:t>
            </w:r>
          </w:p>
        </w:tc>
        <w:tc>
          <w:tcPr>
            <w:tcW w:w="2052" w:type="dxa"/>
            <w:gridSpan w:val="3"/>
            <w:tcBorders>
              <w:top w:val="single" w:sz="4" w:space="0" w:color="auto"/>
              <w:left w:val="nil"/>
              <w:bottom w:val="single" w:sz="4" w:space="0" w:color="auto"/>
              <w:right w:val="single" w:sz="4" w:space="0" w:color="auto"/>
            </w:tcBorders>
            <w:noWrap/>
            <w:vAlign w:val="center"/>
          </w:tcPr>
          <w:p w14:paraId="3CBF2565"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8</w:t>
            </w:r>
          </w:p>
        </w:tc>
      </w:tr>
      <w:tr w:rsidR="007A0AE0" w:rsidRPr="00E93D63" w14:paraId="083F5254"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076388B8"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30</w:t>
            </w:r>
          </w:p>
        </w:tc>
        <w:tc>
          <w:tcPr>
            <w:tcW w:w="0" w:type="auto"/>
            <w:tcBorders>
              <w:top w:val="nil"/>
              <w:left w:val="nil"/>
              <w:bottom w:val="single" w:sz="4" w:space="0" w:color="auto"/>
              <w:right w:val="single" w:sz="4" w:space="0" w:color="auto"/>
            </w:tcBorders>
            <w:noWrap/>
            <w:vAlign w:val="center"/>
          </w:tcPr>
          <w:p w14:paraId="1080B5D1"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36</w:t>
            </w:r>
          </w:p>
        </w:tc>
        <w:tc>
          <w:tcPr>
            <w:tcW w:w="2052" w:type="dxa"/>
            <w:gridSpan w:val="3"/>
            <w:tcBorders>
              <w:top w:val="single" w:sz="4" w:space="0" w:color="auto"/>
              <w:left w:val="nil"/>
              <w:bottom w:val="single" w:sz="4" w:space="0" w:color="auto"/>
              <w:right w:val="single" w:sz="4" w:space="0" w:color="auto"/>
            </w:tcBorders>
            <w:noWrap/>
            <w:vAlign w:val="center"/>
          </w:tcPr>
          <w:p w14:paraId="34CBC488"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10</w:t>
            </w:r>
          </w:p>
        </w:tc>
      </w:tr>
      <w:tr w:rsidR="007A0AE0" w:rsidRPr="00E93D63" w14:paraId="52BBCC11"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0046077C"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36</w:t>
            </w:r>
          </w:p>
        </w:tc>
        <w:tc>
          <w:tcPr>
            <w:tcW w:w="0" w:type="auto"/>
            <w:tcBorders>
              <w:top w:val="nil"/>
              <w:left w:val="nil"/>
              <w:bottom w:val="single" w:sz="4" w:space="0" w:color="auto"/>
              <w:right w:val="single" w:sz="4" w:space="0" w:color="auto"/>
            </w:tcBorders>
            <w:noWrap/>
            <w:vAlign w:val="center"/>
          </w:tcPr>
          <w:p w14:paraId="1999BE8C"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42</w:t>
            </w:r>
          </w:p>
        </w:tc>
        <w:tc>
          <w:tcPr>
            <w:tcW w:w="2052" w:type="dxa"/>
            <w:gridSpan w:val="3"/>
            <w:tcBorders>
              <w:top w:val="single" w:sz="4" w:space="0" w:color="auto"/>
              <w:left w:val="nil"/>
              <w:bottom w:val="single" w:sz="4" w:space="0" w:color="auto"/>
              <w:right w:val="single" w:sz="4" w:space="0" w:color="auto"/>
            </w:tcBorders>
            <w:noWrap/>
            <w:vAlign w:val="center"/>
          </w:tcPr>
          <w:p w14:paraId="3A2FB191"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12</w:t>
            </w:r>
          </w:p>
        </w:tc>
      </w:tr>
      <w:tr w:rsidR="007A0AE0" w:rsidRPr="00E93D63" w14:paraId="0D6DCA24"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099083AB"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42</w:t>
            </w:r>
          </w:p>
        </w:tc>
        <w:tc>
          <w:tcPr>
            <w:tcW w:w="0" w:type="auto"/>
            <w:tcBorders>
              <w:top w:val="nil"/>
              <w:left w:val="nil"/>
              <w:bottom w:val="single" w:sz="4" w:space="0" w:color="auto"/>
              <w:right w:val="single" w:sz="4" w:space="0" w:color="auto"/>
            </w:tcBorders>
            <w:noWrap/>
            <w:vAlign w:val="center"/>
          </w:tcPr>
          <w:p w14:paraId="0817E249"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48</w:t>
            </w:r>
          </w:p>
        </w:tc>
        <w:tc>
          <w:tcPr>
            <w:tcW w:w="2052" w:type="dxa"/>
            <w:gridSpan w:val="3"/>
            <w:tcBorders>
              <w:top w:val="single" w:sz="4" w:space="0" w:color="auto"/>
              <w:left w:val="nil"/>
              <w:bottom w:val="single" w:sz="4" w:space="0" w:color="auto"/>
              <w:right w:val="single" w:sz="4" w:space="0" w:color="auto"/>
            </w:tcBorders>
            <w:noWrap/>
            <w:vAlign w:val="center"/>
          </w:tcPr>
          <w:p w14:paraId="1750AF9D"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14</w:t>
            </w:r>
          </w:p>
        </w:tc>
      </w:tr>
      <w:tr w:rsidR="007A0AE0" w:rsidRPr="00E93D63" w14:paraId="5442F01E"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47F09215"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48</w:t>
            </w:r>
          </w:p>
        </w:tc>
        <w:tc>
          <w:tcPr>
            <w:tcW w:w="0" w:type="auto"/>
            <w:tcBorders>
              <w:top w:val="nil"/>
              <w:left w:val="nil"/>
              <w:bottom w:val="single" w:sz="4" w:space="0" w:color="auto"/>
              <w:right w:val="single" w:sz="4" w:space="0" w:color="auto"/>
            </w:tcBorders>
            <w:noWrap/>
            <w:vAlign w:val="center"/>
          </w:tcPr>
          <w:p w14:paraId="732102A6"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54</w:t>
            </w:r>
          </w:p>
        </w:tc>
        <w:tc>
          <w:tcPr>
            <w:tcW w:w="2052" w:type="dxa"/>
            <w:gridSpan w:val="3"/>
            <w:tcBorders>
              <w:top w:val="single" w:sz="4" w:space="0" w:color="auto"/>
              <w:left w:val="nil"/>
              <w:bottom w:val="single" w:sz="4" w:space="0" w:color="auto"/>
              <w:right w:val="single" w:sz="4" w:space="0" w:color="auto"/>
            </w:tcBorders>
            <w:noWrap/>
            <w:vAlign w:val="center"/>
          </w:tcPr>
          <w:p w14:paraId="546F7E09"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16</w:t>
            </w:r>
          </w:p>
        </w:tc>
      </w:tr>
      <w:tr w:rsidR="007A0AE0" w:rsidRPr="00E93D63" w14:paraId="1356FE48" w14:textId="77777777" w:rsidTr="000874E3">
        <w:trPr>
          <w:trHeight w:val="20"/>
          <w:jc w:val="center"/>
        </w:trPr>
        <w:tc>
          <w:tcPr>
            <w:tcW w:w="0" w:type="auto"/>
            <w:tcBorders>
              <w:top w:val="nil"/>
              <w:left w:val="single" w:sz="4" w:space="0" w:color="auto"/>
              <w:bottom w:val="single" w:sz="4" w:space="0" w:color="auto"/>
              <w:right w:val="single" w:sz="4" w:space="0" w:color="auto"/>
            </w:tcBorders>
            <w:noWrap/>
            <w:vAlign w:val="center"/>
          </w:tcPr>
          <w:p w14:paraId="2702885D"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54</w:t>
            </w:r>
          </w:p>
        </w:tc>
        <w:tc>
          <w:tcPr>
            <w:tcW w:w="0" w:type="auto"/>
            <w:tcBorders>
              <w:top w:val="nil"/>
              <w:left w:val="nil"/>
              <w:bottom w:val="single" w:sz="4" w:space="0" w:color="auto"/>
              <w:right w:val="single" w:sz="4" w:space="0" w:color="auto"/>
            </w:tcBorders>
            <w:noWrap/>
            <w:vAlign w:val="center"/>
          </w:tcPr>
          <w:p w14:paraId="27362CFB"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60</w:t>
            </w:r>
          </w:p>
        </w:tc>
        <w:tc>
          <w:tcPr>
            <w:tcW w:w="2052" w:type="dxa"/>
            <w:gridSpan w:val="3"/>
            <w:tcBorders>
              <w:top w:val="single" w:sz="4" w:space="0" w:color="auto"/>
              <w:left w:val="nil"/>
              <w:bottom w:val="single" w:sz="4" w:space="0" w:color="auto"/>
              <w:right w:val="single" w:sz="4" w:space="0" w:color="auto"/>
            </w:tcBorders>
            <w:noWrap/>
            <w:vAlign w:val="center"/>
          </w:tcPr>
          <w:p w14:paraId="646860D0"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18</w:t>
            </w:r>
          </w:p>
        </w:tc>
      </w:tr>
      <w:tr w:rsidR="007A0AE0" w:rsidRPr="00E93D63" w14:paraId="0189574C" w14:textId="77777777" w:rsidTr="000874E3">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B65C728"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60</w:t>
            </w:r>
          </w:p>
        </w:tc>
        <w:tc>
          <w:tcPr>
            <w:tcW w:w="0" w:type="auto"/>
            <w:tcBorders>
              <w:top w:val="single" w:sz="4" w:space="0" w:color="auto"/>
              <w:left w:val="nil"/>
              <w:bottom w:val="single" w:sz="4" w:space="0" w:color="auto"/>
              <w:right w:val="single" w:sz="4" w:space="0" w:color="auto"/>
            </w:tcBorders>
            <w:noWrap/>
            <w:vAlign w:val="center"/>
          </w:tcPr>
          <w:p w14:paraId="5A960972" w14:textId="77777777" w:rsidR="007A0AE0" w:rsidRPr="00E93D63" w:rsidRDefault="007A0AE0" w:rsidP="00007C4E">
            <w:pPr>
              <w:jc w:val="center"/>
              <w:rPr>
                <w:rFonts w:ascii="Verdana" w:hAnsi="Verdana" w:cs="Arial"/>
                <w:color w:val="000000"/>
                <w:sz w:val="20"/>
                <w:szCs w:val="20"/>
                <w:lang w:eastAsia="es-CO"/>
              </w:rPr>
            </w:pPr>
            <w:r w:rsidRPr="00E93D63">
              <w:rPr>
                <w:rFonts w:ascii="Verdana" w:hAnsi="Verdana" w:cs="Arial"/>
                <w:color w:val="000000"/>
                <w:sz w:val="20"/>
                <w:szCs w:val="20"/>
                <w:lang w:eastAsia="es-CO"/>
              </w:rPr>
              <w:t>-</w:t>
            </w:r>
          </w:p>
        </w:tc>
        <w:tc>
          <w:tcPr>
            <w:tcW w:w="2052" w:type="dxa"/>
            <w:gridSpan w:val="3"/>
            <w:tcBorders>
              <w:top w:val="single" w:sz="4" w:space="0" w:color="auto"/>
              <w:left w:val="nil"/>
              <w:bottom w:val="single" w:sz="4" w:space="0" w:color="auto"/>
              <w:right w:val="single" w:sz="4" w:space="0" w:color="auto"/>
            </w:tcBorders>
            <w:noWrap/>
            <w:vAlign w:val="center"/>
          </w:tcPr>
          <w:p w14:paraId="48F531EE" w14:textId="77777777" w:rsidR="007A0AE0" w:rsidRPr="00E93D63" w:rsidRDefault="007A0AE0" w:rsidP="00007C4E">
            <w:pPr>
              <w:jc w:val="center"/>
              <w:rPr>
                <w:rFonts w:ascii="Verdana" w:hAnsi="Verdana" w:cs="Arial"/>
                <w:sz w:val="20"/>
                <w:szCs w:val="20"/>
                <w:lang w:eastAsia="es-CO"/>
              </w:rPr>
            </w:pPr>
            <w:r w:rsidRPr="00E93D63">
              <w:rPr>
                <w:rFonts w:ascii="Verdana" w:hAnsi="Verdana" w:cs="Arial"/>
                <w:sz w:val="20"/>
                <w:szCs w:val="20"/>
                <w:lang w:eastAsia="es-CO"/>
              </w:rPr>
              <w:t>20</w:t>
            </w:r>
          </w:p>
        </w:tc>
      </w:tr>
    </w:tbl>
    <w:p w14:paraId="0CE6BE4D" w14:textId="77777777" w:rsidR="007A0AE0" w:rsidRPr="00A0548A" w:rsidRDefault="007A0AE0" w:rsidP="007A0AE0">
      <w:pPr>
        <w:pStyle w:val="Prrafodelista"/>
        <w:ind w:left="284"/>
        <w:jc w:val="center"/>
        <w:rPr>
          <w:rFonts w:ascii="Verdana" w:hAnsi="Verdana" w:cs="Arial"/>
          <w:lang w:val="es-MX"/>
        </w:rPr>
      </w:pPr>
      <w:r w:rsidRPr="00A0548A">
        <w:rPr>
          <w:rFonts w:ascii="Verdana" w:hAnsi="Verdana" w:cs="Arial"/>
          <w:b/>
          <w:bCs/>
          <w:lang w:val="es-MX"/>
        </w:rPr>
        <w:t>Fuente</w:t>
      </w:r>
      <w:r w:rsidRPr="00A0548A">
        <w:rPr>
          <w:rFonts w:ascii="Verdana" w:hAnsi="Verdana" w:cs="Arial"/>
          <w:lang w:val="es-MX"/>
        </w:rPr>
        <w:t>: Elaboración propia</w:t>
      </w:r>
    </w:p>
    <w:p w14:paraId="0B1F5297" w14:textId="77777777" w:rsidR="007A0AE0" w:rsidRPr="00C714D4" w:rsidRDefault="007A0AE0" w:rsidP="007A0AE0">
      <w:pPr>
        <w:rPr>
          <w:rFonts w:ascii="Verdana" w:hAnsi="Verdana" w:cs="Arial"/>
        </w:rPr>
      </w:pPr>
    </w:p>
    <w:p w14:paraId="4BB015D4" w14:textId="77777777" w:rsidR="007A0AE0" w:rsidRPr="00C714D4" w:rsidRDefault="007A0AE0" w:rsidP="007A0AE0">
      <w:pPr>
        <w:rPr>
          <w:rFonts w:ascii="Verdana" w:hAnsi="Verdana" w:cs="Arial"/>
        </w:rPr>
      </w:pPr>
      <w:r w:rsidRPr="00C714D4">
        <w:rPr>
          <w:rFonts w:ascii="Verdana" w:hAnsi="Verdana" w:cs="Arial"/>
        </w:rPr>
        <w:t xml:space="preserve">Esta estructura se configuró teniendo en las siguientes consideraciones: </w:t>
      </w:r>
    </w:p>
    <w:p w14:paraId="3D42333B" w14:textId="77777777" w:rsidR="007A0AE0" w:rsidRPr="00C714D4" w:rsidRDefault="007A0AE0" w:rsidP="007A0AE0">
      <w:pPr>
        <w:rPr>
          <w:rFonts w:ascii="Verdana" w:hAnsi="Verdana" w:cs="Arial"/>
        </w:rPr>
      </w:pPr>
    </w:p>
    <w:p w14:paraId="081CE140" w14:textId="084705EE" w:rsidR="00E93D63" w:rsidRPr="000874E3" w:rsidRDefault="00446995">
      <w:pPr>
        <w:pStyle w:val="Prrafodelista"/>
        <w:numPr>
          <w:ilvl w:val="0"/>
          <w:numId w:val="62"/>
        </w:numPr>
        <w:spacing w:after="0" w:line="276" w:lineRule="auto"/>
        <w:contextualSpacing w:val="0"/>
        <w:rPr>
          <w:rFonts w:ascii="Verdana" w:hAnsi="Verdana" w:cs="Arial"/>
        </w:rPr>
      </w:pPr>
      <w:r w:rsidRPr="000874E3">
        <w:rPr>
          <w:rFonts w:ascii="Verdana" w:hAnsi="Verdana" w:cs="Arial"/>
        </w:rPr>
        <w:t>los contratos de obra asociados a infraestructura de acueducto y saneamiento básico demandan una importante capacidad de financiación inicial para atender obligaciones relacionadas con: Compra y suministro de materiales; Pago de nómina y personal especializado; Movilización de maquinaria y equipos; Implementación de frentes de obra; Costos logísticos y administrativos; Atención de contingencias operativas; Ejecución simultánea de actividades constructivas.</w:t>
      </w:r>
    </w:p>
    <w:p w14:paraId="65BE79EC" w14:textId="1DD5B1C4" w:rsidR="005947EA" w:rsidRPr="005947EA" w:rsidRDefault="005947EA" w:rsidP="007A0AE0">
      <w:pPr>
        <w:pStyle w:val="Prrafodelista"/>
        <w:numPr>
          <w:ilvl w:val="0"/>
          <w:numId w:val="62"/>
        </w:numPr>
        <w:spacing w:after="0" w:line="276" w:lineRule="auto"/>
        <w:contextualSpacing w:val="0"/>
        <w:rPr>
          <w:rFonts w:ascii="Verdana" w:hAnsi="Verdana" w:cs="Arial"/>
        </w:rPr>
      </w:pPr>
      <w:r w:rsidRPr="000874E3">
        <w:rPr>
          <w:rFonts w:ascii="Verdana" w:hAnsi="Verdana" w:cs="Arial"/>
        </w:rPr>
        <w:lastRenderedPageBreak/>
        <w:t>Este</w:t>
      </w:r>
      <w:r w:rsidRPr="005947EA">
        <w:rPr>
          <w:rFonts w:ascii="Verdana" w:hAnsi="Verdana" w:cs="Arial"/>
        </w:rPr>
        <w:t xml:space="preserve"> tipo de proyectos presenta dinámicas financieras en las cuales el contratista debe asumir costos operacionales de manera anticipada mientras se tramitan cortes de obra, actas parciales de pago, amortización de anticipos y demás procedimientos administrativos asociados al flujo de recursos del contrato.</w:t>
      </w:r>
    </w:p>
    <w:p w14:paraId="2FB42C10" w14:textId="21917EE9" w:rsidR="007A0AE0" w:rsidRPr="005947EA" w:rsidRDefault="007A0AE0" w:rsidP="007A0AE0">
      <w:pPr>
        <w:pStyle w:val="Prrafodelista"/>
        <w:numPr>
          <w:ilvl w:val="0"/>
          <w:numId w:val="62"/>
        </w:numPr>
        <w:spacing w:after="0" w:line="276" w:lineRule="auto"/>
        <w:contextualSpacing w:val="0"/>
        <w:rPr>
          <w:rFonts w:ascii="Verdana" w:hAnsi="Verdana" w:cs="Arial"/>
        </w:rPr>
      </w:pPr>
      <w:r w:rsidRPr="005947EA">
        <w:rPr>
          <w:rFonts w:ascii="Verdana" w:hAnsi="Verdana" w:cs="Arial"/>
        </w:rPr>
        <w:t>La primera factura normalmente es pagada por las entidades mínimo a los 60 días calendario del inicio del contrato, lo anterior teniendo en cuenta los trámites que se deben realizar.</w:t>
      </w:r>
    </w:p>
    <w:p w14:paraId="2E0B1C2F" w14:textId="77777777" w:rsidR="007A0AE0" w:rsidRPr="005947EA" w:rsidRDefault="007A0AE0" w:rsidP="007A0AE0">
      <w:pPr>
        <w:pStyle w:val="Prrafodelista"/>
        <w:numPr>
          <w:ilvl w:val="0"/>
          <w:numId w:val="62"/>
        </w:numPr>
        <w:spacing w:after="0" w:line="276" w:lineRule="auto"/>
        <w:contextualSpacing w:val="0"/>
        <w:rPr>
          <w:rFonts w:ascii="Verdana" w:hAnsi="Verdana" w:cs="Arial"/>
        </w:rPr>
      </w:pPr>
      <w:r w:rsidRPr="005947EA">
        <w:rPr>
          <w:rFonts w:ascii="Verdana" w:hAnsi="Verdana" w:cs="Arial"/>
        </w:rPr>
        <w:t xml:space="preserve">Toda vez que se debe surtir revisiones adicionales por la interventoría, es posible que este tiempo se prolongue, por lo cual, se considera que 4 meses de apalancamiento para este tipo de procesos es un estándar que refleja un flujo de recursos mínimos que debe tener el proyecto más allá de las circunstancias que se puedan presentar. </w:t>
      </w:r>
    </w:p>
    <w:p w14:paraId="7B44FDA7" w14:textId="77777777" w:rsidR="007A0AE0" w:rsidRPr="005947EA" w:rsidRDefault="007A0AE0" w:rsidP="007A0AE0">
      <w:pPr>
        <w:pStyle w:val="Prrafodelista"/>
        <w:numPr>
          <w:ilvl w:val="0"/>
          <w:numId w:val="62"/>
        </w:numPr>
        <w:spacing w:after="0" w:line="276" w:lineRule="auto"/>
        <w:contextualSpacing w:val="0"/>
        <w:rPr>
          <w:rFonts w:ascii="Verdana" w:hAnsi="Verdana" w:cs="Arial"/>
        </w:rPr>
      </w:pPr>
      <w:r w:rsidRPr="005947EA">
        <w:rPr>
          <w:rFonts w:ascii="Verdana" w:hAnsi="Verdana" w:cs="Arial"/>
        </w:rPr>
        <w:t xml:space="preserve">Este nivel de apalancamiento se incrementa dos meses del requisito establecido para el primer rango conforme aumenta el plazo estimado de ejecución, considerando que esto supondrá un incremento en el costo y alcance de la obra. </w:t>
      </w:r>
    </w:p>
    <w:p w14:paraId="20C3F3EB" w14:textId="77777777" w:rsidR="007A0AE0" w:rsidRPr="005947EA" w:rsidRDefault="007A0AE0" w:rsidP="007A0AE0">
      <w:pPr>
        <w:rPr>
          <w:rFonts w:ascii="Verdana" w:hAnsi="Verdana" w:cs="Arial"/>
        </w:rPr>
      </w:pPr>
    </w:p>
    <w:p w14:paraId="187148C7" w14:textId="002473C1" w:rsidR="007A0AE0" w:rsidRPr="006A65B5" w:rsidRDefault="007A0AE0" w:rsidP="007A0AE0">
      <w:pPr>
        <w:jc w:val="both"/>
        <w:rPr>
          <w:rFonts w:ascii="Verdana" w:hAnsi="Verdana" w:cs="Arial"/>
          <w:sz w:val="22"/>
          <w:szCs w:val="22"/>
        </w:rPr>
      </w:pPr>
      <w:r w:rsidRPr="005947EA">
        <w:rPr>
          <w:rFonts w:ascii="Verdana" w:hAnsi="Verdana" w:cs="Arial"/>
          <w:sz w:val="22"/>
          <w:szCs w:val="22"/>
        </w:rPr>
        <w:t xml:space="preserve">Como se evidencia, a diferencia de la versión anterior del documento tipo de infraestructura de </w:t>
      </w:r>
      <w:r w:rsidR="00386828">
        <w:rPr>
          <w:rFonts w:ascii="Verdana" w:hAnsi="Verdana" w:cs="Arial"/>
          <w:sz w:val="22"/>
          <w:szCs w:val="22"/>
        </w:rPr>
        <w:t>agua potable y saneamiento básico</w:t>
      </w:r>
      <w:r w:rsidRPr="005947EA">
        <w:rPr>
          <w:rFonts w:ascii="Verdana" w:hAnsi="Verdana" w:cs="Arial"/>
          <w:sz w:val="22"/>
          <w:szCs w:val="22"/>
        </w:rPr>
        <w:t xml:space="preserve">, la determinación del capital de trabajo no va a quedar atado a una única variable (%) sino que por el contrario la variable plazo de ejecución y niveles de </w:t>
      </w:r>
      <w:r w:rsidRPr="006A65B5">
        <w:rPr>
          <w:rFonts w:ascii="Verdana" w:hAnsi="Verdana" w:cs="Arial"/>
          <w:sz w:val="22"/>
          <w:szCs w:val="22"/>
        </w:rPr>
        <w:t xml:space="preserve">apalancamiento exigidos entrarán a jugar en su determinación. </w:t>
      </w:r>
    </w:p>
    <w:p w14:paraId="4D01BBEE" w14:textId="77777777" w:rsidR="007A0AE0" w:rsidRPr="006A65B5" w:rsidRDefault="007A0AE0" w:rsidP="007A0AE0">
      <w:pPr>
        <w:jc w:val="both"/>
        <w:rPr>
          <w:rFonts w:ascii="Verdana" w:hAnsi="Verdana" w:cs="Arial"/>
          <w:sz w:val="22"/>
          <w:szCs w:val="22"/>
        </w:rPr>
      </w:pPr>
    </w:p>
    <w:p w14:paraId="569377CB" w14:textId="77777777" w:rsidR="007A0AE0" w:rsidRPr="006A65B5" w:rsidRDefault="007A0AE0" w:rsidP="007A0AE0">
      <w:pPr>
        <w:jc w:val="both"/>
        <w:rPr>
          <w:rFonts w:ascii="Verdana" w:hAnsi="Verdana" w:cs="Arial"/>
          <w:sz w:val="22"/>
          <w:szCs w:val="22"/>
        </w:rPr>
      </w:pPr>
      <w:r w:rsidRPr="006A65B5">
        <w:rPr>
          <w:rFonts w:ascii="Verdana" w:hAnsi="Verdana" w:cs="Arial"/>
          <w:sz w:val="22"/>
          <w:szCs w:val="22"/>
        </w:rPr>
        <w:t xml:space="preserve">A medida que el proyecto aumenta en alcance en la relación presupuesto/plazo se incrementará el factor sobre el cual se determinará el capital de trabajo demandado, lo cual en términos absolutos permitirá que el requisito tenga incorporadas variables adicionales para su determinación, sin que superen los niveles máximos exigidos para el servicio (33%).  Es importante resaltar que el incremento no está pensado mes a mes, está pensado para cada rango establecido en la tabla, lo cual supone un periodo de 6 meses en cada uno. Esto buscando que los niveles de apalancamiento exigidos para este tipo de servicios antes del flujo normal de pagos del contrato mantengan la proporcionalidad inicial definida, pero considerando la necesidad de incrementar el requisito a medida que el proyecto aumenta su </w:t>
      </w:r>
      <w:proofErr w:type="gramStart"/>
      <w:r w:rsidRPr="006A65B5">
        <w:rPr>
          <w:rFonts w:ascii="Verdana" w:hAnsi="Verdana" w:cs="Arial"/>
          <w:sz w:val="22"/>
          <w:szCs w:val="22"/>
        </w:rPr>
        <w:t>alcance</w:t>
      </w:r>
      <w:proofErr w:type="gramEnd"/>
      <w:r w:rsidRPr="006A65B5">
        <w:rPr>
          <w:rFonts w:ascii="Verdana" w:hAnsi="Verdana" w:cs="Arial"/>
          <w:sz w:val="22"/>
          <w:szCs w:val="22"/>
        </w:rPr>
        <w:t xml:space="preserve"> así como el flujo normal de los negocios que pueden presentarse en la operación de la Empresa contratante como resultado de contratos adicionales que pueda suscribir durante la ejecución del contrato.</w:t>
      </w:r>
    </w:p>
    <w:p w14:paraId="72679AE2" w14:textId="77777777" w:rsidR="007A0AE0" w:rsidRPr="006A65B5" w:rsidRDefault="007A0AE0" w:rsidP="007A0AE0">
      <w:pPr>
        <w:rPr>
          <w:rFonts w:ascii="Verdana" w:hAnsi="Verdana" w:cs="Arial"/>
          <w:sz w:val="22"/>
          <w:szCs w:val="22"/>
        </w:rPr>
      </w:pPr>
    </w:p>
    <w:p w14:paraId="0BADBEC6" w14:textId="77777777" w:rsidR="007A0AE0" w:rsidRPr="006A65B5" w:rsidRDefault="007A0AE0" w:rsidP="007A0AE0">
      <w:pPr>
        <w:jc w:val="both"/>
        <w:rPr>
          <w:rFonts w:ascii="Verdana" w:hAnsi="Verdana" w:cs="Arial"/>
          <w:sz w:val="22"/>
          <w:szCs w:val="22"/>
        </w:rPr>
      </w:pPr>
      <w:r w:rsidRPr="006A65B5">
        <w:rPr>
          <w:rFonts w:ascii="Verdana" w:hAnsi="Verdana" w:cs="Arial"/>
          <w:sz w:val="22"/>
          <w:szCs w:val="22"/>
        </w:rPr>
        <w:lastRenderedPageBreak/>
        <w:t>Conforme con lo anterior, para los procesos de selección con un plazo estimado de ejecución mayor o igual a 12 meses, el cálculo del capital de trabajo demandado se hará de acuerdo con la siguiente fórmula:</w:t>
      </w:r>
    </w:p>
    <w:p w14:paraId="237C7059" w14:textId="77777777" w:rsidR="007A0AE0" w:rsidRPr="00611315" w:rsidRDefault="007A0AE0" w:rsidP="007A0AE0">
      <w:pPr>
        <w:rPr>
          <w:rFonts w:ascii="Verdana" w:hAnsi="Verdana" w:cs="Arial"/>
          <w:highlight w:val="yellow"/>
        </w:rPr>
      </w:pPr>
    </w:p>
    <w:p w14:paraId="77EEC592" w14:textId="209CC049" w:rsidR="007A0AE0" w:rsidRPr="006A65B5" w:rsidRDefault="007A0AE0" w:rsidP="007A0AE0">
      <w:pPr>
        <w:pBdr>
          <w:top w:val="single" w:sz="4" w:space="1" w:color="auto"/>
          <w:left w:val="single" w:sz="4" w:space="4" w:color="auto"/>
          <w:bottom w:val="single" w:sz="4" w:space="1" w:color="auto"/>
          <w:right w:val="single" w:sz="4" w:space="4" w:color="auto"/>
          <w:between w:val="single" w:sz="4" w:space="1" w:color="auto"/>
          <w:bar w:val="single" w:sz="4" w:color="auto"/>
        </w:pBdr>
        <w:rPr>
          <w:rFonts w:ascii="Verdana" w:hAnsi="Verdana" w:cs="Arial"/>
          <w:iCs/>
        </w:rPr>
      </w:pPr>
      <m:oMathPara>
        <m:oMath>
          <m:r>
            <m:rPr>
              <m:sty m:val="p"/>
            </m:rPr>
            <w:rPr>
              <w:rFonts w:ascii="Cambria Math" w:hAnsi="Cambria Math" w:cs="Arial"/>
            </w:rPr>
            <m:t>CTd</m:t>
          </m:r>
          <m:r>
            <w:rPr>
              <w:rFonts w:ascii="Cambria Math" w:hAnsi="Cambria Math" w:cs="Arial"/>
            </w:rPr>
            <m:t>=</m:t>
          </m:r>
          <m:d>
            <m:dPr>
              <m:ctrlPr>
                <w:rPr>
                  <w:rFonts w:ascii="Cambria Math" w:hAnsi="Cambria Math" w:cs="Arial"/>
                  <w:i/>
                </w:rPr>
              </m:ctrlPr>
            </m:dPr>
            <m:e>
              <m:f>
                <m:fPr>
                  <m:ctrlPr>
                    <w:rPr>
                      <w:rFonts w:ascii="Cambria Math" w:hAnsi="Cambria Math" w:cs="Arial"/>
                      <w:iCs/>
                    </w:rPr>
                  </m:ctrlPr>
                </m:fPr>
                <m:num>
                  <m:r>
                    <m:rPr>
                      <m:sty m:val="p"/>
                    </m:rPr>
                    <w:rPr>
                      <w:rFonts w:ascii="Cambria Math" w:hAnsi="Cambria Math" w:cs="Arial"/>
                    </w:rPr>
                    <m:t xml:space="preserve">POE - Anticipo o  Pago anticipado </m:t>
                  </m:r>
                </m:num>
                <m:den>
                  <m:r>
                    <m:rPr>
                      <m:sty m:val="p"/>
                    </m:rPr>
                    <w:rPr>
                      <w:rFonts w:ascii="Cambria Math" w:hAnsi="Cambria Math" w:cs="Arial"/>
                    </w:rPr>
                    <m:t xml:space="preserve">Plazo estimado de ejecución del contrato (en meses) </m:t>
                  </m:r>
                </m:den>
              </m:f>
            </m:e>
          </m:d>
          <m:r>
            <w:rPr>
              <w:rFonts w:ascii="Cambria Math" w:hAnsi="Cambria Math" w:cs="Arial"/>
            </w:rPr>
            <m:t>*n</m:t>
          </m:r>
        </m:oMath>
      </m:oMathPara>
    </w:p>
    <w:p w14:paraId="1E1E5792" w14:textId="77777777" w:rsidR="007A0AE0" w:rsidRPr="006A65B5" w:rsidRDefault="007A0AE0" w:rsidP="007A0AE0">
      <w:pPr>
        <w:rPr>
          <w:rFonts w:ascii="Verdana" w:hAnsi="Verdana" w:cs="Arial"/>
          <w:sz w:val="22"/>
          <w:szCs w:val="22"/>
        </w:rPr>
      </w:pPr>
      <w:r w:rsidRPr="006A65B5">
        <w:rPr>
          <w:rFonts w:ascii="Verdana" w:hAnsi="Verdana" w:cs="Arial"/>
          <w:sz w:val="22"/>
          <w:szCs w:val="22"/>
        </w:rPr>
        <w:t>Donde,</w:t>
      </w:r>
    </w:p>
    <w:p w14:paraId="0D123450" w14:textId="77777777" w:rsidR="007A0AE0" w:rsidRPr="006A65B5" w:rsidRDefault="007A0AE0" w:rsidP="007A0AE0">
      <w:pPr>
        <w:rPr>
          <w:rFonts w:ascii="Verdana" w:hAnsi="Verdana" w:cs="Arial"/>
          <w:sz w:val="22"/>
          <w:szCs w:val="22"/>
          <w:lang w:val="es-MX"/>
        </w:rPr>
      </w:pPr>
      <w:proofErr w:type="spellStart"/>
      <w:r w:rsidRPr="006A65B5">
        <w:rPr>
          <w:rFonts w:ascii="Verdana" w:hAnsi="Verdana" w:cs="Arial"/>
          <w:sz w:val="22"/>
          <w:szCs w:val="22"/>
        </w:rPr>
        <w:t>CTd</w:t>
      </w:r>
      <w:proofErr w:type="spellEnd"/>
      <w:r w:rsidRPr="006A65B5">
        <w:rPr>
          <w:rFonts w:ascii="Verdana" w:hAnsi="Verdana" w:cs="Arial"/>
          <w:sz w:val="22"/>
          <w:szCs w:val="22"/>
        </w:rPr>
        <w:t xml:space="preserve"> =</w:t>
      </w:r>
      <w:r w:rsidRPr="006A65B5">
        <w:rPr>
          <w:rFonts w:ascii="Verdana" w:hAnsi="Verdana" w:cs="Arial"/>
          <w:sz w:val="22"/>
          <w:szCs w:val="22"/>
          <w:lang w:val="es-MX"/>
        </w:rPr>
        <w:t>Capital de Trabajo demandado para el proceso que presenta propuesta</w:t>
      </w:r>
    </w:p>
    <w:p w14:paraId="0E6DA45A" w14:textId="77777777" w:rsidR="007A0AE0" w:rsidRPr="006A65B5" w:rsidRDefault="007A0AE0" w:rsidP="007A0AE0">
      <w:pPr>
        <w:rPr>
          <w:rFonts w:ascii="Verdana" w:hAnsi="Verdana" w:cs="Arial"/>
          <w:sz w:val="22"/>
          <w:szCs w:val="22"/>
        </w:rPr>
      </w:pPr>
      <w:r w:rsidRPr="006A65B5">
        <w:rPr>
          <w:rFonts w:ascii="Verdana" w:hAnsi="Verdana" w:cs="Arial"/>
          <w:sz w:val="22"/>
          <w:szCs w:val="22"/>
          <w:lang w:val="es-MX"/>
        </w:rPr>
        <w:t>POE = Presupuesto oficial estimado</w:t>
      </w:r>
    </w:p>
    <w:p w14:paraId="1F46C885" w14:textId="77777777" w:rsidR="007A0AE0" w:rsidRPr="006A65B5" w:rsidRDefault="007A0AE0" w:rsidP="007A0AE0">
      <w:pPr>
        <w:rPr>
          <w:rFonts w:ascii="Verdana" w:hAnsi="Verdana" w:cs="Arial"/>
          <w:sz w:val="22"/>
          <w:szCs w:val="22"/>
        </w:rPr>
      </w:pPr>
      <w:r w:rsidRPr="006A65B5">
        <w:rPr>
          <w:rFonts w:ascii="Verdana" w:hAnsi="Verdana" w:cs="Arial"/>
          <w:i/>
          <w:sz w:val="22"/>
          <w:szCs w:val="22"/>
        </w:rPr>
        <w:t>n=</w:t>
      </w:r>
      <w:r w:rsidRPr="006A65B5">
        <w:rPr>
          <w:rFonts w:ascii="Verdana" w:hAnsi="Verdana" w:cs="Arial"/>
          <w:sz w:val="22"/>
          <w:szCs w:val="22"/>
        </w:rPr>
        <w:t xml:space="preserve"> meses de apalancamiento</w:t>
      </w:r>
    </w:p>
    <w:p w14:paraId="79875627" w14:textId="77777777" w:rsidR="007A0AE0" w:rsidRPr="006A65B5" w:rsidRDefault="007A0AE0" w:rsidP="007A0AE0">
      <w:pPr>
        <w:rPr>
          <w:rFonts w:ascii="Verdana" w:hAnsi="Verdana" w:cs="Arial"/>
          <w:sz w:val="16"/>
          <w:szCs w:val="16"/>
        </w:rPr>
      </w:pPr>
    </w:p>
    <w:p w14:paraId="58010D14" w14:textId="77777777" w:rsidR="007A0AE0" w:rsidRPr="006A65B5" w:rsidRDefault="007A0AE0" w:rsidP="007A0AE0">
      <w:pPr>
        <w:jc w:val="both"/>
        <w:rPr>
          <w:rFonts w:ascii="Verdana" w:hAnsi="Verdana" w:cs="Arial"/>
        </w:rPr>
      </w:pPr>
    </w:p>
    <w:p w14:paraId="3B5F9C4C" w14:textId="77777777" w:rsidR="007A0AE0" w:rsidRPr="006A65B5" w:rsidRDefault="007A0AE0" w:rsidP="007A0AE0">
      <w:pPr>
        <w:jc w:val="both"/>
        <w:rPr>
          <w:rFonts w:ascii="Verdana" w:hAnsi="Verdana" w:cs="Arial"/>
          <w:sz w:val="22"/>
          <w:szCs w:val="22"/>
        </w:rPr>
      </w:pPr>
      <w:r w:rsidRPr="006A65B5">
        <w:rPr>
          <w:rFonts w:ascii="Verdana" w:hAnsi="Verdana" w:cs="Arial"/>
          <w:sz w:val="22"/>
          <w:szCs w:val="22"/>
        </w:rPr>
        <w:t>Por otro lado, para procesos de selección cuyo plazo estimado de ejecución del contrato sea menor a doce (12) meses, el cálculo del capital de trabajo demandado, se hará de acuerdo con la siguiente fórmula:</w:t>
      </w:r>
    </w:p>
    <w:p w14:paraId="5DFBD5E4" w14:textId="77777777" w:rsidR="007A0AE0" w:rsidRPr="006A65B5" w:rsidRDefault="007A0AE0" w:rsidP="007A0AE0">
      <w:pPr>
        <w:jc w:val="both"/>
        <w:rPr>
          <w:rFonts w:ascii="Verdana" w:hAnsi="Verdana" w:cs="Arial"/>
        </w:rPr>
      </w:pPr>
    </w:p>
    <w:tbl>
      <w:tblPr>
        <w:tblStyle w:val="Tablaconcuadrcula"/>
        <w:tblW w:w="0" w:type="auto"/>
        <w:jc w:val="center"/>
        <w:tblLook w:val="04A0" w:firstRow="1" w:lastRow="0" w:firstColumn="1" w:lastColumn="0" w:noHBand="0" w:noVBand="1"/>
      </w:tblPr>
      <w:tblGrid>
        <w:gridCol w:w="6799"/>
      </w:tblGrid>
      <w:tr w:rsidR="007A0AE0" w:rsidRPr="006A65B5" w14:paraId="19FBC9B5" w14:textId="77777777" w:rsidTr="00007C4E">
        <w:trPr>
          <w:trHeight w:val="283"/>
          <w:tblHeader/>
          <w:jc w:val="center"/>
        </w:trPr>
        <w:tc>
          <w:tcPr>
            <w:tcW w:w="6799" w:type="dxa"/>
            <w:tcBorders>
              <w:top w:val="double" w:sz="4" w:space="0" w:color="auto"/>
              <w:left w:val="single" w:sz="4" w:space="0" w:color="auto"/>
              <w:bottom w:val="single" w:sz="4" w:space="0" w:color="auto"/>
              <w:right w:val="double" w:sz="4" w:space="0" w:color="auto"/>
            </w:tcBorders>
            <w:shd w:val="clear" w:color="auto" w:fill="D9D9D9" w:themeFill="background1" w:themeFillShade="D9"/>
            <w:vAlign w:val="center"/>
            <w:hideMark/>
          </w:tcPr>
          <w:p w14:paraId="21497435" w14:textId="77777777" w:rsidR="007A0AE0" w:rsidRPr="006A65B5" w:rsidRDefault="007A0AE0" w:rsidP="00007C4E">
            <w:pPr>
              <w:jc w:val="center"/>
              <w:rPr>
                <w:rFonts w:ascii="Verdana" w:eastAsia="Arial" w:hAnsi="Verdana" w:cs="Arial"/>
                <w:b/>
                <w:bCs/>
                <w:szCs w:val="20"/>
              </w:rPr>
            </w:pPr>
            <w:r w:rsidRPr="006A65B5">
              <w:rPr>
                <w:rFonts w:ascii="Verdana" w:hAnsi="Verdana" w:cs="Arial"/>
                <w:b/>
                <w:bCs/>
                <w:szCs w:val="20"/>
              </w:rPr>
              <w:t>Fórmula</w:t>
            </w:r>
          </w:p>
        </w:tc>
      </w:tr>
      <w:tr w:rsidR="007A0AE0" w:rsidRPr="006A65B5" w14:paraId="23CF9747" w14:textId="77777777" w:rsidTr="00007C4E">
        <w:trPr>
          <w:trHeight w:val="569"/>
          <w:jc w:val="center"/>
        </w:trPr>
        <w:tc>
          <w:tcPr>
            <w:tcW w:w="6799" w:type="dxa"/>
            <w:tcBorders>
              <w:top w:val="single" w:sz="4" w:space="0" w:color="auto"/>
              <w:left w:val="single" w:sz="4" w:space="0" w:color="auto"/>
              <w:bottom w:val="single" w:sz="4" w:space="0" w:color="auto"/>
              <w:right w:val="double" w:sz="4" w:space="0" w:color="auto"/>
            </w:tcBorders>
            <w:vAlign w:val="center"/>
            <w:hideMark/>
          </w:tcPr>
          <w:p w14:paraId="6B75DDEC" w14:textId="77777777" w:rsidR="007A0AE0" w:rsidRPr="006A65B5" w:rsidRDefault="007A0AE0" w:rsidP="00007C4E">
            <w:pPr>
              <w:jc w:val="center"/>
              <w:rPr>
                <w:rFonts w:ascii="Verdana" w:hAnsi="Verdana" w:cs="Arial"/>
                <w:szCs w:val="20"/>
              </w:rPr>
            </w:pPr>
            <w:proofErr w:type="spellStart"/>
            <w:r w:rsidRPr="006A65B5">
              <w:rPr>
                <w:rFonts w:ascii="Verdana" w:hAnsi="Verdana" w:cs="Arial"/>
                <w:szCs w:val="20"/>
              </w:rPr>
              <w:t>CTd</w:t>
            </w:r>
            <w:proofErr w:type="spellEnd"/>
            <w:r w:rsidRPr="006A65B5">
              <w:rPr>
                <w:rFonts w:ascii="Verdana" w:hAnsi="Verdana" w:cs="Arial"/>
                <w:szCs w:val="20"/>
              </w:rPr>
              <w:t xml:space="preserve"> = (POE </w:t>
            </w:r>
            <m:oMath>
              <m:r>
                <m:rPr>
                  <m:sty m:val="p"/>
                </m:rPr>
                <w:rPr>
                  <w:rFonts w:ascii="Cambria Math" w:hAnsi="Cambria Math" w:cs="Arial"/>
                </w:rPr>
                <m:t>-</m:t>
              </m:r>
            </m:oMath>
            <w:r w:rsidRPr="006A65B5">
              <w:rPr>
                <w:rFonts w:ascii="Verdana" w:hAnsi="Verdana" w:cs="Arial"/>
                <w:szCs w:val="20"/>
              </w:rPr>
              <w:t xml:space="preserve"> Anticipo o Pago anticipado) x 33%</w:t>
            </w:r>
          </w:p>
        </w:tc>
      </w:tr>
    </w:tbl>
    <w:p w14:paraId="6DEB5209" w14:textId="77777777" w:rsidR="007A0AE0" w:rsidRPr="006A65B5" w:rsidRDefault="007A0AE0" w:rsidP="007A0AE0">
      <w:pPr>
        <w:rPr>
          <w:rFonts w:ascii="Verdana" w:hAnsi="Verdana" w:cs="Arial"/>
          <w:sz w:val="16"/>
          <w:szCs w:val="16"/>
        </w:rPr>
      </w:pPr>
    </w:p>
    <w:p w14:paraId="77B71BE7" w14:textId="77777777" w:rsidR="007A0AE0" w:rsidRPr="006A65B5" w:rsidRDefault="007A0AE0" w:rsidP="007A0AE0">
      <w:pPr>
        <w:rPr>
          <w:rFonts w:ascii="Verdana" w:hAnsi="Verdana" w:cs="Arial"/>
          <w:sz w:val="22"/>
          <w:szCs w:val="22"/>
        </w:rPr>
      </w:pPr>
      <w:r w:rsidRPr="006A65B5">
        <w:rPr>
          <w:rFonts w:ascii="Verdana" w:hAnsi="Verdana" w:cs="Arial"/>
          <w:sz w:val="22"/>
          <w:szCs w:val="22"/>
        </w:rPr>
        <w:t>Donde,</w:t>
      </w:r>
    </w:p>
    <w:p w14:paraId="46B657D7" w14:textId="77777777" w:rsidR="007A0AE0" w:rsidRPr="006A65B5" w:rsidRDefault="007A0AE0" w:rsidP="007A0AE0">
      <w:pPr>
        <w:rPr>
          <w:rFonts w:ascii="Verdana" w:hAnsi="Verdana" w:cs="Arial"/>
          <w:sz w:val="22"/>
          <w:szCs w:val="22"/>
        </w:rPr>
      </w:pPr>
      <w:proofErr w:type="spellStart"/>
      <w:r w:rsidRPr="006A65B5">
        <w:rPr>
          <w:rFonts w:ascii="Verdana" w:hAnsi="Verdana" w:cs="Arial"/>
          <w:sz w:val="22"/>
          <w:szCs w:val="22"/>
        </w:rPr>
        <w:t>CTd</w:t>
      </w:r>
      <w:proofErr w:type="spellEnd"/>
      <w:r w:rsidRPr="006A65B5">
        <w:rPr>
          <w:rFonts w:ascii="Verdana" w:hAnsi="Verdana" w:cs="Arial"/>
          <w:sz w:val="22"/>
          <w:szCs w:val="22"/>
        </w:rPr>
        <w:t xml:space="preserve"> = </w:t>
      </w:r>
      <w:r w:rsidRPr="006A65B5">
        <w:rPr>
          <w:rFonts w:ascii="Verdana" w:hAnsi="Verdana" w:cs="Arial"/>
          <w:sz w:val="22"/>
          <w:szCs w:val="22"/>
          <w:lang w:val="es-MX"/>
        </w:rPr>
        <w:t>Capital de Trabajo demandado para el proceso que presenta propuesta</w:t>
      </w:r>
    </w:p>
    <w:p w14:paraId="5C54B4BC" w14:textId="77777777" w:rsidR="007A0AE0" w:rsidRPr="006A65B5" w:rsidRDefault="007A0AE0" w:rsidP="007A0AE0">
      <w:pPr>
        <w:rPr>
          <w:rFonts w:ascii="Verdana" w:hAnsi="Verdana" w:cs="Arial"/>
          <w:sz w:val="22"/>
          <w:szCs w:val="22"/>
        </w:rPr>
      </w:pPr>
      <w:r w:rsidRPr="006A65B5">
        <w:rPr>
          <w:rFonts w:ascii="Verdana" w:hAnsi="Verdana" w:cs="Arial"/>
          <w:sz w:val="22"/>
          <w:szCs w:val="22"/>
        </w:rPr>
        <w:t>POE = Presupuesto oficial estimado</w:t>
      </w:r>
    </w:p>
    <w:p w14:paraId="38A68423" w14:textId="77777777" w:rsidR="007A0AE0" w:rsidRPr="006A65B5" w:rsidRDefault="007A0AE0" w:rsidP="007A0AE0">
      <w:pPr>
        <w:rPr>
          <w:rFonts w:ascii="Verdana" w:hAnsi="Verdana" w:cs="Arial"/>
          <w:sz w:val="22"/>
          <w:szCs w:val="22"/>
        </w:rPr>
      </w:pPr>
    </w:p>
    <w:p w14:paraId="67280582" w14:textId="77777777" w:rsidR="007A0AE0" w:rsidRPr="006A65B5" w:rsidRDefault="007A0AE0" w:rsidP="007A0AE0">
      <w:pPr>
        <w:rPr>
          <w:rFonts w:ascii="Verdana" w:hAnsi="Verdana" w:cs="Arial"/>
          <w:sz w:val="16"/>
          <w:szCs w:val="16"/>
        </w:rPr>
      </w:pPr>
    </w:p>
    <w:p w14:paraId="0568416B" w14:textId="77777777" w:rsidR="007A0AE0" w:rsidRPr="006A65B5" w:rsidRDefault="007A0AE0" w:rsidP="007A0AE0">
      <w:pPr>
        <w:pStyle w:val="Prrafodelista"/>
        <w:ind w:left="0"/>
        <w:rPr>
          <w:rFonts w:ascii="Verdana" w:eastAsia="Times New Roman" w:hAnsi="Verdana" w:cs="Arial"/>
          <w:lang w:val="es-MX" w:eastAsia="es-MX"/>
        </w:rPr>
      </w:pPr>
      <w:r w:rsidRPr="006A65B5">
        <w:rPr>
          <w:rFonts w:ascii="Verdana" w:eastAsia="Times New Roman" w:hAnsi="Verdana" w:cs="Arial"/>
          <w:lang w:val="es-MX" w:eastAsia="es-MX"/>
        </w:rPr>
        <w:t>En este caso la modificación se centró en definir un porcentaje único para realizar la determinación del capital de trabajo, teniendo en consideración el porcentaje equivalente a ese nivel de apalancamiento máximo identificado para un proceso de 12 meses, el cual correspondía al 33% (4/12: 0,33), esto permitió estandarizar el requisito de acuerdo a las necesidad de apalancamiento para el servicio independiente del presupuesto, ya que a menor tiempo de ejecución los niveles de apalancamiento pueden aumentar debido a que se reduce el tiempo para normalizar el flujo de pago del contrato.</w:t>
      </w:r>
    </w:p>
    <w:p w14:paraId="0BA25CA6" w14:textId="77777777" w:rsidR="007A0AE0" w:rsidRPr="00611315" w:rsidRDefault="007A0AE0" w:rsidP="007A0AE0">
      <w:pPr>
        <w:rPr>
          <w:rFonts w:ascii="Verdana" w:hAnsi="Verdana" w:cs="Arial"/>
          <w:sz w:val="16"/>
          <w:szCs w:val="16"/>
          <w:highlight w:val="yellow"/>
        </w:rPr>
      </w:pPr>
    </w:p>
    <w:p w14:paraId="6EC8F750" w14:textId="77777777" w:rsidR="007A0AE0" w:rsidRPr="00ED5219" w:rsidRDefault="007A0AE0" w:rsidP="007A0AE0">
      <w:pPr>
        <w:jc w:val="both"/>
        <w:rPr>
          <w:rFonts w:ascii="Verdana" w:hAnsi="Verdana" w:cs="Arial"/>
          <w:sz w:val="20"/>
          <w:szCs w:val="20"/>
        </w:rPr>
      </w:pPr>
    </w:p>
    <w:p w14:paraId="2EC49BF1" w14:textId="77777777" w:rsidR="007A0AE0" w:rsidRPr="00ED5219" w:rsidRDefault="007A0AE0" w:rsidP="007A0AE0">
      <w:pPr>
        <w:ind w:left="708"/>
        <w:jc w:val="both"/>
        <w:rPr>
          <w:rFonts w:ascii="Verdana" w:hAnsi="Verdana" w:cs="Arial"/>
          <w:b/>
          <w:sz w:val="22"/>
          <w:szCs w:val="22"/>
        </w:rPr>
      </w:pPr>
      <w:r w:rsidRPr="00ED5219">
        <w:rPr>
          <w:rFonts w:ascii="Verdana" w:hAnsi="Verdana" w:cs="Arial"/>
          <w:b/>
          <w:sz w:val="22"/>
          <w:szCs w:val="22"/>
        </w:rPr>
        <w:t>Patrimonio</w:t>
      </w:r>
    </w:p>
    <w:p w14:paraId="479F4B56" w14:textId="77777777" w:rsidR="007A0AE0" w:rsidRPr="00ED5219" w:rsidRDefault="007A0AE0" w:rsidP="007A0AE0">
      <w:pPr>
        <w:ind w:left="708"/>
        <w:jc w:val="both"/>
        <w:rPr>
          <w:rFonts w:ascii="Verdana" w:hAnsi="Verdana" w:cs="Arial"/>
          <w:b/>
          <w:bCs/>
          <w:u w:val="single"/>
          <w:lang w:val="es-MX"/>
        </w:rPr>
      </w:pPr>
    </w:p>
    <w:p w14:paraId="4519F377" w14:textId="123D0BBF" w:rsidR="007A0AE0" w:rsidRPr="00ED5219" w:rsidRDefault="007A0AE0" w:rsidP="007A0AE0">
      <w:pPr>
        <w:jc w:val="both"/>
        <w:rPr>
          <w:rFonts w:ascii="Verdana" w:hAnsi="Verdana" w:cs="Arial"/>
          <w:sz w:val="22"/>
          <w:szCs w:val="22"/>
          <w:lang w:val="es-MX"/>
        </w:rPr>
      </w:pPr>
      <w:r w:rsidRPr="00ED5219">
        <w:rPr>
          <w:rFonts w:ascii="Verdana" w:hAnsi="Verdana" w:cs="Arial"/>
          <w:sz w:val="22"/>
          <w:szCs w:val="22"/>
          <w:lang w:val="es-MX"/>
        </w:rPr>
        <w:t xml:space="preserve">Este indicador mide la cantidad de recursos propios del proponente y es recomendable su uso cuando la Entidad Estatal requiere analizar la proporción de recursos propios en </w:t>
      </w:r>
      <w:r w:rsidRPr="00ED5219">
        <w:rPr>
          <w:rFonts w:ascii="Verdana" w:hAnsi="Verdana" w:cs="Arial"/>
          <w:sz w:val="22"/>
          <w:szCs w:val="22"/>
          <w:lang w:val="es-MX"/>
        </w:rPr>
        <w:lastRenderedPageBreak/>
        <w:t>términos absolutos cuando el presupuesto del Proceso de Contratación es muy alto y se debe asegurar la continuidad del oferente en el tiempo</w:t>
      </w:r>
      <w:r w:rsidRPr="00ED5219">
        <w:rPr>
          <w:rStyle w:val="Refdenotaalpie"/>
          <w:rFonts w:ascii="Verdana" w:hAnsi="Verdana" w:cs="Arial"/>
          <w:sz w:val="22"/>
          <w:szCs w:val="22"/>
          <w:lang w:val="es-MX"/>
        </w:rPr>
        <w:footnoteReference w:id="43"/>
      </w:r>
      <w:r w:rsidRPr="00ED5219">
        <w:rPr>
          <w:rFonts w:ascii="Verdana" w:hAnsi="Verdana" w:cs="Arial"/>
          <w:sz w:val="22"/>
          <w:szCs w:val="22"/>
          <w:lang w:val="es-MX"/>
        </w:rPr>
        <w:t xml:space="preserve">. </w:t>
      </w:r>
      <w:r w:rsidR="00ED5219" w:rsidRPr="00ED5219">
        <w:rPr>
          <w:rFonts w:ascii="Verdana" w:hAnsi="Verdana" w:cs="Arial"/>
          <w:sz w:val="22"/>
          <w:szCs w:val="22"/>
          <w:lang w:val="es-MX"/>
        </w:rPr>
        <w:t xml:space="preserve">Por lo anterior, la pertinencia de la inclusión de este indicador en procesos de selección para adquirir este tipo de servicios es pertinente </w:t>
      </w:r>
      <w:r w:rsidR="00ED5219" w:rsidRPr="00ED5219">
        <w:rPr>
          <w:rFonts w:ascii="Verdana" w:hAnsi="Verdana" w:cs="Arial"/>
          <w:sz w:val="22"/>
          <w:szCs w:val="22"/>
        </w:rPr>
        <w:t>en atención a la necesidad de verificar no solamente la capacidad económica actual de los proponentes, sino también su estabilidad financiera y permanencia en el tiempo durante la ejecución del contrato.</w:t>
      </w:r>
    </w:p>
    <w:p w14:paraId="0F9DF22D" w14:textId="77777777" w:rsidR="007A0AE0" w:rsidRPr="00ED5219" w:rsidRDefault="007A0AE0" w:rsidP="007A0AE0">
      <w:pPr>
        <w:jc w:val="both"/>
        <w:rPr>
          <w:rFonts w:ascii="Verdana" w:hAnsi="Verdana" w:cs="Arial"/>
          <w:sz w:val="22"/>
          <w:szCs w:val="22"/>
          <w:lang w:val="es-MX"/>
        </w:rPr>
      </w:pPr>
    </w:p>
    <w:p w14:paraId="396068F0" w14:textId="14473E41" w:rsidR="007A0AE0" w:rsidRPr="00ED5219" w:rsidRDefault="007A0AE0" w:rsidP="007A0AE0">
      <w:pPr>
        <w:jc w:val="both"/>
        <w:rPr>
          <w:rFonts w:ascii="Verdana" w:hAnsi="Verdana" w:cs="Arial"/>
          <w:sz w:val="22"/>
          <w:szCs w:val="22"/>
          <w:lang w:val="es-MX"/>
        </w:rPr>
      </w:pPr>
      <w:r w:rsidRPr="00ED5219">
        <w:rPr>
          <w:rFonts w:ascii="Verdana" w:hAnsi="Verdana" w:cs="Arial"/>
          <w:sz w:val="22"/>
          <w:szCs w:val="22"/>
          <w:lang w:val="es-MX"/>
        </w:rPr>
        <w:t xml:space="preserve">Considerando que los grandes proyectos de infraestructura </w:t>
      </w:r>
      <w:r w:rsidR="00754DAE" w:rsidRPr="00ED5219">
        <w:rPr>
          <w:rFonts w:ascii="Verdana" w:hAnsi="Verdana" w:cs="Arial"/>
          <w:sz w:val="22"/>
          <w:szCs w:val="22"/>
          <w:lang w:val="es-MX"/>
        </w:rPr>
        <w:t>de agua potable y saneamiento básico</w:t>
      </w:r>
      <w:r w:rsidRPr="00ED5219">
        <w:rPr>
          <w:rFonts w:ascii="Verdana" w:hAnsi="Verdana" w:cs="Arial"/>
          <w:sz w:val="22"/>
          <w:szCs w:val="22"/>
          <w:lang w:val="es-MX"/>
        </w:rPr>
        <w:t xml:space="preserve"> están concebidos para varias vigencias e implican la adjudicación de contratos por altos montos de recursos, este indicador cobra relevancia con el objetivo de fortalecer los requisitos a solicitar a los proponentes en el marco de este tipo de proyectos.</w:t>
      </w:r>
    </w:p>
    <w:p w14:paraId="42A688B1" w14:textId="77777777" w:rsidR="007A0AE0" w:rsidRPr="00ED5219" w:rsidRDefault="007A0AE0" w:rsidP="007A0AE0">
      <w:pPr>
        <w:jc w:val="both"/>
        <w:rPr>
          <w:rFonts w:ascii="Verdana" w:hAnsi="Verdana" w:cs="Arial"/>
          <w:sz w:val="22"/>
          <w:szCs w:val="22"/>
          <w:lang w:val="es-MX"/>
        </w:rPr>
      </w:pPr>
    </w:p>
    <w:p w14:paraId="09D6CF69" w14:textId="77777777" w:rsidR="007A0AE0" w:rsidRPr="000874E3" w:rsidRDefault="007A0AE0" w:rsidP="007A0AE0">
      <w:pPr>
        <w:jc w:val="both"/>
        <w:rPr>
          <w:rFonts w:ascii="Verdana" w:hAnsi="Verdana" w:cs="Arial"/>
          <w:sz w:val="22"/>
          <w:szCs w:val="22"/>
          <w:lang w:val="es-MX"/>
        </w:rPr>
      </w:pPr>
      <w:r w:rsidRPr="00ED5219">
        <w:rPr>
          <w:rFonts w:ascii="Verdana" w:hAnsi="Verdana" w:cs="Arial"/>
          <w:sz w:val="22"/>
          <w:szCs w:val="22"/>
          <w:lang w:val="es-MX"/>
        </w:rPr>
        <w:t xml:space="preserve">Por lo anterior, se considera viable su inclusión en aquellos procesos de selección en los cuales se cumplan condiciones asociadas al plazo estimado de ejecución y al rango de presupuesto (rango 2) más alto analizado dentro de la propuesta de indicadores (en el cual se está flexibilizando el indicador de endeudamiento (mayor o igual a 0,75), </w:t>
      </w:r>
      <w:r w:rsidRPr="000874E3">
        <w:rPr>
          <w:rFonts w:ascii="Verdana" w:hAnsi="Verdana" w:cs="Arial"/>
          <w:sz w:val="22"/>
          <w:szCs w:val="22"/>
          <w:lang w:val="es-MX"/>
        </w:rPr>
        <w:t>considerando la participación de empresas con altos niveles de endeudamiento).</w:t>
      </w:r>
    </w:p>
    <w:p w14:paraId="4449AE93" w14:textId="77777777" w:rsidR="00ED5219" w:rsidRPr="000874E3" w:rsidRDefault="00ED5219" w:rsidP="007A0AE0">
      <w:pPr>
        <w:jc w:val="both"/>
        <w:rPr>
          <w:rFonts w:ascii="Verdana" w:hAnsi="Verdana" w:cs="Arial"/>
          <w:sz w:val="22"/>
          <w:szCs w:val="22"/>
          <w:lang w:val="es-MX"/>
        </w:rPr>
      </w:pPr>
    </w:p>
    <w:p w14:paraId="10DFB235" w14:textId="77777777" w:rsidR="007A0AE0" w:rsidRPr="000874E3" w:rsidRDefault="007A0AE0" w:rsidP="007A0AE0">
      <w:pPr>
        <w:jc w:val="both"/>
        <w:rPr>
          <w:rFonts w:ascii="Verdana" w:hAnsi="Verdana" w:cs="Arial"/>
          <w:sz w:val="22"/>
          <w:szCs w:val="22"/>
          <w:lang w:val="es-MX"/>
        </w:rPr>
      </w:pPr>
      <w:r w:rsidRPr="000874E3">
        <w:rPr>
          <w:rFonts w:ascii="Verdana" w:hAnsi="Verdana" w:cs="Arial"/>
          <w:sz w:val="22"/>
          <w:szCs w:val="22"/>
          <w:lang w:val="es-MX"/>
        </w:rPr>
        <w:t>En concordancia con lo señalado previamente, el Patrimonio se solicitará en aquellos procesos de selección en los que se cumplan las siguientes dos condiciones:</w:t>
      </w:r>
    </w:p>
    <w:p w14:paraId="70C46488" w14:textId="77777777" w:rsidR="007A0AE0" w:rsidRPr="000874E3" w:rsidRDefault="007A0AE0" w:rsidP="007A0AE0">
      <w:pPr>
        <w:jc w:val="both"/>
        <w:rPr>
          <w:rFonts w:ascii="Verdana" w:hAnsi="Verdana" w:cs="Arial"/>
          <w:sz w:val="22"/>
          <w:szCs w:val="22"/>
          <w:lang w:val="es-MX"/>
        </w:rPr>
      </w:pPr>
    </w:p>
    <w:p w14:paraId="3951A7F9" w14:textId="08CAB3BE" w:rsidR="007A0AE0" w:rsidRPr="000874E3" w:rsidRDefault="007A0AE0" w:rsidP="007A0AE0">
      <w:pPr>
        <w:pStyle w:val="Prrafodelista"/>
        <w:numPr>
          <w:ilvl w:val="0"/>
          <w:numId w:val="61"/>
        </w:numPr>
        <w:spacing w:after="200" w:line="276" w:lineRule="auto"/>
        <w:contextualSpacing w:val="0"/>
        <w:rPr>
          <w:rFonts w:ascii="Verdana" w:hAnsi="Verdana" w:cs="Arial"/>
          <w:b/>
          <w:bCs/>
          <w:lang w:val="es-MX"/>
        </w:rPr>
      </w:pPr>
      <w:r w:rsidRPr="000874E3">
        <w:rPr>
          <w:rFonts w:ascii="Verdana" w:hAnsi="Verdana" w:cs="Arial"/>
          <w:b/>
          <w:bCs/>
          <w:lang w:val="es-MX"/>
        </w:rPr>
        <w:t xml:space="preserve">Presupuesto oficial es &gt;= a </w:t>
      </w:r>
      <w:r w:rsidR="00B85D54">
        <w:rPr>
          <w:rFonts w:ascii="Verdana" w:hAnsi="Verdana" w:cs="Arial"/>
          <w:b/>
          <w:bCs/>
          <w:lang w:val="es-MX"/>
        </w:rPr>
        <w:t>13</w:t>
      </w:r>
      <w:r w:rsidRPr="000874E3">
        <w:rPr>
          <w:rFonts w:ascii="Verdana" w:hAnsi="Verdana" w:cs="Arial"/>
          <w:b/>
          <w:bCs/>
          <w:lang w:val="es-MX"/>
        </w:rPr>
        <w:t>.000 SMMLV.</w:t>
      </w:r>
    </w:p>
    <w:p w14:paraId="0CA5CAF6" w14:textId="3B8B9A77" w:rsidR="007A0AE0" w:rsidRPr="000874E3" w:rsidRDefault="007A0AE0" w:rsidP="007A0AE0">
      <w:pPr>
        <w:pStyle w:val="Prrafodelista"/>
        <w:numPr>
          <w:ilvl w:val="0"/>
          <w:numId w:val="61"/>
        </w:numPr>
        <w:spacing w:after="200" w:line="276" w:lineRule="auto"/>
        <w:contextualSpacing w:val="0"/>
        <w:rPr>
          <w:rFonts w:ascii="Verdana" w:hAnsi="Verdana" w:cs="Arial"/>
          <w:b/>
          <w:bCs/>
          <w:lang w:val="es-MX"/>
        </w:rPr>
      </w:pPr>
      <w:r w:rsidRPr="000874E3">
        <w:rPr>
          <w:rFonts w:ascii="Verdana" w:hAnsi="Verdana" w:cs="Arial"/>
          <w:b/>
          <w:bCs/>
          <w:lang w:val="es-MX"/>
        </w:rPr>
        <w:t xml:space="preserve">El plazo </w:t>
      </w:r>
      <w:r w:rsidR="000874E3">
        <w:rPr>
          <w:rFonts w:ascii="Verdana" w:hAnsi="Verdana" w:cs="Arial"/>
          <w:b/>
          <w:bCs/>
          <w:lang w:val="es-MX"/>
        </w:rPr>
        <w:t xml:space="preserve">estimado </w:t>
      </w:r>
      <w:r w:rsidRPr="000874E3">
        <w:rPr>
          <w:rFonts w:ascii="Verdana" w:hAnsi="Verdana" w:cs="Arial"/>
          <w:b/>
          <w:bCs/>
          <w:lang w:val="es-MX"/>
        </w:rPr>
        <w:t xml:space="preserve">de ejecución del </w:t>
      </w:r>
      <w:r w:rsidR="000874E3">
        <w:rPr>
          <w:rFonts w:ascii="Verdana" w:hAnsi="Verdana" w:cs="Arial"/>
          <w:b/>
          <w:bCs/>
          <w:lang w:val="es-MX"/>
        </w:rPr>
        <w:t>contrato</w:t>
      </w:r>
      <w:r w:rsidRPr="000874E3">
        <w:rPr>
          <w:rFonts w:ascii="Verdana" w:hAnsi="Verdana" w:cs="Arial"/>
          <w:b/>
          <w:bCs/>
          <w:lang w:val="es-MX"/>
        </w:rPr>
        <w:t xml:space="preserve"> es mayor o igual a 24 meses.</w:t>
      </w:r>
    </w:p>
    <w:p w14:paraId="4F67E821" w14:textId="77777777" w:rsidR="007A0AE0" w:rsidRPr="000874E3" w:rsidRDefault="007A0AE0" w:rsidP="007A0AE0">
      <w:pPr>
        <w:jc w:val="both"/>
        <w:rPr>
          <w:rFonts w:ascii="Verdana" w:hAnsi="Verdana" w:cs="Arial"/>
          <w:sz w:val="22"/>
          <w:szCs w:val="22"/>
          <w:lang w:val="es-MX"/>
        </w:rPr>
      </w:pPr>
      <w:r w:rsidRPr="000874E3">
        <w:rPr>
          <w:rFonts w:ascii="Verdana" w:hAnsi="Verdana" w:cs="Arial"/>
          <w:sz w:val="22"/>
          <w:szCs w:val="22"/>
          <w:lang w:val="es-MX"/>
        </w:rPr>
        <w:t>La determinación del Patrimonio demandado (requerido), se hará de acuerdo con la siguiente fórmula:</w:t>
      </w:r>
    </w:p>
    <w:p w14:paraId="60410CA2" w14:textId="77777777" w:rsidR="007A0AE0" w:rsidRPr="000874E3" w:rsidRDefault="007A0AE0" w:rsidP="007A0AE0">
      <w:pPr>
        <w:pBdr>
          <w:top w:val="single" w:sz="4" w:space="1" w:color="auto"/>
          <w:left w:val="single" w:sz="4" w:space="4" w:color="auto"/>
          <w:bottom w:val="single" w:sz="4" w:space="1" w:color="auto"/>
          <w:right w:val="single" w:sz="4" w:space="4" w:color="auto"/>
        </w:pBdr>
        <w:rPr>
          <w:rFonts w:ascii="Verdana" w:hAnsi="Verdana" w:cs="Arial"/>
          <w:sz w:val="22"/>
          <w:szCs w:val="22"/>
        </w:rPr>
      </w:pPr>
      <m:oMathPara>
        <m:oMath>
          <m:r>
            <m:rPr>
              <m:sty m:val="p"/>
            </m:rPr>
            <w:rPr>
              <w:rFonts w:ascii="Cambria Math" w:hAnsi="Cambria Math" w:cs="Arial"/>
              <w:sz w:val="22"/>
              <w:szCs w:val="22"/>
            </w:rPr>
            <m:t>Pd</m:t>
          </m:r>
          <m:r>
            <w:rPr>
              <w:rFonts w:ascii="Cambria Math" w:hAnsi="Cambria Math" w:cs="Arial"/>
              <w:sz w:val="22"/>
              <w:szCs w:val="22"/>
            </w:rPr>
            <m:t>= POE x 25%</m:t>
          </m:r>
        </m:oMath>
      </m:oMathPara>
    </w:p>
    <w:p w14:paraId="3A8E8A1A" w14:textId="77777777" w:rsidR="007A0AE0" w:rsidRPr="000874E3" w:rsidRDefault="007A0AE0" w:rsidP="007A0AE0">
      <w:pPr>
        <w:rPr>
          <w:rFonts w:ascii="Verdana" w:hAnsi="Verdana" w:cs="Arial"/>
          <w:sz w:val="16"/>
          <w:szCs w:val="16"/>
          <w:lang w:val="es-MX"/>
        </w:rPr>
      </w:pPr>
      <w:r w:rsidRPr="000874E3">
        <w:rPr>
          <w:rFonts w:ascii="Verdana" w:hAnsi="Verdana" w:cs="Arial"/>
          <w:sz w:val="16"/>
          <w:szCs w:val="16"/>
          <w:lang w:val="es-MX"/>
        </w:rPr>
        <w:t>Donde,</w:t>
      </w:r>
    </w:p>
    <w:p w14:paraId="0954ECD4" w14:textId="77777777" w:rsidR="007A0AE0" w:rsidRPr="000874E3" w:rsidRDefault="007A0AE0" w:rsidP="007A0AE0">
      <w:pPr>
        <w:autoSpaceDE w:val="0"/>
        <w:autoSpaceDN w:val="0"/>
        <w:adjustRightInd w:val="0"/>
        <w:spacing w:before="120"/>
        <w:rPr>
          <w:rFonts w:ascii="Verdana" w:hAnsi="Verdana" w:cs="Arial"/>
          <w:sz w:val="16"/>
          <w:szCs w:val="16"/>
          <w:lang w:val="es-MX"/>
        </w:rPr>
      </w:pPr>
      <w:r w:rsidRPr="000874E3">
        <w:rPr>
          <w:rFonts w:ascii="Verdana" w:hAnsi="Verdana" w:cs="Arial"/>
          <w:sz w:val="16"/>
          <w:szCs w:val="16"/>
          <w:lang w:val="es-MX"/>
        </w:rPr>
        <w:t>Pd = Patrimonio demandado (requerido) para el proceso que presenta la propuesta</w:t>
      </w:r>
    </w:p>
    <w:p w14:paraId="1A0E2B47" w14:textId="77777777" w:rsidR="007A0AE0" w:rsidRPr="000874E3" w:rsidRDefault="007A0AE0" w:rsidP="007A0AE0">
      <w:pPr>
        <w:rPr>
          <w:rFonts w:ascii="Verdana" w:hAnsi="Verdana" w:cs="Arial"/>
          <w:sz w:val="16"/>
          <w:szCs w:val="16"/>
          <w:lang w:val="es-MX"/>
        </w:rPr>
      </w:pPr>
      <w:r w:rsidRPr="000874E3">
        <w:rPr>
          <w:rFonts w:ascii="Verdana" w:hAnsi="Verdana" w:cs="Arial"/>
          <w:sz w:val="16"/>
          <w:szCs w:val="16"/>
          <w:lang w:val="es-MX"/>
        </w:rPr>
        <w:t>POE = Presupuesto oficial estimado</w:t>
      </w:r>
    </w:p>
    <w:p w14:paraId="2C9F075B" w14:textId="77777777" w:rsidR="007A0AE0" w:rsidRPr="000874E3" w:rsidRDefault="007A0AE0" w:rsidP="007A0AE0">
      <w:pPr>
        <w:rPr>
          <w:rFonts w:ascii="Verdana" w:hAnsi="Verdana" w:cs="Arial"/>
          <w:sz w:val="22"/>
          <w:szCs w:val="22"/>
          <w:lang w:val="es-MX"/>
        </w:rPr>
      </w:pPr>
    </w:p>
    <w:p w14:paraId="6BE9E940" w14:textId="77777777" w:rsidR="007A0AE0" w:rsidRDefault="007A0AE0" w:rsidP="007A0AE0">
      <w:pPr>
        <w:rPr>
          <w:rFonts w:ascii="Verdana" w:hAnsi="Verdana" w:cs="Arial"/>
          <w:sz w:val="22"/>
          <w:szCs w:val="22"/>
          <w:lang w:val="es-MX"/>
        </w:rPr>
      </w:pPr>
    </w:p>
    <w:p w14:paraId="7752F30F" w14:textId="77777777" w:rsidR="007A4815" w:rsidRDefault="007A4815" w:rsidP="007A0AE0">
      <w:pPr>
        <w:rPr>
          <w:rFonts w:ascii="Verdana" w:hAnsi="Verdana" w:cs="Arial"/>
          <w:sz w:val="22"/>
          <w:szCs w:val="22"/>
          <w:lang w:val="es-MX"/>
        </w:rPr>
      </w:pPr>
    </w:p>
    <w:p w14:paraId="6CD98EB0" w14:textId="77777777" w:rsidR="007A4815" w:rsidRDefault="007A4815" w:rsidP="007A0AE0">
      <w:pPr>
        <w:rPr>
          <w:rFonts w:ascii="Verdana" w:hAnsi="Verdana" w:cs="Arial"/>
          <w:sz w:val="22"/>
          <w:szCs w:val="22"/>
          <w:lang w:val="es-MX"/>
        </w:rPr>
      </w:pPr>
    </w:p>
    <w:p w14:paraId="5788B1ED" w14:textId="77777777" w:rsidR="007A4815" w:rsidRPr="0044359A" w:rsidRDefault="007A4815" w:rsidP="007A0AE0">
      <w:pPr>
        <w:rPr>
          <w:rFonts w:ascii="Verdana" w:hAnsi="Verdana" w:cs="Arial"/>
          <w:sz w:val="22"/>
          <w:szCs w:val="22"/>
          <w:lang w:val="es-MX"/>
        </w:rPr>
      </w:pPr>
    </w:p>
    <w:p w14:paraId="433F5174" w14:textId="77777777" w:rsidR="001360D2" w:rsidRPr="0044359A" w:rsidRDefault="001360D2" w:rsidP="001360D2">
      <w:pPr>
        <w:pStyle w:val="Prrafodelista"/>
        <w:numPr>
          <w:ilvl w:val="0"/>
          <w:numId w:val="56"/>
        </w:numPr>
        <w:rPr>
          <w:rFonts w:ascii="Verdana" w:hAnsi="Verdana" w:cs="Arial"/>
          <w:b/>
          <w:bCs/>
          <w:lang w:val="es-MX"/>
        </w:rPr>
      </w:pPr>
      <w:r w:rsidRPr="0044359A">
        <w:rPr>
          <w:rFonts w:ascii="Verdana" w:hAnsi="Verdana" w:cs="Arial"/>
          <w:b/>
          <w:bCs/>
          <w:lang w:val="es-MX"/>
        </w:rPr>
        <w:lastRenderedPageBreak/>
        <w:t>Niveles de cumplimiento de los requisitos de Capacidad Financiera y Organizacional</w:t>
      </w:r>
    </w:p>
    <w:p w14:paraId="6F24A215" w14:textId="75CA793E" w:rsidR="001360D2" w:rsidRPr="002A4D4B" w:rsidRDefault="001360D2" w:rsidP="001360D2">
      <w:pPr>
        <w:ind w:left="66"/>
        <w:jc w:val="both"/>
        <w:rPr>
          <w:rFonts w:ascii="Verdana" w:hAnsi="Verdana"/>
          <w:sz w:val="22"/>
          <w:szCs w:val="22"/>
          <w:lang w:val="es-MX"/>
        </w:rPr>
      </w:pPr>
      <w:r w:rsidRPr="0044359A">
        <w:rPr>
          <w:rFonts w:ascii="Verdana" w:hAnsi="Verdana"/>
          <w:sz w:val="22"/>
          <w:szCs w:val="22"/>
          <w:lang w:val="es-MX"/>
        </w:rPr>
        <w:t>Con el ánimo de identificar el impacto de los requisitos de capacidad financiera y organizacional, la Agencia analizó los niveles de cumplimiento de los indicadores propuestos en la nueva versión de los documentos tipo con base en la información de las 5</w:t>
      </w:r>
      <w:r w:rsidR="0044359A" w:rsidRPr="0044359A">
        <w:rPr>
          <w:rFonts w:ascii="Verdana" w:hAnsi="Verdana"/>
          <w:sz w:val="22"/>
          <w:szCs w:val="22"/>
          <w:lang w:val="es-MX"/>
        </w:rPr>
        <w:t>89</w:t>
      </w:r>
      <w:r w:rsidRPr="0044359A">
        <w:rPr>
          <w:rFonts w:ascii="Verdana" w:hAnsi="Verdana"/>
          <w:sz w:val="22"/>
          <w:szCs w:val="22"/>
          <w:lang w:val="es-MX"/>
        </w:rPr>
        <w:t xml:space="preserve"> empresas analizadas. Para ello, se analizaron los niveles de cumplimiento para cada </w:t>
      </w:r>
      <w:r w:rsidRPr="002A4D4B">
        <w:rPr>
          <w:rFonts w:ascii="Verdana" w:hAnsi="Verdana"/>
          <w:sz w:val="22"/>
          <w:szCs w:val="22"/>
          <w:lang w:val="es-MX"/>
        </w:rPr>
        <w:t>rango de indicadores, segmento empresarial y mediante la revisión de procesos de selección adelantados por diferentes Entidades en los últimos años.</w:t>
      </w:r>
    </w:p>
    <w:p w14:paraId="6B6B02C0" w14:textId="77777777" w:rsidR="001360D2" w:rsidRPr="002A4D4B" w:rsidRDefault="001360D2" w:rsidP="001360D2">
      <w:pPr>
        <w:ind w:left="66"/>
        <w:jc w:val="both"/>
        <w:rPr>
          <w:rFonts w:ascii="Verdana" w:hAnsi="Verdana"/>
          <w:sz w:val="22"/>
          <w:szCs w:val="22"/>
          <w:lang w:val="es-MX"/>
        </w:rPr>
      </w:pPr>
    </w:p>
    <w:p w14:paraId="03557B29" w14:textId="66EA5E05" w:rsidR="001360D2" w:rsidRPr="002A4D4B" w:rsidRDefault="001360D2" w:rsidP="001360D2">
      <w:pPr>
        <w:jc w:val="both"/>
        <w:rPr>
          <w:rFonts w:ascii="Verdana" w:hAnsi="Verdana"/>
          <w:b/>
          <w:sz w:val="22"/>
          <w:szCs w:val="22"/>
          <w:lang w:val="es-MX"/>
        </w:rPr>
      </w:pPr>
      <w:r w:rsidRPr="002A4D4B">
        <w:rPr>
          <w:rFonts w:ascii="Verdana" w:hAnsi="Verdana"/>
          <w:b/>
          <w:sz w:val="22"/>
          <w:szCs w:val="22"/>
          <w:lang w:val="es-MX"/>
        </w:rPr>
        <w:t xml:space="preserve">Niveles de cumplimiento Indicadores de capacidad financiera y organizacional – Documentos tipo infraestructura </w:t>
      </w:r>
      <w:r w:rsidR="0044359A" w:rsidRPr="002A4D4B">
        <w:rPr>
          <w:rFonts w:ascii="Verdana" w:hAnsi="Verdana"/>
          <w:b/>
          <w:sz w:val="22"/>
          <w:szCs w:val="22"/>
          <w:lang w:val="es-MX"/>
        </w:rPr>
        <w:t>de agua potable y saneamiento básico</w:t>
      </w:r>
      <w:r w:rsidRPr="002A4D4B">
        <w:rPr>
          <w:rFonts w:ascii="Verdana" w:hAnsi="Verdana"/>
          <w:b/>
          <w:sz w:val="22"/>
          <w:szCs w:val="22"/>
          <w:lang w:val="es-MX"/>
        </w:rPr>
        <w:t xml:space="preserve"> (Obra)</w:t>
      </w:r>
    </w:p>
    <w:p w14:paraId="01628DAB" w14:textId="77777777" w:rsidR="001360D2" w:rsidRPr="002A4D4B" w:rsidRDefault="001360D2" w:rsidP="001360D2">
      <w:pPr>
        <w:jc w:val="both"/>
        <w:rPr>
          <w:rFonts w:ascii="Verdana" w:hAnsi="Verdana"/>
          <w:b/>
          <w:sz w:val="22"/>
          <w:szCs w:val="22"/>
          <w:lang w:val="es-MX"/>
        </w:rPr>
      </w:pPr>
    </w:p>
    <w:p w14:paraId="3CE18E52" w14:textId="5CE4129E" w:rsidR="001360D2" w:rsidRDefault="001360D2" w:rsidP="001360D2">
      <w:pPr>
        <w:jc w:val="both"/>
        <w:rPr>
          <w:rFonts w:ascii="Verdana" w:hAnsi="Verdana"/>
          <w:sz w:val="22"/>
          <w:szCs w:val="22"/>
          <w:lang w:val="es-MX"/>
        </w:rPr>
      </w:pPr>
      <w:r w:rsidRPr="002A4D4B">
        <w:rPr>
          <w:rFonts w:ascii="Verdana" w:hAnsi="Verdana"/>
          <w:sz w:val="22"/>
          <w:szCs w:val="22"/>
          <w:lang w:val="es-MX"/>
        </w:rPr>
        <w:t xml:space="preserve">En esta sección se analiza el nivel de cumplimiento de los indicadores solicitados para todas las empresas (de forma individual y en conjunto), que no acrediten su condición de </w:t>
      </w:r>
      <w:r w:rsidR="007A4815" w:rsidRPr="002A4D4B">
        <w:rPr>
          <w:rFonts w:ascii="Verdana" w:hAnsi="Verdana"/>
          <w:sz w:val="22"/>
          <w:szCs w:val="22"/>
          <w:lang w:val="es-MX"/>
        </w:rPr>
        <w:t>MiPymes</w:t>
      </w:r>
      <w:r w:rsidR="008074C7">
        <w:rPr>
          <w:rStyle w:val="Refdenotaalpie"/>
          <w:rFonts w:ascii="Verdana" w:hAnsi="Verdana"/>
          <w:sz w:val="22"/>
          <w:szCs w:val="22"/>
          <w:lang w:val="es-MX"/>
        </w:rPr>
        <w:footnoteReference w:id="44"/>
      </w:r>
      <w:r w:rsidRPr="002A4D4B">
        <w:rPr>
          <w:rFonts w:ascii="Verdana" w:hAnsi="Verdana"/>
          <w:sz w:val="22"/>
          <w:szCs w:val="22"/>
          <w:lang w:val="es-MX"/>
        </w:rPr>
        <w:t xml:space="preserve"> en cada uno de los rangos:</w:t>
      </w:r>
    </w:p>
    <w:p w14:paraId="341DB848" w14:textId="77777777" w:rsidR="001360D2" w:rsidRPr="00611315" w:rsidRDefault="001360D2" w:rsidP="001360D2">
      <w:pPr>
        <w:jc w:val="center"/>
        <w:rPr>
          <w:rFonts w:ascii="Verdana" w:hAnsi="Verdana"/>
          <w:sz w:val="20"/>
          <w:szCs w:val="20"/>
          <w:highlight w:val="yellow"/>
          <w:lang w:val="es-MX"/>
        </w:rPr>
      </w:pPr>
    </w:p>
    <w:p w14:paraId="733374F3" w14:textId="7070C6CE" w:rsidR="001360D2" w:rsidRPr="002A4D4B" w:rsidRDefault="001360D2" w:rsidP="001360D2">
      <w:pPr>
        <w:pStyle w:val="Descripcin"/>
        <w:spacing w:after="0"/>
        <w:jc w:val="center"/>
        <w:rPr>
          <w:rFonts w:ascii="Verdana" w:hAnsi="Verdana"/>
          <w:sz w:val="22"/>
          <w:szCs w:val="22"/>
          <w:lang w:val="es-MX"/>
        </w:rPr>
      </w:pPr>
      <w:bookmarkStart w:id="449" w:name="_Toc231368681"/>
      <w:r w:rsidRPr="002A4D4B">
        <w:rPr>
          <w:rFonts w:ascii="Verdana" w:hAnsi="Verdana"/>
          <w:sz w:val="22"/>
          <w:szCs w:val="22"/>
        </w:rPr>
        <w:t xml:space="preserve">Tabla </w:t>
      </w:r>
      <w:r w:rsidRPr="002A4D4B">
        <w:rPr>
          <w:rFonts w:ascii="Verdana" w:hAnsi="Verdana"/>
          <w:sz w:val="22"/>
          <w:szCs w:val="22"/>
        </w:rPr>
        <w:fldChar w:fldCharType="begin"/>
      </w:r>
      <w:r w:rsidRPr="002A4D4B">
        <w:rPr>
          <w:rFonts w:ascii="Verdana" w:hAnsi="Verdana"/>
          <w:sz w:val="22"/>
          <w:szCs w:val="22"/>
        </w:rPr>
        <w:instrText xml:space="preserve"> SEQ Tabla \* ARABIC </w:instrText>
      </w:r>
      <w:r w:rsidRPr="002A4D4B">
        <w:rPr>
          <w:rFonts w:ascii="Verdana" w:hAnsi="Verdana"/>
          <w:sz w:val="22"/>
          <w:szCs w:val="22"/>
        </w:rPr>
        <w:fldChar w:fldCharType="separate"/>
      </w:r>
      <w:r w:rsidR="007A4815">
        <w:rPr>
          <w:rFonts w:ascii="Verdana" w:hAnsi="Verdana"/>
          <w:noProof/>
          <w:sz w:val="22"/>
          <w:szCs w:val="22"/>
        </w:rPr>
        <w:t>14</w:t>
      </w:r>
      <w:r w:rsidRPr="002A4D4B">
        <w:rPr>
          <w:rFonts w:ascii="Verdana" w:hAnsi="Verdana"/>
          <w:sz w:val="22"/>
          <w:szCs w:val="22"/>
        </w:rPr>
        <w:fldChar w:fldCharType="end"/>
      </w:r>
      <w:r w:rsidRPr="002A4D4B">
        <w:rPr>
          <w:rFonts w:ascii="Verdana" w:hAnsi="Verdana"/>
          <w:sz w:val="22"/>
          <w:szCs w:val="22"/>
        </w:rPr>
        <w:t>. Rangos SMMLV</w:t>
      </w:r>
      <w:bookmarkEnd w:id="449"/>
    </w:p>
    <w:tbl>
      <w:tblPr>
        <w:tblStyle w:val="Tablaconcuadrcula"/>
        <w:tblW w:w="0" w:type="auto"/>
        <w:jc w:val="center"/>
        <w:tblLook w:val="04A0" w:firstRow="1" w:lastRow="0" w:firstColumn="1" w:lastColumn="0" w:noHBand="0" w:noVBand="1"/>
      </w:tblPr>
      <w:tblGrid>
        <w:gridCol w:w="1896"/>
        <w:gridCol w:w="2059"/>
      </w:tblGrid>
      <w:tr w:rsidR="001360D2" w:rsidRPr="002A4D4B" w14:paraId="40356C85" w14:textId="77777777" w:rsidTr="00921546">
        <w:trPr>
          <w:jc w:val="center"/>
        </w:trPr>
        <w:tc>
          <w:tcPr>
            <w:tcW w:w="0" w:type="auto"/>
            <w:shd w:val="clear" w:color="auto" w:fill="F2F2F2" w:themeFill="background1" w:themeFillShade="F2"/>
          </w:tcPr>
          <w:p w14:paraId="181A8378" w14:textId="77777777" w:rsidR="001360D2" w:rsidRPr="002A4D4B" w:rsidRDefault="001360D2" w:rsidP="00921546">
            <w:pPr>
              <w:jc w:val="center"/>
              <w:rPr>
                <w:rFonts w:ascii="Verdana" w:hAnsi="Verdana"/>
                <w:b/>
                <w:bCs/>
                <w:sz w:val="20"/>
                <w:szCs w:val="20"/>
                <w:lang w:val="es-MX"/>
              </w:rPr>
            </w:pPr>
            <w:r w:rsidRPr="002A4D4B">
              <w:rPr>
                <w:rFonts w:ascii="Verdana" w:hAnsi="Verdana"/>
                <w:b/>
                <w:bCs/>
                <w:sz w:val="20"/>
                <w:szCs w:val="20"/>
                <w:lang w:val="es-MX"/>
              </w:rPr>
              <w:t>Rango 1</w:t>
            </w:r>
          </w:p>
        </w:tc>
        <w:tc>
          <w:tcPr>
            <w:tcW w:w="0" w:type="auto"/>
            <w:shd w:val="clear" w:color="auto" w:fill="F2F2F2" w:themeFill="background1" w:themeFillShade="F2"/>
          </w:tcPr>
          <w:p w14:paraId="4C32495E" w14:textId="77777777" w:rsidR="001360D2" w:rsidRPr="002A4D4B" w:rsidRDefault="001360D2" w:rsidP="00921546">
            <w:pPr>
              <w:jc w:val="center"/>
              <w:rPr>
                <w:rFonts w:ascii="Verdana" w:hAnsi="Verdana"/>
                <w:b/>
                <w:bCs/>
                <w:sz w:val="20"/>
                <w:szCs w:val="20"/>
                <w:lang w:val="es-MX"/>
              </w:rPr>
            </w:pPr>
            <w:r w:rsidRPr="002A4D4B">
              <w:rPr>
                <w:rFonts w:ascii="Verdana" w:hAnsi="Verdana"/>
                <w:b/>
                <w:bCs/>
                <w:sz w:val="20"/>
                <w:szCs w:val="20"/>
                <w:lang w:val="es-MX"/>
              </w:rPr>
              <w:t>Rango 2</w:t>
            </w:r>
          </w:p>
        </w:tc>
      </w:tr>
      <w:tr w:rsidR="001360D2" w:rsidRPr="002A4D4B" w14:paraId="2E75C5A1" w14:textId="77777777" w:rsidTr="00921546">
        <w:trPr>
          <w:jc w:val="center"/>
        </w:trPr>
        <w:tc>
          <w:tcPr>
            <w:tcW w:w="0" w:type="auto"/>
          </w:tcPr>
          <w:p w14:paraId="5C910E32" w14:textId="7F212F5D" w:rsidR="001360D2" w:rsidRPr="002A4D4B" w:rsidRDefault="001360D2" w:rsidP="00921546">
            <w:pPr>
              <w:jc w:val="center"/>
              <w:rPr>
                <w:rFonts w:ascii="Verdana" w:hAnsi="Verdana"/>
                <w:sz w:val="20"/>
                <w:szCs w:val="20"/>
                <w:lang w:val="es-MX"/>
              </w:rPr>
            </w:pPr>
            <w:r w:rsidRPr="002A4D4B">
              <w:rPr>
                <w:rFonts w:ascii="Verdana" w:hAnsi="Verdana"/>
                <w:sz w:val="20"/>
                <w:szCs w:val="20"/>
                <w:lang w:val="es-MX"/>
              </w:rPr>
              <w:t xml:space="preserve">&lt; </w:t>
            </w:r>
            <w:r w:rsidR="00B85D54">
              <w:rPr>
                <w:rFonts w:ascii="Verdana" w:hAnsi="Verdana"/>
                <w:sz w:val="20"/>
                <w:szCs w:val="20"/>
                <w:lang w:val="es-MX"/>
              </w:rPr>
              <w:t>13</w:t>
            </w:r>
            <w:r w:rsidRPr="002A4D4B">
              <w:rPr>
                <w:rFonts w:ascii="Verdana" w:hAnsi="Verdana"/>
                <w:sz w:val="20"/>
                <w:szCs w:val="20"/>
                <w:lang w:val="es-MX"/>
              </w:rPr>
              <w:t xml:space="preserve">.000 </w:t>
            </w:r>
            <w:proofErr w:type="spellStart"/>
            <w:r w:rsidRPr="002A4D4B">
              <w:rPr>
                <w:rFonts w:ascii="Verdana" w:hAnsi="Verdana"/>
                <w:sz w:val="20"/>
                <w:szCs w:val="20"/>
                <w:lang w:val="es-MX"/>
              </w:rPr>
              <w:t>smmlv</w:t>
            </w:r>
            <w:proofErr w:type="spellEnd"/>
          </w:p>
        </w:tc>
        <w:tc>
          <w:tcPr>
            <w:tcW w:w="0" w:type="auto"/>
          </w:tcPr>
          <w:p w14:paraId="43DA72E0" w14:textId="5FE80EE9" w:rsidR="001360D2" w:rsidRPr="002A4D4B" w:rsidRDefault="001360D2" w:rsidP="00921546">
            <w:pPr>
              <w:jc w:val="center"/>
              <w:rPr>
                <w:rFonts w:ascii="Verdana" w:hAnsi="Verdana"/>
                <w:sz w:val="20"/>
                <w:szCs w:val="20"/>
                <w:lang w:val="es-MX"/>
              </w:rPr>
            </w:pPr>
            <w:r w:rsidRPr="002A4D4B">
              <w:rPr>
                <w:rFonts w:ascii="Verdana" w:hAnsi="Verdana"/>
                <w:sz w:val="20"/>
                <w:szCs w:val="20"/>
                <w:lang w:val="es-MX"/>
              </w:rPr>
              <w:t xml:space="preserve">&gt;= </w:t>
            </w:r>
            <w:r w:rsidR="00B85D54">
              <w:rPr>
                <w:rFonts w:ascii="Verdana" w:hAnsi="Verdana"/>
                <w:sz w:val="20"/>
                <w:szCs w:val="20"/>
                <w:lang w:val="es-MX"/>
              </w:rPr>
              <w:t>13</w:t>
            </w:r>
            <w:r w:rsidRPr="002A4D4B">
              <w:rPr>
                <w:rFonts w:ascii="Verdana" w:hAnsi="Verdana"/>
                <w:sz w:val="20"/>
                <w:szCs w:val="20"/>
                <w:lang w:val="es-MX"/>
              </w:rPr>
              <w:t xml:space="preserve">.000 </w:t>
            </w:r>
            <w:proofErr w:type="spellStart"/>
            <w:r w:rsidRPr="002A4D4B">
              <w:rPr>
                <w:rFonts w:ascii="Verdana" w:hAnsi="Verdana"/>
                <w:sz w:val="20"/>
                <w:szCs w:val="20"/>
                <w:lang w:val="es-MX"/>
              </w:rPr>
              <w:t>smmlv</w:t>
            </w:r>
            <w:proofErr w:type="spellEnd"/>
          </w:p>
        </w:tc>
      </w:tr>
    </w:tbl>
    <w:p w14:paraId="5EA31523" w14:textId="77777777" w:rsidR="007A4815" w:rsidRPr="00E158AE" w:rsidRDefault="007A4815" w:rsidP="007A4815">
      <w:pPr>
        <w:pStyle w:val="Prrafodelista"/>
        <w:ind w:left="0"/>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r>
        <w:rPr>
          <w:rFonts w:ascii="Verdana" w:hAnsi="Verdana" w:cs="Arial"/>
          <w:lang w:val="es-MX"/>
        </w:rPr>
        <w:t xml:space="preserve"> </w:t>
      </w:r>
      <w:r w:rsidRPr="00E158AE">
        <w:rPr>
          <w:rFonts w:ascii="Verdana" w:hAnsi="Verdana" w:cs="Arial"/>
          <w:lang w:val="es-MX"/>
        </w:rPr>
        <w:t>(Cifras expresadas en SMMLV)</w:t>
      </w:r>
    </w:p>
    <w:p w14:paraId="3D87BBC8" w14:textId="77777777" w:rsidR="007A4815" w:rsidRDefault="007A4815" w:rsidP="001360D2">
      <w:pPr>
        <w:jc w:val="both"/>
        <w:rPr>
          <w:rFonts w:ascii="Verdana" w:hAnsi="Verdana"/>
          <w:sz w:val="20"/>
          <w:szCs w:val="20"/>
          <w:lang w:val="es-MX"/>
        </w:rPr>
      </w:pPr>
    </w:p>
    <w:p w14:paraId="6F613392" w14:textId="601B8B53" w:rsidR="001360D2" w:rsidRPr="00EC4806" w:rsidRDefault="001360D2" w:rsidP="001360D2">
      <w:pPr>
        <w:pStyle w:val="Descripcin"/>
        <w:spacing w:after="0"/>
        <w:jc w:val="center"/>
        <w:rPr>
          <w:rFonts w:ascii="Verdana" w:hAnsi="Verdana"/>
          <w:sz w:val="22"/>
          <w:szCs w:val="22"/>
        </w:rPr>
      </w:pPr>
      <w:bookmarkStart w:id="450" w:name="_Toc231368682"/>
      <w:r w:rsidRPr="00EC4806">
        <w:rPr>
          <w:rFonts w:ascii="Verdana" w:hAnsi="Verdana"/>
          <w:sz w:val="22"/>
          <w:szCs w:val="22"/>
        </w:rPr>
        <w:t xml:space="preserve">Tabla </w:t>
      </w:r>
      <w:r w:rsidRPr="00EC4806">
        <w:rPr>
          <w:rFonts w:ascii="Verdana" w:hAnsi="Verdana"/>
          <w:sz w:val="22"/>
          <w:szCs w:val="22"/>
        </w:rPr>
        <w:fldChar w:fldCharType="begin"/>
      </w:r>
      <w:r w:rsidRPr="00EC4806">
        <w:rPr>
          <w:rFonts w:ascii="Verdana" w:hAnsi="Verdana"/>
          <w:sz w:val="22"/>
          <w:szCs w:val="22"/>
        </w:rPr>
        <w:instrText xml:space="preserve"> SEQ Tabla \* ARABIC </w:instrText>
      </w:r>
      <w:r w:rsidRPr="00EC4806">
        <w:rPr>
          <w:rFonts w:ascii="Verdana" w:hAnsi="Verdana"/>
          <w:sz w:val="22"/>
          <w:szCs w:val="22"/>
        </w:rPr>
        <w:fldChar w:fldCharType="separate"/>
      </w:r>
      <w:r w:rsidR="00EA7A4C" w:rsidRPr="00EC4806">
        <w:rPr>
          <w:rFonts w:ascii="Verdana" w:hAnsi="Verdana"/>
          <w:noProof/>
          <w:sz w:val="22"/>
          <w:szCs w:val="22"/>
        </w:rPr>
        <w:t>15</w:t>
      </w:r>
      <w:r w:rsidRPr="00EC4806">
        <w:rPr>
          <w:rFonts w:ascii="Verdana" w:hAnsi="Verdana"/>
          <w:sz w:val="22"/>
          <w:szCs w:val="22"/>
        </w:rPr>
        <w:fldChar w:fldCharType="end"/>
      </w:r>
      <w:r w:rsidRPr="00EC4806">
        <w:rPr>
          <w:rFonts w:ascii="Verdana" w:hAnsi="Verdana"/>
          <w:sz w:val="24"/>
          <w:szCs w:val="24"/>
        </w:rPr>
        <w:t>.</w:t>
      </w:r>
      <w:r w:rsidRPr="00EC4806">
        <w:rPr>
          <w:rFonts w:ascii="Verdana" w:hAnsi="Verdana"/>
          <w:sz w:val="22"/>
          <w:szCs w:val="22"/>
        </w:rPr>
        <w:t xml:space="preserve"> Porcentajes de cumplimiento No </w:t>
      </w:r>
      <w:r w:rsidR="00CA406B" w:rsidRPr="00EC4806">
        <w:rPr>
          <w:rFonts w:ascii="Verdana" w:hAnsi="Verdana"/>
          <w:sz w:val="22"/>
          <w:szCs w:val="22"/>
        </w:rPr>
        <w:t>MiPymes</w:t>
      </w:r>
      <w:r w:rsidRPr="00EC4806">
        <w:rPr>
          <w:rFonts w:ascii="Verdana" w:hAnsi="Verdana"/>
          <w:sz w:val="22"/>
          <w:szCs w:val="22"/>
        </w:rPr>
        <w:t xml:space="preserve"> (&gt;=</w:t>
      </w:r>
      <w:r w:rsidR="00B85D54">
        <w:rPr>
          <w:rFonts w:ascii="Verdana" w:hAnsi="Verdana"/>
          <w:sz w:val="22"/>
          <w:szCs w:val="22"/>
        </w:rPr>
        <w:t>13</w:t>
      </w:r>
      <w:r w:rsidRPr="00EC4806">
        <w:rPr>
          <w:rFonts w:ascii="Verdana" w:hAnsi="Verdana"/>
          <w:sz w:val="22"/>
          <w:szCs w:val="22"/>
        </w:rPr>
        <w:t xml:space="preserve">.000 </w:t>
      </w:r>
      <w:proofErr w:type="spellStart"/>
      <w:r w:rsidRPr="00EC4806">
        <w:rPr>
          <w:rFonts w:ascii="Verdana" w:hAnsi="Verdana"/>
          <w:sz w:val="22"/>
          <w:szCs w:val="22"/>
        </w:rPr>
        <w:t>Smmlv</w:t>
      </w:r>
      <w:proofErr w:type="spellEnd"/>
      <w:r w:rsidRPr="00EC4806">
        <w:rPr>
          <w:rFonts w:ascii="Verdana" w:hAnsi="Verdana"/>
          <w:sz w:val="22"/>
          <w:szCs w:val="22"/>
        </w:rPr>
        <w:t>)</w:t>
      </w:r>
      <w:bookmarkEnd w:id="450"/>
    </w:p>
    <w:p w14:paraId="2FC6BAA2" w14:textId="77777777" w:rsidR="006132CF" w:rsidRPr="00EC4806" w:rsidRDefault="006132CF" w:rsidP="006132CF">
      <w:pPr>
        <w:rPr>
          <w:rFonts w:ascii="Verdana" w:hAnsi="Verdana"/>
          <w:lang w:val="es-ES" w:eastAsia="en-US"/>
        </w:rPr>
      </w:pPr>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EC4806" w14:paraId="7ACDDB26" w14:textId="77777777" w:rsidTr="00921546">
        <w:trPr>
          <w:trHeight w:val="315"/>
          <w:tblHeader/>
          <w:jc w:val="center"/>
        </w:trPr>
        <w:tc>
          <w:tcPr>
            <w:tcW w:w="3220" w:type="dxa"/>
            <w:tcBorders>
              <w:top w:val="nil"/>
              <w:left w:val="nil"/>
              <w:bottom w:val="nil"/>
              <w:right w:val="single" w:sz="4" w:space="0" w:color="auto"/>
            </w:tcBorders>
            <w:noWrap/>
            <w:vAlign w:val="bottom"/>
            <w:hideMark/>
          </w:tcPr>
          <w:p w14:paraId="7F0464B7" w14:textId="77777777" w:rsidR="001360D2" w:rsidRPr="00EC4806" w:rsidRDefault="001360D2" w:rsidP="00921546">
            <w:pPr>
              <w:rPr>
                <w:rFonts w:ascii="Verdana" w:hAnsi="Verdana"/>
                <w:lang w:eastAsia="es-CO"/>
              </w:rPr>
            </w:pPr>
          </w:p>
        </w:tc>
        <w:tc>
          <w:tcPr>
            <w:tcW w:w="229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698CA46" w14:textId="7A0954EC" w:rsidR="001360D2" w:rsidRPr="00EC4806" w:rsidRDefault="001360D2" w:rsidP="00921546">
            <w:pPr>
              <w:jc w:val="center"/>
              <w:rPr>
                <w:rFonts w:ascii="Verdana" w:hAnsi="Verdana"/>
                <w:b/>
                <w:bCs/>
                <w:color w:val="000000"/>
                <w:sz w:val="16"/>
                <w:szCs w:val="16"/>
                <w:lang w:eastAsia="es-CO"/>
              </w:rPr>
            </w:pPr>
            <w:r w:rsidRPr="00EC4806">
              <w:rPr>
                <w:rFonts w:ascii="Verdana" w:hAnsi="Verdana"/>
                <w:b/>
                <w:bCs/>
                <w:color w:val="000000"/>
                <w:sz w:val="16"/>
                <w:szCs w:val="16"/>
                <w:lang w:eastAsia="es-CO"/>
              </w:rPr>
              <w:t xml:space="preserve">No </w:t>
            </w:r>
            <w:r w:rsidR="00CA406B" w:rsidRPr="00EC4806">
              <w:rPr>
                <w:rFonts w:ascii="Verdana" w:hAnsi="Verdana"/>
                <w:b/>
                <w:bCs/>
                <w:color w:val="000000"/>
                <w:sz w:val="16"/>
                <w:szCs w:val="16"/>
                <w:lang w:eastAsia="es-CO"/>
              </w:rPr>
              <w:t>MiPymes</w:t>
            </w:r>
            <w:r w:rsidRPr="00EC4806">
              <w:rPr>
                <w:rFonts w:ascii="Verdana" w:hAnsi="Verdana"/>
                <w:b/>
                <w:bCs/>
                <w:color w:val="000000"/>
                <w:sz w:val="16"/>
                <w:szCs w:val="16"/>
                <w:lang w:eastAsia="es-CO"/>
              </w:rPr>
              <w:t xml:space="preserve"> (&gt;= </w:t>
            </w:r>
            <w:r w:rsidR="005C133F">
              <w:rPr>
                <w:rFonts w:ascii="Verdana" w:hAnsi="Verdana"/>
                <w:b/>
                <w:bCs/>
                <w:color w:val="000000"/>
                <w:sz w:val="16"/>
                <w:szCs w:val="16"/>
                <w:lang w:eastAsia="es-CO"/>
              </w:rPr>
              <w:t>13</w:t>
            </w:r>
            <w:r w:rsidRPr="00EC4806">
              <w:rPr>
                <w:rFonts w:ascii="Verdana" w:hAnsi="Verdana"/>
                <w:b/>
                <w:bCs/>
                <w:color w:val="000000"/>
                <w:sz w:val="16"/>
                <w:szCs w:val="16"/>
                <w:lang w:eastAsia="es-CO"/>
              </w:rPr>
              <w:t xml:space="preserve">.000 </w:t>
            </w:r>
            <w:proofErr w:type="spellStart"/>
            <w:r w:rsidRPr="00EC4806">
              <w:rPr>
                <w:rFonts w:ascii="Verdana" w:hAnsi="Verdana"/>
                <w:b/>
                <w:bCs/>
                <w:color w:val="000000"/>
                <w:sz w:val="16"/>
                <w:szCs w:val="16"/>
                <w:lang w:eastAsia="es-CO"/>
              </w:rPr>
              <w:t>Smmlv</w:t>
            </w:r>
            <w:proofErr w:type="spellEnd"/>
            <w:r w:rsidRPr="00EC4806">
              <w:rPr>
                <w:rFonts w:ascii="Verdana" w:hAnsi="Verdana"/>
                <w:b/>
                <w:bCs/>
                <w:color w:val="000000"/>
                <w:sz w:val="16"/>
                <w:szCs w:val="16"/>
                <w:lang w:eastAsia="es-CO"/>
              </w:rPr>
              <w:t>)</w:t>
            </w:r>
          </w:p>
        </w:tc>
        <w:tc>
          <w:tcPr>
            <w:tcW w:w="332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4BAC5" w14:textId="77777777" w:rsidR="001360D2" w:rsidRPr="00EC4806" w:rsidRDefault="001360D2" w:rsidP="00921546">
            <w:pPr>
              <w:jc w:val="center"/>
              <w:rPr>
                <w:rFonts w:ascii="Verdana" w:hAnsi="Verdana"/>
                <w:b/>
                <w:bCs/>
                <w:color w:val="000000"/>
                <w:sz w:val="16"/>
                <w:szCs w:val="16"/>
                <w:lang w:eastAsia="es-CO"/>
              </w:rPr>
            </w:pPr>
            <w:r w:rsidRPr="00EC4806">
              <w:rPr>
                <w:rFonts w:ascii="Verdana" w:hAnsi="Verdana"/>
                <w:b/>
                <w:bCs/>
                <w:color w:val="000000"/>
                <w:sz w:val="16"/>
                <w:szCs w:val="16"/>
                <w:lang w:eastAsia="es-CO"/>
              </w:rPr>
              <w:t>Nivel de cumplimiento</w:t>
            </w:r>
          </w:p>
        </w:tc>
      </w:tr>
      <w:tr w:rsidR="001360D2" w:rsidRPr="00EC4806" w14:paraId="4CA58EC7" w14:textId="77777777" w:rsidTr="00DA2498">
        <w:trPr>
          <w:trHeight w:val="315"/>
          <w:jc w:val="center"/>
        </w:trPr>
        <w:tc>
          <w:tcPr>
            <w:tcW w:w="3220" w:type="dxa"/>
            <w:tcBorders>
              <w:top w:val="nil"/>
              <w:left w:val="nil"/>
              <w:bottom w:val="nil"/>
              <w:right w:val="single" w:sz="4" w:space="0" w:color="auto"/>
            </w:tcBorders>
            <w:noWrap/>
            <w:vAlign w:val="bottom"/>
            <w:hideMark/>
          </w:tcPr>
          <w:p w14:paraId="465D3ADD" w14:textId="77777777" w:rsidR="001360D2" w:rsidRPr="00EC4806" w:rsidRDefault="001360D2" w:rsidP="00921546">
            <w:pPr>
              <w:rPr>
                <w:rFonts w:ascii="Verdana" w:hAnsi="Verdana"/>
                <w:color w:val="000000"/>
                <w:lang w:eastAsia="es-CO"/>
              </w:rPr>
            </w:pPr>
            <w:r w:rsidRPr="00EC4806">
              <w:rPr>
                <w:rFonts w:ascii="Verdana" w:hAnsi="Verdana"/>
                <w:color w:val="000000"/>
                <w:lang w:eastAsia="es-CO"/>
              </w:rPr>
              <w:t>Liquidez</w:t>
            </w:r>
          </w:p>
        </w:tc>
        <w:tc>
          <w:tcPr>
            <w:tcW w:w="2296"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01A80615" w14:textId="04FC8B01"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1,</w:t>
            </w:r>
            <w:r w:rsidR="00EC4806" w:rsidRPr="00EC4806">
              <w:rPr>
                <w:rFonts w:ascii="Verdana" w:hAnsi="Verdana"/>
                <w:color w:val="000000"/>
                <w:lang w:eastAsia="es-CO"/>
              </w:rPr>
              <w:t>4</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25FE0648" w14:textId="1E3BD136"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97,</w:t>
            </w:r>
            <w:r w:rsidR="00DA2498">
              <w:rPr>
                <w:rFonts w:ascii="Verdana" w:hAnsi="Verdana"/>
                <w:color w:val="000000"/>
                <w:lang w:eastAsia="es-CO"/>
              </w:rPr>
              <w:t>79</w:t>
            </w:r>
            <w:r w:rsidRPr="00EC4806">
              <w:rPr>
                <w:rFonts w:ascii="Verdana" w:hAnsi="Verdana"/>
                <w:color w:val="000000"/>
                <w:lang w:eastAsia="es-CO"/>
              </w:rPr>
              <w:t>%</w:t>
            </w:r>
          </w:p>
        </w:tc>
        <w:tc>
          <w:tcPr>
            <w:tcW w:w="1487" w:type="dxa"/>
            <w:vMerge w:val="restart"/>
            <w:tcBorders>
              <w:top w:val="single" w:sz="4" w:space="0" w:color="auto"/>
              <w:left w:val="single" w:sz="4" w:space="0" w:color="auto"/>
              <w:right w:val="single" w:sz="4" w:space="0" w:color="auto"/>
            </w:tcBorders>
            <w:shd w:val="clear" w:color="000000" w:fill="DAE9F8"/>
            <w:vAlign w:val="center"/>
          </w:tcPr>
          <w:p w14:paraId="1D43C9E8" w14:textId="5E3C881C"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8</w:t>
            </w:r>
            <w:r w:rsidR="00AE0F3C">
              <w:rPr>
                <w:rFonts w:ascii="Verdana" w:hAnsi="Verdana"/>
                <w:color w:val="000000"/>
                <w:lang w:eastAsia="es-CO"/>
              </w:rPr>
              <w:t>5</w:t>
            </w:r>
            <w:r w:rsidRPr="00EC4806">
              <w:rPr>
                <w:rFonts w:ascii="Verdana" w:hAnsi="Verdana"/>
                <w:color w:val="000000"/>
                <w:lang w:eastAsia="es-CO"/>
              </w:rPr>
              <w:t>,0</w:t>
            </w:r>
            <w:r w:rsidR="00AE0F3C">
              <w:rPr>
                <w:rFonts w:ascii="Verdana" w:hAnsi="Verdana"/>
                <w:color w:val="000000"/>
                <w:lang w:eastAsia="es-CO"/>
              </w:rPr>
              <w:t>6</w:t>
            </w:r>
            <w:r w:rsidRPr="00EC4806">
              <w:rPr>
                <w:rFonts w:ascii="Verdana" w:hAnsi="Verdana"/>
                <w:color w:val="000000"/>
                <w:lang w:eastAsia="es-CO"/>
              </w:rPr>
              <w:t>%</w:t>
            </w:r>
          </w:p>
        </w:tc>
      </w:tr>
      <w:tr w:rsidR="001360D2" w:rsidRPr="00EC4806" w14:paraId="2DC2EFB5" w14:textId="77777777" w:rsidTr="00DA2498">
        <w:trPr>
          <w:trHeight w:val="315"/>
          <w:jc w:val="center"/>
        </w:trPr>
        <w:tc>
          <w:tcPr>
            <w:tcW w:w="3220" w:type="dxa"/>
            <w:tcBorders>
              <w:top w:val="nil"/>
              <w:left w:val="nil"/>
              <w:bottom w:val="nil"/>
              <w:right w:val="single" w:sz="4" w:space="0" w:color="auto"/>
            </w:tcBorders>
            <w:noWrap/>
            <w:vAlign w:val="bottom"/>
            <w:hideMark/>
          </w:tcPr>
          <w:p w14:paraId="0663410D" w14:textId="77777777" w:rsidR="001360D2" w:rsidRPr="00EC4806" w:rsidRDefault="001360D2" w:rsidP="00921546">
            <w:pPr>
              <w:rPr>
                <w:rFonts w:ascii="Verdana" w:hAnsi="Verdana"/>
                <w:color w:val="000000"/>
                <w:lang w:eastAsia="es-CO"/>
              </w:rPr>
            </w:pPr>
            <w:r w:rsidRPr="00EC4806">
              <w:rPr>
                <w:rFonts w:ascii="Verdana" w:hAnsi="Verdana"/>
                <w:color w:val="000000"/>
                <w:lang w:eastAsia="es-CO"/>
              </w:rPr>
              <w:t>Endeudamiento</w:t>
            </w:r>
          </w:p>
        </w:tc>
        <w:tc>
          <w:tcPr>
            <w:tcW w:w="2296"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28C335F0" w14:textId="2BB0C77C"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0,7</w:t>
            </w:r>
            <w:r w:rsidR="00FB6BDC">
              <w:rPr>
                <w:rFonts w:ascii="Verdana" w:hAnsi="Verdana"/>
                <w:color w:val="000000"/>
                <w:lang w:eastAsia="es-CO"/>
              </w:rPr>
              <w:t>5</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63F90417" w14:textId="79C6D700"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9</w:t>
            </w:r>
            <w:r w:rsidR="00DA2498">
              <w:rPr>
                <w:rFonts w:ascii="Verdana" w:hAnsi="Verdana"/>
                <w:color w:val="000000"/>
                <w:lang w:eastAsia="es-CO"/>
              </w:rPr>
              <w:t>7,4</w:t>
            </w:r>
            <w:r w:rsidRPr="00EC4806">
              <w:rPr>
                <w:rFonts w:ascii="Verdana" w:hAnsi="Verdana"/>
                <w:color w:val="000000"/>
                <w:lang w:eastAsia="es-CO"/>
              </w:rPr>
              <w:t>5%</w:t>
            </w:r>
          </w:p>
        </w:tc>
        <w:tc>
          <w:tcPr>
            <w:tcW w:w="1487" w:type="dxa"/>
            <w:vMerge/>
            <w:tcBorders>
              <w:left w:val="single" w:sz="4" w:space="0" w:color="auto"/>
              <w:right w:val="single" w:sz="4" w:space="0" w:color="auto"/>
            </w:tcBorders>
            <w:shd w:val="clear" w:color="000000" w:fill="DAE9F8"/>
          </w:tcPr>
          <w:p w14:paraId="631EC045" w14:textId="77777777" w:rsidR="001360D2" w:rsidRPr="00EC4806" w:rsidRDefault="001360D2" w:rsidP="00921546">
            <w:pPr>
              <w:jc w:val="center"/>
              <w:rPr>
                <w:rFonts w:ascii="Verdana" w:hAnsi="Verdana"/>
                <w:color w:val="000000"/>
                <w:lang w:eastAsia="es-CO"/>
              </w:rPr>
            </w:pPr>
          </w:p>
        </w:tc>
      </w:tr>
      <w:tr w:rsidR="001360D2" w:rsidRPr="00EC4806" w14:paraId="030B2D49" w14:textId="77777777" w:rsidTr="00DA2498">
        <w:trPr>
          <w:trHeight w:val="315"/>
          <w:jc w:val="center"/>
        </w:trPr>
        <w:tc>
          <w:tcPr>
            <w:tcW w:w="3220" w:type="dxa"/>
            <w:tcBorders>
              <w:top w:val="nil"/>
              <w:left w:val="nil"/>
              <w:bottom w:val="nil"/>
              <w:right w:val="single" w:sz="4" w:space="0" w:color="auto"/>
            </w:tcBorders>
            <w:noWrap/>
            <w:vAlign w:val="bottom"/>
            <w:hideMark/>
          </w:tcPr>
          <w:p w14:paraId="2A72C806" w14:textId="77777777" w:rsidR="001360D2" w:rsidRPr="00EC4806" w:rsidRDefault="001360D2" w:rsidP="00921546">
            <w:pPr>
              <w:rPr>
                <w:rFonts w:ascii="Verdana" w:hAnsi="Verdana"/>
                <w:color w:val="000000"/>
                <w:lang w:eastAsia="es-CO"/>
              </w:rPr>
            </w:pPr>
            <w:r w:rsidRPr="00EC4806">
              <w:rPr>
                <w:rFonts w:ascii="Verdana" w:hAnsi="Verdana"/>
                <w:color w:val="000000"/>
                <w:lang w:eastAsia="es-CO"/>
              </w:rPr>
              <w:t>Razón de cobertura de interés</w:t>
            </w:r>
          </w:p>
        </w:tc>
        <w:tc>
          <w:tcPr>
            <w:tcW w:w="2296"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10705CC8" w14:textId="77777777"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1</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41A42CE3" w14:textId="1DF1848D"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9</w:t>
            </w:r>
            <w:r w:rsidR="00AB48EE">
              <w:rPr>
                <w:rFonts w:ascii="Verdana" w:hAnsi="Verdana"/>
                <w:color w:val="000000"/>
                <w:lang w:eastAsia="es-CO"/>
              </w:rPr>
              <w:t>8</w:t>
            </w:r>
            <w:r w:rsidRPr="00EC4806">
              <w:rPr>
                <w:rFonts w:ascii="Verdana" w:hAnsi="Verdana"/>
                <w:color w:val="000000"/>
                <w:lang w:eastAsia="es-CO"/>
              </w:rPr>
              <w:t>,</w:t>
            </w:r>
            <w:r w:rsidR="00AB48EE">
              <w:rPr>
                <w:rFonts w:ascii="Verdana" w:hAnsi="Verdana"/>
                <w:color w:val="000000"/>
                <w:lang w:eastAsia="es-CO"/>
              </w:rPr>
              <w:t>30</w:t>
            </w:r>
            <w:r w:rsidRPr="00EC4806">
              <w:rPr>
                <w:rFonts w:ascii="Verdana" w:hAnsi="Verdana"/>
                <w:color w:val="000000"/>
                <w:lang w:eastAsia="es-CO"/>
              </w:rPr>
              <w:t>%</w:t>
            </w:r>
          </w:p>
        </w:tc>
        <w:tc>
          <w:tcPr>
            <w:tcW w:w="1487" w:type="dxa"/>
            <w:vMerge/>
            <w:tcBorders>
              <w:left w:val="single" w:sz="4" w:space="0" w:color="auto"/>
              <w:right w:val="single" w:sz="4" w:space="0" w:color="auto"/>
            </w:tcBorders>
            <w:shd w:val="clear" w:color="000000" w:fill="DAE9F8"/>
          </w:tcPr>
          <w:p w14:paraId="525ADE33" w14:textId="77777777" w:rsidR="001360D2" w:rsidRPr="00EC4806" w:rsidRDefault="001360D2" w:rsidP="00921546">
            <w:pPr>
              <w:jc w:val="center"/>
              <w:rPr>
                <w:rFonts w:ascii="Verdana" w:hAnsi="Verdana"/>
                <w:color w:val="000000"/>
                <w:lang w:eastAsia="es-CO"/>
              </w:rPr>
            </w:pPr>
          </w:p>
        </w:tc>
      </w:tr>
      <w:tr w:rsidR="001360D2" w:rsidRPr="00EC4806" w14:paraId="593FBE54" w14:textId="77777777" w:rsidTr="00DA2498">
        <w:trPr>
          <w:trHeight w:val="315"/>
          <w:jc w:val="center"/>
        </w:trPr>
        <w:tc>
          <w:tcPr>
            <w:tcW w:w="3220" w:type="dxa"/>
            <w:tcBorders>
              <w:top w:val="nil"/>
              <w:left w:val="nil"/>
              <w:bottom w:val="nil"/>
              <w:right w:val="single" w:sz="4" w:space="0" w:color="auto"/>
            </w:tcBorders>
            <w:noWrap/>
            <w:vAlign w:val="bottom"/>
            <w:hideMark/>
          </w:tcPr>
          <w:p w14:paraId="5ED50C6E" w14:textId="77777777" w:rsidR="001360D2" w:rsidRPr="00EC4806" w:rsidRDefault="001360D2" w:rsidP="00921546">
            <w:pPr>
              <w:rPr>
                <w:rFonts w:ascii="Verdana" w:hAnsi="Verdana"/>
                <w:color w:val="000000"/>
                <w:lang w:eastAsia="es-CO"/>
              </w:rPr>
            </w:pPr>
            <w:r w:rsidRPr="00EC4806">
              <w:rPr>
                <w:rFonts w:ascii="Verdana" w:hAnsi="Verdana"/>
                <w:color w:val="000000"/>
                <w:lang w:eastAsia="es-CO"/>
              </w:rPr>
              <w:t>Rentabilidad sobre Patrimonio</w:t>
            </w:r>
          </w:p>
        </w:tc>
        <w:tc>
          <w:tcPr>
            <w:tcW w:w="2296"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2E4AB9AC" w14:textId="6818ABBC"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0,0</w:t>
            </w:r>
            <w:r w:rsidR="00EC4806" w:rsidRPr="00EC4806">
              <w:rPr>
                <w:rFonts w:ascii="Verdana" w:hAnsi="Verdana"/>
                <w:color w:val="000000"/>
                <w:lang w:eastAsia="es-CO"/>
              </w:rPr>
              <w:t>5</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03C1C092" w14:textId="1BF56813"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8</w:t>
            </w:r>
            <w:r w:rsidR="00AB48EE">
              <w:rPr>
                <w:rFonts w:ascii="Verdana" w:hAnsi="Verdana"/>
                <w:color w:val="000000"/>
                <w:lang w:eastAsia="es-CO"/>
              </w:rPr>
              <w:t>9</w:t>
            </w:r>
            <w:r w:rsidRPr="00EC4806">
              <w:rPr>
                <w:rFonts w:ascii="Verdana" w:hAnsi="Verdana"/>
                <w:color w:val="000000"/>
                <w:lang w:eastAsia="es-CO"/>
              </w:rPr>
              <w:t>,</w:t>
            </w:r>
            <w:r w:rsidR="00AB48EE">
              <w:rPr>
                <w:rFonts w:ascii="Verdana" w:hAnsi="Verdana"/>
                <w:color w:val="000000"/>
                <w:lang w:eastAsia="es-CO"/>
              </w:rPr>
              <w:t>81</w:t>
            </w:r>
            <w:r w:rsidRPr="00EC4806">
              <w:rPr>
                <w:rFonts w:ascii="Verdana" w:hAnsi="Verdana"/>
                <w:color w:val="000000"/>
                <w:lang w:eastAsia="es-CO"/>
              </w:rPr>
              <w:t>%</w:t>
            </w:r>
          </w:p>
        </w:tc>
        <w:tc>
          <w:tcPr>
            <w:tcW w:w="1487" w:type="dxa"/>
            <w:vMerge/>
            <w:tcBorders>
              <w:left w:val="single" w:sz="4" w:space="0" w:color="auto"/>
              <w:right w:val="single" w:sz="4" w:space="0" w:color="auto"/>
            </w:tcBorders>
            <w:shd w:val="clear" w:color="000000" w:fill="DAE9F8"/>
          </w:tcPr>
          <w:p w14:paraId="3B0566A6" w14:textId="77777777" w:rsidR="001360D2" w:rsidRPr="00EC4806" w:rsidRDefault="001360D2" w:rsidP="00921546">
            <w:pPr>
              <w:jc w:val="center"/>
              <w:rPr>
                <w:rFonts w:ascii="Verdana" w:hAnsi="Verdana"/>
                <w:color w:val="000000"/>
                <w:lang w:eastAsia="es-CO"/>
              </w:rPr>
            </w:pPr>
          </w:p>
        </w:tc>
      </w:tr>
      <w:tr w:rsidR="001360D2" w:rsidRPr="00EC4806" w14:paraId="12C20273" w14:textId="77777777" w:rsidTr="00DA2498">
        <w:trPr>
          <w:trHeight w:val="315"/>
          <w:jc w:val="center"/>
        </w:trPr>
        <w:tc>
          <w:tcPr>
            <w:tcW w:w="3220" w:type="dxa"/>
            <w:tcBorders>
              <w:top w:val="nil"/>
              <w:left w:val="nil"/>
              <w:bottom w:val="nil"/>
              <w:right w:val="single" w:sz="4" w:space="0" w:color="auto"/>
            </w:tcBorders>
            <w:noWrap/>
            <w:vAlign w:val="bottom"/>
            <w:hideMark/>
          </w:tcPr>
          <w:p w14:paraId="7D75760D" w14:textId="77777777" w:rsidR="001360D2" w:rsidRPr="00EC4806" w:rsidRDefault="001360D2" w:rsidP="00921546">
            <w:pPr>
              <w:rPr>
                <w:rFonts w:ascii="Verdana" w:hAnsi="Verdana"/>
                <w:color w:val="000000"/>
                <w:lang w:eastAsia="es-CO"/>
              </w:rPr>
            </w:pPr>
            <w:r w:rsidRPr="00EC4806">
              <w:rPr>
                <w:rFonts w:ascii="Verdana" w:hAnsi="Verdana"/>
                <w:color w:val="000000"/>
                <w:lang w:eastAsia="es-CO"/>
              </w:rPr>
              <w:t>Rentabilidad sobre Activo</w:t>
            </w:r>
          </w:p>
        </w:tc>
        <w:tc>
          <w:tcPr>
            <w:tcW w:w="2296" w:type="dxa"/>
            <w:tcBorders>
              <w:top w:val="single" w:sz="4" w:space="0" w:color="auto"/>
              <w:left w:val="single" w:sz="4" w:space="0" w:color="auto"/>
              <w:bottom w:val="single" w:sz="4" w:space="0" w:color="auto"/>
              <w:right w:val="single" w:sz="4" w:space="0" w:color="auto"/>
            </w:tcBorders>
            <w:shd w:val="clear" w:color="000000" w:fill="DAE9F8"/>
            <w:noWrap/>
            <w:vAlign w:val="center"/>
            <w:hideMark/>
          </w:tcPr>
          <w:p w14:paraId="1E3ED340" w14:textId="17F8D030"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0,0</w:t>
            </w:r>
            <w:r w:rsidR="00EC4806" w:rsidRPr="00EC4806">
              <w:rPr>
                <w:rFonts w:ascii="Verdana" w:hAnsi="Verdana"/>
                <w:color w:val="000000"/>
                <w:lang w:eastAsia="es-CO"/>
              </w:rPr>
              <w:t>3</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6B3B01E8" w14:textId="78E69E56" w:rsidR="001360D2" w:rsidRPr="00EC4806" w:rsidRDefault="001360D2" w:rsidP="00921546">
            <w:pPr>
              <w:jc w:val="center"/>
              <w:rPr>
                <w:rFonts w:ascii="Verdana" w:hAnsi="Verdana"/>
                <w:color w:val="000000"/>
                <w:lang w:eastAsia="es-CO"/>
              </w:rPr>
            </w:pPr>
            <w:r w:rsidRPr="00EC4806">
              <w:rPr>
                <w:rFonts w:ascii="Verdana" w:hAnsi="Verdana"/>
                <w:color w:val="000000"/>
                <w:lang w:eastAsia="es-CO"/>
              </w:rPr>
              <w:t>9</w:t>
            </w:r>
            <w:r w:rsidR="00AB48EE">
              <w:rPr>
                <w:rFonts w:ascii="Verdana" w:hAnsi="Verdana"/>
                <w:color w:val="000000"/>
                <w:lang w:eastAsia="es-CO"/>
              </w:rPr>
              <w:t>1</w:t>
            </w:r>
            <w:r w:rsidRPr="00EC4806">
              <w:rPr>
                <w:rFonts w:ascii="Verdana" w:hAnsi="Verdana"/>
                <w:color w:val="000000"/>
                <w:lang w:eastAsia="es-CO"/>
              </w:rPr>
              <w:t>,</w:t>
            </w:r>
            <w:r w:rsidR="00AB48EE">
              <w:rPr>
                <w:rFonts w:ascii="Verdana" w:hAnsi="Verdana"/>
                <w:color w:val="000000"/>
                <w:lang w:eastAsia="es-CO"/>
              </w:rPr>
              <w:t>51</w:t>
            </w:r>
            <w:r w:rsidRPr="00EC4806">
              <w:rPr>
                <w:rFonts w:ascii="Verdana" w:hAnsi="Verdana"/>
                <w:color w:val="000000"/>
                <w:lang w:eastAsia="es-CO"/>
              </w:rPr>
              <w:t>%</w:t>
            </w:r>
          </w:p>
        </w:tc>
        <w:tc>
          <w:tcPr>
            <w:tcW w:w="1487" w:type="dxa"/>
            <w:vMerge/>
            <w:tcBorders>
              <w:left w:val="single" w:sz="4" w:space="0" w:color="auto"/>
              <w:bottom w:val="single" w:sz="4" w:space="0" w:color="auto"/>
              <w:right w:val="single" w:sz="4" w:space="0" w:color="auto"/>
            </w:tcBorders>
            <w:shd w:val="clear" w:color="000000" w:fill="DAE9F8"/>
          </w:tcPr>
          <w:p w14:paraId="51C5224F" w14:textId="77777777" w:rsidR="001360D2" w:rsidRPr="00EC4806" w:rsidRDefault="001360D2" w:rsidP="00921546">
            <w:pPr>
              <w:jc w:val="center"/>
              <w:rPr>
                <w:rFonts w:ascii="Verdana" w:hAnsi="Verdana"/>
                <w:color w:val="000000"/>
                <w:lang w:eastAsia="es-CO"/>
              </w:rPr>
            </w:pPr>
          </w:p>
        </w:tc>
      </w:tr>
    </w:tbl>
    <w:p w14:paraId="37E4AFC6" w14:textId="77777777" w:rsidR="001360D2" w:rsidRPr="00EC4806" w:rsidRDefault="001360D2" w:rsidP="001360D2">
      <w:pPr>
        <w:jc w:val="both"/>
        <w:rPr>
          <w:rFonts w:ascii="Verdana" w:hAnsi="Verdana"/>
          <w:b/>
          <w:bCs/>
          <w:sz w:val="20"/>
          <w:szCs w:val="20"/>
          <w:lang w:val="es-MX"/>
        </w:rPr>
      </w:pPr>
    </w:p>
    <w:p w14:paraId="5B380908" w14:textId="7A0ED6A9" w:rsidR="001360D2" w:rsidRPr="00611315" w:rsidRDefault="005C133F" w:rsidP="005C133F">
      <w:pPr>
        <w:jc w:val="center"/>
        <w:rPr>
          <w:rFonts w:ascii="Verdana" w:hAnsi="Verdana"/>
          <w:b/>
          <w:bCs/>
          <w:sz w:val="20"/>
          <w:szCs w:val="20"/>
          <w:highlight w:val="yellow"/>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0FBF6A66" w14:textId="2F9CFB7A" w:rsidR="001360D2" w:rsidRPr="00AE0F3C" w:rsidRDefault="001360D2" w:rsidP="001360D2">
      <w:pPr>
        <w:pStyle w:val="Descripcin"/>
        <w:spacing w:after="0"/>
        <w:jc w:val="center"/>
        <w:rPr>
          <w:rFonts w:ascii="Verdana" w:hAnsi="Verdana"/>
          <w:sz w:val="22"/>
          <w:szCs w:val="22"/>
        </w:rPr>
      </w:pPr>
      <w:bookmarkStart w:id="451" w:name="_Toc231368683"/>
      <w:r w:rsidRPr="00AE0F3C">
        <w:rPr>
          <w:rFonts w:ascii="Verdana" w:hAnsi="Verdana"/>
          <w:sz w:val="22"/>
          <w:szCs w:val="22"/>
        </w:rPr>
        <w:lastRenderedPageBreak/>
        <w:t xml:space="preserve">Tabla </w:t>
      </w:r>
      <w:r w:rsidRPr="00AE0F3C">
        <w:rPr>
          <w:rFonts w:ascii="Verdana" w:hAnsi="Verdana"/>
          <w:sz w:val="22"/>
          <w:szCs w:val="22"/>
        </w:rPr>
        <w:fldChar w:fldCharType="begin"/>
      </w:r>
      <w:r w:rsidRPr="00AE0F3C">
        <w:rPr>
          <w:rFonts w:ascii="Verdana" w:hAnsi="Verdana"/>
          <w:sz w:val="22"/>
          <w:szCs w:val="22"/>
        </w:rPr>
        <w:instrText xml:space="preserve"> SEQ Tabla \* ARABIC </w:instrText>
      </w:r>
      <w:r w:rsidRPr="00AE0F3C">
        <w:rPr>
          <w:rFonts w:ascii="Verdana" w:hAnsi="Verdana"/>
          <w:sz w:val="22"/>
          <w:szCs w:val="22"/>
        </w:rPr>
        <w:fldChar w:fldCharType="separate"/>
      </w:r>
      <w:r w:rsidR="00AE0F3C" w:rsidRPr="00AE0F3C">
        <w:rPr>
          <w:rFonts w:ascii="Verdana" w:hAnsi="Verdana"/>
          <w:noProof/>
          <w:sz w:val="22"/>
          <w:szCs w:val="22"/>
        </w:rPr>
        <w:t>16</w:t>
      </w:r>
      <w:r w:rsidRPr="00AE0F3C">
        <w:rPr>
          <w:rFonts w:ascii="Verdana" w:hAnsi="Verdana"/>
          <w:sz w:val="22"/>
          <w:szCs w:val="22"/>
        </w:rPr>
        <w:fldChar w:fldCharType="end"/>
      </w:r>
      <w:r w:rsidRPr="00AE0F3C">
        <w:rPr>
          <w:rFonts w:ascii="Verdana" w:hAnsi="Verdana"/>
          <w:sz w:val="24"/>
          <w:szCs w:val="24"/>
        </w:rPr>
        <w:t>.</w:t>
      </w:r>
      <w:r w:rsidRPr="00AE0F3C">
        <w:rPr>
          <w:rFonts w:ascii="Verdana" w:hAnsi="Verdana"/>
          <w:sz w:val="22"/>
          <w:szCs w:val="22"/>
        </w:rPr>
        <w:t xml:space="preserve"> Porcentajes de cumplimiento No </w:t>
      </w:r>
      <w:r w:rsidR="00CA406B" w:rsidRPr="00AE0F3C">
        <w:rPr>
          <w:rFonts w:ascii="Verdana" w:hAnsi="Verdana"/>
          <w:sz w:val="22"/>
          <w:szCs w:val="22"/>
        </w:rPr>
        <w:t>MiPymes</w:t>
      </w:r>
      <w:r w:rsidRPr="00AE0F3C">
        <w:rPr>
          <w:rFonts w:ascii="Verdana" w:hAnsi="Verdana"/>
          <w:sz w:val="22"/>
          <w:szCs w:val="22"/>
        </w:rPr>
        <w:t xml:space="preserve"> (&lt;</w:t>
      </w:r>
      <w:r w:rsidR="00B85D54">
        <w:rPr>
          <w:rFonts w:ascii="Verdana" w:hAnsi="Verdana"/>
          <w:sz w:val="22"/>
          <w:szCs w:val="22"/>
        </w:rPr>
        <w:t>13</w:t>
      </w:r>
      <w:r w:rsidRPr="00AE0F3C">
        <w:rPr>
          <w:rFonts w:ascii="Verdana" w:hAnsi="Verdana"/>
          <w:sz w:val="22"/>
          <w:szCs w:val="22"/>
        </w:rPr>
        <w:t xml:space="preserve">.000 </w:t>
      </w:r>
      <w:proofErr w:type="spellStart"/>
      <w:r w:rsidRPr="00AE0F3C">
        <w:rPr>
          <w:rFonts w:ascii="Verdana" w:hAnsi="Verdana"/>
          <w:sz w:val="22"/>
          <w:szCs w:val="22"/>
        </w:rPr>
        <w:t>Smmlv</w:t>
      </w:r>
      <w:proofErr w:type="spellEnd"/>
      <w:r w:rsidRPr="00AE0F3C">
        <w:rPr>
          <w:rFonts w:ascii="Verdana" w:hAnsi="Verdana"/>
          <w:sz w:val="22"/>
          <w:szCs w:val="22"/>
        </w:rPr>
        <w:t>)</w:t>
      </w:r>
      <w:bookmarkEnd w:id="451"/>
    </w:p>
    <w:p w14:paraId="5C968FA3" w14:textId="77777777" w:rsidR="006132CF" w:rsidRPr="00AE0F3C" w:rsidRDefault="006132CF" w:rsidP="006132CF">
      <w:pPr>
        <w:rPr>
          <w:rFonts w:ascii="Verdana" w:hAnsi="Verdana"/>
          <w:lang w:val="es-ES" w:eastAsia="en-US"/>
        </w:rPr>
      </w:pPr>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AE0F3C" w14:paraId="797EAD07" w14:textId="77777777" w:rsidTr="00921546">
        <w:trPr>
          <w:trHeight w:val="315"/>
          <w:jc w:val="center"/>
        </w:trPr>
        <w:tc>
          <w:tcPr>
            <w:tcW w:w="3220" w:type="dxa"/>
            <w:tcBorders>
              <w:top w:val="nil"/>
              <w:left w:val="nil"/>
              <w:bottom w:val="nil"/>
              <w:right w:val="single" w:sz="4" w:space="0" w:color="auto"/>
            </w:tcBorders>
            <w:noWrap/>
            <w:vAlign w:val="bottom"/>
            <w:hideMark/>
          </w:tcPr>
          <w:p w14:paraId="3D619383" w14:textId="77777777" w:rsidR="001360D2" w:rsidRPr="00AE0F3C" w:rsidRDefault="001360D2" w:rsidP="00921546">
            <w:pPr>
              <w:rPr>
                <w:rFonts w:ascii="Verdana" w:hAnsi="Verdana"/>
                <w:lang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6364D4DD" w14:textId="1FADC98D" w:rsidR="001360D2" w:rsidRPr="00AE0F3C" w:rsidRDefault="001360D2" w:rsidP="00921546">
            <w:pPr>
              <w:jc w:val="center"/>
              <w:rPr>
                <w:rFonts w:ascii="Verdana" w:hAnsi="Verdana"/>
                <w:b/>
                <w:bCs/>
                <w:color w:val="000000"/>
                <w:sz w:val="16"/>
                <w:szCs w:val="16"/>
                <w:lang w:eastAsia="es-CO"/>
              </w:rPr>
            </w:pPr>
            <w:r w:rsidRPr="00AE0F3C">
              <w:rPr>
                <w:rFonts w:ascii="Verdana" w:hAnsi="Verdana"/>
                <w:b/>
                <w:bCs/>
                <w:color w:val="000000"/>
                <w:sz w:val="16"/>
                <w:szCs w:val="16"/>
              </w:rPr>
              <w:t xml:space="preserve">No </w:t>
            </w:r>
            <w:r w:rsidR="00CA406B" w:rsidRPr="00AE0F3C">
              <w:rPr>
                <w:rFonts w:ascii="Verdana" w:hAnsi="Verdana"/>
                <w:b/>
                <w:bCs/>
                <w:color w:val="000000"/>
                <w:sz w:val="16"/>
                <w:szCs w:val="16"/>
              </w:rPr>
              <w:t>MiPymes</w:t>
            </w:r>
            <w:r w:rsidRPr="00AE0F3C">
              <w:rPr>
                <w:rFonts w:ascii="Verdana" w:hAnsi="Verdana"/>
                <w:b/>
                <w:bCs/>
                <w:color w:val="000000"/>
                <w:sz w:val="16"/>
                <w:szCs w:val="16"/>
              </w:rPr>
              <w:t xml:space="preserve"> (&lt; </w:t>
            </w:r>
            <w:r w:rsidR="005C133F">
              <w:rPr>
                <w:rFonts w:ascii="Verdana" w:hAnsi="Verdana"/>
                <w:b/>
                <w:bCs/>
                <w:color w:val="000000"/>
                <w:sz w:val="16"/>
                <w:szCs w:val="16"/>
              </w:rPr>
              <w:t>13</w:t>
            </w:r>
            <w:r w:rsidRPr="00AE0F3C">
              <w:rPr>
                <w:rFonts w:ascii="Verdana" w:hAnsi="Verdana"/>
                <w:b/>
                <w:bCs/>
                <w:color w:val="000000"/>
                <w:sz w:val="16"/>
                <w:szCs w:val="16"/>
              </w:rPr>
              <w:t xml:space="preserve">.000 </w:t>
            </w:r>
            <w:proofErr w:type="spellStart"/>
            <w:r w:rsidRPr="00AE0F3C">
              <w:rPr>
                <w:rFonts w:ascii="Verdana" w:hAnsi="Verdana"/>
                <w:b/>
                <w:bCs/>
                <w:color w:val="000000"/>
                <w:sz w:val="16"/>
                <w:szCs w:val="16"/>
              </w:rPr>
              <w:t>Smmlv</w:t>
            </w:r>
            <w:proofErr w:type="spellEnd"/>
            <w:r w:rsidRPr="00AE0F3C">
              <w:rPr>
                <w:rFonts w:ascii="Verdana" w:hAnsi="Verdana"/>
                <w:b/>
                <w:bCs/>
                <w:color w:val="000000"/>
                <w:sz w:val="16"/>
                <w:szCs w:val="16"/>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2E471F0B" w14:textId="77777777" w:rsidR="001360D2" w:rsidRPr="00AE0F3C" w:rsidRDefault="001360D2" w:rsidP="00921546">
            <w:pPr>
              <w:jc w:val="center"/>
              <w:rPr>
                <w:rFonts w:ascii="Verdana" w:hAnsi="Verdana"/>
                <w:b/>
                <w:bCs/>
                <w:color w:val="000000"/>
                <w:sz w:val="16"/>
                <w:szCs w:val="16"/>
                <w:lang w:eastAsia="es-CO"/>
              </w:rPr>
            </w:pPr>
            <w:r w:rsidRPr="00AE0F3C">
              <w:rPr>
                <w:rFonts w:ascii="Verdana" w:hAnsi="Verdana"/>
                <w:b/>
                <w:bCs/>
                <w:color w:val="000000"/>
                <w:sz w:val="16"/>
                <w:szCs w:val="16"/>
                <w:lang w:eastAsia="es-CO"/>
              </w:rPr>
              <w:t>Nivel de cumplimiento</w:t>
            </w:r>
          </w:p>
        </w:tc>
      </w:tr>
      <w:tr w:rsidR="001360D2" w:rsidRPr="00AE0F3C" w14:paraId="694DD68D" w14:textId="77777777" w:rsidTr="00425C42">
        <w:trPr>
          <w:trHeight w:val="315"/>
          <w:jc w:val="center"/>
        </w:trPr>
        <w:tc>
          <w:tcPr>
            <w:tcW w:w="3220" w:type="dxa"/>
            <w:tcBorders>
              <w:top w:val="nil"/>
              <w:left w:val="nil"/>
              <w:bottom w:val="nil"/>
              <w:right w:val="single" w:sz="4" w:space="0" w:color="auto"/>
            </w:tcBorders>
            <w:noWrap/>
            <w:vAlign w:val="bottom"/>
            <w:hideMark/>
          </w:tcPr>
          <w:p w14:paraId="0BC0E30D" w14:textId="77777777" w:rsidR="001360D2" w:rsidRPr="00AE0F3C" w:rsidRDefault="001360D2" w:rsidP="00921546">
            <w:pPr>
              <w:rPr>
                <w:rFonts w:ascii="Verdana" w:hAnsi="Verdana"/>
                <w:color w:val="000000"/>
                <w:lang w:eastAsia="es-CO"/>
              </w:rPr>
            </w:pPr>
            <w:r w:rsidRPr="00AE0F3C">
              <w:rPr>
                <w:rFonts w:ascii="Verdana" w:hAnsi="Verdana"/>
                <w:color w:val="000000"/>
                <w:lang w:eastAsia="es-CO"/>
              </w:rPr>
              <w:t>Liquidez</w:t>
            </w:r>
          </w:p>
        </w:tc>
        <w:tc>
          <w:tcPr>
            <w:tcW w:w="2296" w:type="dxa"/>
            <w:tcBorders>
              <w:top w:val="single" w:sz="4" w:space="0" w:color="auto"/>
              <w:left w:val="single" w:sz="8" w:space="0" w:color="auto"/>
              <w:bottom w:val="single" w:sz="8" w:space="0" w:color="auto"/>
              <w:right w:val="single" w:sz="8" w:space="0" w:color="auto"/>
            </w:tcBorders>
            <w:shd w:val="clear" w:color="000000" w:fill="DAE9F8"/>
            <w:noWrap/>
            <w:vAlign w:val="center"/>
            <w:hideMark/>
          </w:tcPr>
          <w:p w14:paraId="01D326CB" w14:textId="2B883CF8" w:rsidR="001360D2" w:rsidRPr="00AE0F3C" w:rsidRDefault="001360D2" w:rsidP="00921546">
            <w:pPr>
              <w:jc w:val="center"/>
              <w:rPr>
                <w:rFonts w:ascii="Verdana" w:hAnsi="Verdana"/>
                <w:color w:val="000000"/>
                <w:lang w:eastAsia="es-CO"/>
              </w:rPr>
            </w:pPr>
            <w:r w:rsidRPr="00AE0F3C">
              <w:rPr>
                <w:rFonts w:ascii="Verdana" w:hAnsi="Verdana"/>
                <w:color w:val="000000"/>
              </w:rPr>
              <w:t>1,</w:t>
            </w:r>
            <w:r w:rsidR="00425C42">
              <w:rPr>
                <w:rFonts w:ascii="Verdana" w:hAnsi="Verdana"/>
                <w:color w:val="000000"/>
              </w:rPr>
              <w:t>3</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1C83EEA6" w14:textId="43EC8C2A" w:rsidR="001360D2" w:rsidRPr="00AE0F3C" w:rsidRDefault="001360D2" w:rsidP="00921546">
            <w:pPr>
              <w:jc w:val="center"/>
              <w:rPr>
                <w:rFonts w:ascii="Verdana" w:hAnsi="Verdana"/>
                <w:color w:val="000000"/>
                <w:lang w:eastAsia="es-CO"/>
              </w:rPr>
            </w:pPr>
            <w:r w:rsidRPr="00AE0F3C">
              <w:rPr>
                <w:rFonts w:ascii="Verdana" w:hAnsi="Verdana"/>
                <w:color w:val="000000"/>
                <w:lang w:eastAsia="es-CO"/>
              </w:rPr>
              <w:t>9</w:t>
            </w:r>
            <w:r w:rsidR="004372C1">
              <w:rPr>
                <w:rFonts w:ascii="Verdana" w:hAnsi="Verdana"/>
                <w:color w:val="000000"/>
                <w:lang w:eastAsia="es-CO"/>
              </w:rPr>
              <w:t>8</w:t>
            </w:r>
            <w:r w:rsidRPr="00AE0F3C">
              <w:rPr>
                <w:rFonts w:ascii="Verdana" w:hAnsi="Verdana"/>
                <w:color w:val="000000"/>
                <w:lang w:eastAsia="es-CO"/>
              </w:rPr>
              <w:t>,</w:t>
            </w:r>
            <w:r w:rsidR="004372C1">
              <w:rPr>
                <w:rFonts w:ascii="Verdana" w:hAnsi="Verdana"/>
                <w:color w:val="000000"/>
                <w:lang w:eastAsia="es-CO"/>
              </w:rPr>
              <w:t>47</w:t>
            </w:r>
            <w:r w:rsidRPr="00AE0F3C">
              <w:rPr>
                <w:rFonts w:ascii="Verdana" w:hAnsi="Verdana"/>
                <w:color w:val="000000"/>
                <w:lang w:eastAsia="es-CO"/>
              </w:rPr>
              <w:t>%</w:t>
            </w:r>
          </w:p>
        </w:tc>
        <w:tc>
          <w:tcPr>
            <w:tcW w:w="1487" w:type="dxa"/>
            <w:vMerge w:val="restart"/>
            <w:tcBorders>
              <w:top w:val="single" w:sz="4" w:space="0" w:color="auto"/>
              <w:left w:val="single" w:sz="4" w:space="0" w:color="auto"/>
              <w:right w:val="single" w:sz="4" w:space="0" w:color="auto"/>
            </w:tcBorders>
            <w:shd w:val="clear" w:color="000000" w:fill="DAE9F8"/>
            <w:vAlign w:val="center"/>
          </w:tcPr>
          <w:p w14:paraId="0C6712ED" w14:textId="5AD9518C" w:rsidR="001360D2" w:rsidRPr="00AE0F3C" w:rsidRDefault="001360D2" w:rsidP="00921546">
            <w:pPr>
              <w:jc w:val="center"/>
              <w:rPr>
                <w:rFonts w:ascii="Verdana" w:hAnsi="Verdana"/>
                <w:color w:val="000000"/>
                <w:lang w:eastAsia="es-CO"/>
              </w:rPr>
            </w:pPr>
            <w:r w:rsidRPr="00AE0F3C">
              <w:rPr>
                <w:rFonts w:ascii="Verdana" w:hAnsi="Verdana"/>
                <w:color w:val="000000"/>
                <w:lang w:eastAsia="es-CO"/>
              </w:rPr>
              <w:t>8</w:t>
            </w:r>
            <w:r w:rsidR="006A4817">
              <w:rPr>
                <w:rFonts w:ascii="Verdana" w:hAnsi="Verdana"/>
                <w:color w:val="000000"/>
                <w:lang w:eastAsia="es-CO"/>
              </w:rPr>
              <w:t>8</w:t>
            </w:r>
            <w:r w:rsidRPr="00AE0F3C">
              <w:rPr>
                <w:rFonts w:ascii="Verdana" w:hAnsi="Verdana"/>
                <w:color w:val="000000"/>
                <w:lang w:eastAsia="es-CO"/>
              </w:rPr>
              <w:t>,</w:t>
            </w:r>
            <w:r w:rsidR="006A4817">
              <w:rPr>
                <w:rFonts w:ascii="Verdana" w:hAnsi="Verdana"/>
                <w:color w:val="000000"/>
                <w:lang w:eastAsia="es-CO"/>
              </w:rPr>
              <w:t>12</w:t>
            </w:r>
            <w:r w:rsidRPr="00AE0F3C">
              <w:rPr>
                <w:rFonts w:ascii="Verdana" w:hAnsi="Verdana"/>
                <w:color w:val="000000"/>
                <w:lang w:eastAsia="es-CO"/>
              </w:rPr>
              <w:t>%</w:t>
            </w:r>
          </w:p>
        </w:tc>
      </w:tr>
      <w:tr w:rsidR="001360D2" w:rsidRPr="00AE0F3C" w14:paraId="09434BE7" w14:textId="77777777" w:rsidTr="00425C42">
        <w:trPr>
          <w:trHeight w:val="315"/>
          <w:jc w:val="center"/>
        </w:trPr>
        <w:tc>
          <w:tcPr>
            <w:tcW w:w="3220" w:type="dxa"/>
            <w:tcBorders>
              <w:top w:val="nil"/>
              <w:left w:val="nil"/>
              <w:bottom w:val="nil"/>
              <w:right w:val="single" w:sz="4" w:space="0" w:color="auto"/>
            </w:tcBorders>
            <w:noWrap/>
            <w:vAlign w:val="bottom"/>
            <w:hideMark/>
          </w:tcPr>
          <w:p w14:paraId="6A2CD1DC" w14:textId="77777777" w:rsidR="001360D2" w:rsidRPr="00AE0F3C" w:rsidRDefault="001360D2" w:rsidP="00921546">
            <w:pPr>
              <w:rPr>
                <w:rFonts w:ascii="Verdana" w:hAnsi="Verdana"/>
                <w:color w:val="000000"/>
                <w:lang w:eastAsia="es-CO"/>
              </w:rPr>
            </w:pPr>
            <w:r w:rsidRPr="00AE0F3C">
              <w:rPr>
                <w:rFonts w:ascii="Verdana" w:hAnsi="Verdana"/>
                <w:color w:val="000000"/>
                <w:lang w:eastAsia="es-CO"/>
              </w:rPr>
              <w:t>Endeudamiento</w:t>
            </w:r>
          </w:p>
        </w:tc>
        <w:tc>
          <w:tcPr>
            <w:tcW w:w="2296" w:type="dxa"/>
            <w:tcBorders>
              <w:top w:val="nil"/>
              <w:left w:val="single" w:sz="8" w:space="0" w:color="auto"/>
              <w:bottom w:val="single" w:sz="8" w:space="0" w:color="auto"/>
              <w:right w:val="single" w:sz="8" w:space="0" w:color="auto"/>
            </w:tcBorders>
            <w:shd w:val="clear" w:color="000000" w:fill="DAE9F8"/>
            <w:noWrap/>
            <w:vAlign w:val="center"/>
            <w:hideMark/>
          </w:tcPr>
          <w:p w14:paraId="547BE1AD" w14:textId="77777777" w:rsidR="001360D2" w:rsidRPr="00AE0F3C" w:rsidRDefault="001360D2" w:rsidP="00921546">
            <w:pPr>
              <w:jc w:val="center"/>
              <w:rPr>
                <w:rFonts w:ascii="Verdana" w:hAnsi="Verdana"/>
                <w:color w:val="000000"/>
                <w:lang w:eastAsia="es-CO"/>
              </w:rPr>
            </w:pPr>
            <w:r w:rsidRPr="00AE0F3C">
              <w:rPr>
                <w:rFonts w:ascii="Verdana" w:hAnsi="Verdana"/>
                <w:color w:val="000000"/>
              </w:rPr>
              <w:t>0,70</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2F8D943F" w14:textId="5F6EB5FE" w:rsidR="001360D2" w:rsidRPr="00AE0F3C" w:rsidRDefault="001360D2" w:rsidP="00921546">
            <w:pPr>
              <w:jc w:val="center"/>
              <w:rPr>
                <w:rFonts w:ascii="Verdana" w:hAnsi="Verdana"/>
                <w:color w:val="000000"/>
                <w:lang w:eastAsia="es-CO"/>
              </w:rPr>
            </w:pPr>
            <w:r w:rsidRPr="00AE0F3C">
              <w:rPr>
                <w:rFonts w:ascii="Verdana" w:hAnsi="Verdana"/>
                <w:color w:val="000000"/>
                <w:lang w:eastAsia="es-CO"/>
              </w:rPr>
              <w:t>9</w:t>
            </w:r>
            <w:r w:rsidR="004372C1">
              <w:rPr>
                <w:rFonts w:ascii="Verdana" w:hAnsi="Verdana"/>
                <w:color w:val="000000"/>
                <w:lang w:eastAsia="es-CO"/>
              </w:rPr>
              <w:t>6</w:t>
            </w:r>
            <w:r w:rsidRPr="00AE0F3C">
              <w:rPr>
                <w:rFonts w:ascii="Verdana" w:hAnsi="Verdana"/>
                <w:color w:val="000000"/>
                <w:lang w:eastAsia="es-CO"/>
              </w:rPr>
              <w:t>,</w:t>
            </w:r>
            <w:r w:rsidR="004372C1">
              <w:rPr>
                <w:rFonts w:ascii="Verdana" w:hAnsi="Verdana"/>
                <w:color w:val="000000"/>
                <w:lang w:eastAsia="es-CO"/>
              </w:rPr>
              <w:t>10</w:t>
            </w:r>
            <w:r w:rsidRPr="00AE0F3C">
              <w:rPr>
                <w:rFonts w:ascii="Verdana" w:hAnsi="Verdana"/>
                <w:color w:val="000000"/>
                <w:lang w:eastAsia="es-CO"/>
              </w:rPr>
              <w:t>%</w:t>
            </w:r>
          </w:p>
        </w:tc>
        <w:tc>
          <w:tcPr>
            <w:tcW w:w="1487" w:type="dxa"/>
            <w:vMerge/>
            <w:tcBorders>
              <w:left w:val="single" w:sz="4" w:space="0" w:color="auto"/>
              <w:right w:val="single" w:sz="4" w:space="0" w:color="auto"/>
            </w:tcBorders>
            <w:shd w:val="clear" w:color="000000" w:fill="DAE9F8"/>
          </w:tcPr>
          <w:p w14:paraId="657D0C07" w14:textId="77777777" w:rsidR="001360D2" w:rsidRPr="00AE0F3C" w:rsidRDefault="001360D2" w:rsidP="00921546">
            <w:pPr>
              <w:jc w:val="center"/>
              <w:rPr>
                <w:rFonts w:ascii="Verdana" w:hAnsi="Verdana"/>
                <w:color w:val="000000"/>
                <w:lang w:eastAsia="es-CO"/>
              </w:rPr>
            </w:pPr>
          </w:p>
        </w:tc>
      </w:tr>
      <w:tr w:rsidR="001360D2" w:rsidRPr="00AE0F3C" w14:paraId="40B792DA" w14:textId="77777777" w:rsidTr="00425C42">
        <w:trPr>
          <w:trHeight w:val="315"/>
          <w:jc w:val="center"/>
        </w:trPr>
        <w:tc>
          <w:tcPr>
            <w:tcW w:w="3220" w:type="dxa"/>
            <w:tcBorders>
              <w:top w:val="nil"/>
              <w:left w:val="nil"/>
              <w:bottom w:val="nil"/>
              <w:right w:val="single" w:sz="4" w:space="0" w:color="auto"/>
            </w:tcBorders>
            <w:noWrap/>
            <w:vAlign w:val="bottom"/>
            <w:hideMark/>
          </w:tcPr>
          <w:p w14:paraId="75C38AD9" w14:textId="77777777" w:rsidR="001360D2" w:rsidRPr="00AE0F3C" w:rsidRDefault="001360D2" w:rsidP="00921546">
            <w:pPr>
              <w:rPr>
                <w:rFonts w:ascii="Verdana" w:hAnsi="Verdana"/>
                <w:color w:val="000000"/>
                <w:lang w:eastAsia="es-CO"/>
              </w:rPr>
            </w:pPr>
            <w:r w:rsidRPr="00AE0F3C">
              <w:rPr>
                <w:rFonts w:ascii="Verdana" w:hAnsi="Verdana"/>
                <w:color w:val="000000"/>
                <w:lang w:eastAsia="es-CO"/>
              </w:rPr>
              <w:t>Razón de cobertura de interés</w:t>
            </w:r>
          </w:p>
        </w:tc>
        <w:tc>
          <w:tcPr>
            <w:tcW w:w="2296" w:type="dxa"/>
            <w:tcBorders>
              <w:top w:val="nil"/>
              <w:left w:val="single" w:sz="8" w:space="0" w:color="auto"/>
              <w:bottom w:val="single" w:sz="8" w:space="0" w:color="auto"/>
              <w:right w:val="single" w:sz="8" w:space="0" w:color="auto"/>
            </w:tcBorders>
            <w:shd w:val="clear" w:color="000000" w:fill="DAE9F8"/>
            <w:noWrap/>
            <w:vAlign w:val="center"/>
            <w:hideMark/>
          </w:tcPr>
          <w:p w14:paraId="69B28DEE" w14:textId="77777777" w:rsidR="001360D2" w:rsidRPr="00AE0F3C" w:rsidRDefault="001360D2" w:rsidP="00921546">
            <w:pPr>
              <w:jc w:val="center"/>
              <w:rPr>
                <w:rFonts w:ascii="Verdana" w:hAnsi="Verdana"/>
                <w:color w:val="000000"/>
                <w:lang w:eastAsia="es-CO"/>
              </w:rPr>
            </w:pPr>
            <w:r w:rsidRPr="00AE0F3C">
              <w:rPr>
                <w:rFonts w:ascii="Verdana" w:hAnsi="Verdana"/>
                <w:color w:val="000000"/>
              </w:rPr>
              <w:t>1</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01FBE145" w14:textId="65628F96" w:rsidR="001360D2" w:rsidRPr="00AE0F3C" w:rsidRDefault="001360D2" w:rsidP="00921546">
            <w:pPr>
              <w:jc w:val="center"/>
              <w:rPr>
                <w:rFonts w:ascii="Verdana" w:hAnsi="Verdana"/>
                <w:color w:val="000000"/>
                <w:lang w:eastAsia="es-CO"/>
              </w:rPr>
            </w:pPr>
            <w:r w:rsidRPr="00AE0F3C">
              <w:rPr>
                <w:rFonts w:ascii="Verdana" w:hAnsi="Verdana"/>
                <w:color w:val="000000"/>
                <w:lang w:eastAsia="es-CO"/>
              </w:rPr>
              <w:t>9</w:t>
            </w:r>
            <w:r w:rsidR="004372C1">
              <w:rPr>
                <w:rFonts w:ascii="Verdana" w:hAnsi="Verdana"/>
                <w:color w:val="000000"/>
                <w:lang w:eastAsia="es-CO"/>
              </w:rPr>
              <w:t>8</w:t>
            </w:r>
            <w:r w:rsidRPr="00AE0F3C">
              <w:rPr>
                <w:rFonts w:ascii="Verdana" w:hAnsi="Verdana"/>
                <w:color w:val="000000"/>
                <w:lang w:eastAsia="es-CO"/>
              </w:rPr>
              <w:t>,</w:t>
            </w:r>
            <w:r w:rsidR="004372C1">
              <w:rPr>
                <w:rFonts w:ascii="Verdana" w:hAnsi="Verdana"/>
                <w:color w:val="000000"/>
                <w:lang w:eastAsia="es-CO"/>
              </w:rPr>
              <w:t>30</w:t>
            </w:r>
            <w:r w:rsidRPr="00AE0F3C">
              <w:rPr>
                <w:rFonts w:ascii="Verdana" w:hAnsi="Verdana"/>
                <w:color w:val="000000"/>
                <w:lang w:eastAsia="es-CO"/>
              </w:rPr>
              <w:t>%</w:t>
            </w:r>
          </w:p>
        </w:tc>
        <w:tc>
          <w:tcPr>
            <w:tcW w:w="1487" w:type="dxa"/>
            <w:vMerge/>
            <w:tcBorders>
              <w:left w:val="single" w:sz="4" w:space="0" w:color="auto"/>
              <w:right w:val="single" w:sz="4" w:space="0" w:color="auto"/>
            </w:tcBorders>
            <w:shd w:val="clear" w:color="000000" w:fill="DAE9F8"/>
          </w:tcPr>
          <w:p w14:paraId="36FDC692" w14:textId="77777777" w:rsidR="001360D2" w:rsidRPr="00AE0F3C" w:rsidRDefault="001360D2" w:rsidP="00921546">
            <w:pPr>
              <w:jc w:val="center"/>
              <w:rPr>
                <w:rFonts w:ascii="Verdana" w:hAnsi="Verdana"/>
                <w:color w:val="000000"/>
                <w:lang w:eastAsia="es-CO"/>
              </w:rPr>
            </w:pPr>
          </w:p>
        </w:tc>
      </w:tr>
      <w:tr w:rsidR="001360D2" w:rsidRPr="00AE0F3C" w14:paraId="5EC8048E" w14:textId="77777777" w:rsidTr="00425C42">
        <w:trPr>
          <w:trHeight w:val="315"/>
          <w:jc w:val="center"/>
        </w:trPr>
        <w:tc>
          <w:tcPr>
            <w:tcW w:w="3220" w:type="dxa"/>
            <w:tcBorders>
              <w:top w:val="nil"/>
              <w:left w:val="nil"/>
              <w:bottom w:val="nil"/>
              <w:right w:val="single" w:sz="4" w:space="0" w:color="auto"/>
            </w:tcBorders>
            <w:noWrap/>
            <w:vAlign w:val="bottom"/>
            <w:hideMark/>
          </w:tcPr>
          <w:p w14:paraId="5D898E6F" w14:textId="77777777" w:rsidR="001360D2" w:rsidRPr="00AE0F3C" w:rsidRDefault="001360D2" w:rsidP="00921546">
            <w:pPr>
              <w:rPr>
                <w:rFonts w:ascii="Verdana" w:hAnsi="Verdana"/>
                <w:color w:val="000000"/>
                <w:lang w:eastAsia="es-CO"/>
              </w:rPr>
            </w:pPr>
            <w:r w:rsidRPr="00AE0F3C">
              <w:rPr>
                <w:rFonts w:ascii="Verdana" w:hAnsi="Verdana"/>
                <w:color w:val="000000"/>
                <w:lang w:eastAsia="es-CO"/>
              </w:rPr>
              <w:t>Rentabilidad sobre Patrimonio</w:t>
            </w:r>
          </w:p>
        </w:tc>
        <w:tc>
          <w:tcPr>
            <w:tcW w:w="2296" w:type="dxa"/>
            <w:tcBorders>
              <w:top w:val="nil"/>
              <w:left w:val="single" w:sz="8" w:space="0" w:color="auto"/>
              <w:bottom w:val="single" w:sz="8" w:space="0" w:color="auto"/>
              <w:right w:val="single" w:sz="8" w:space="0" w:color="auto"/>
            </w:tcBorders>
            <w:shd w:val="clear" w:color="000000" w:fill="DAE9F8"/>
            <w:noWrap/>
            <w:vAlign w:val="center"/>
            <w:hideMark/>
          </w:tcPr>
          <w:p w14:paraId="012A1EFB" w14:textId="77777777" w:rsidR="001360D2" w:rsidRPr="00AE0F3C" w:rsidRDefault="001360D2" w:rsidP="00921546">
            <w:pPr>
              <w:jc w:val="center"/>
              <w:rPr>
                <w:rFonts w:ascii="Verdana" w:hAnsi="Verdana"/>
                <w:color w:val="000000"/>
                <w:lang w:eastAsia="es-CO"/>
              </w:rPr>
            </w:pPr>
            <w:r w:rsidRPr="00AE0F3C">
              <w:rPr>
                <w:rFonts w:ascii="Verdana" w:hAnsi="Verdana"/>
                <w:color w:val="000000"/>
              </w:rPr>
              <w:t>0,04</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47F330D1" w14:textId="7324104D" w:rsidR="001360D2" w:rsidRPr="00AE0F3C" w:rsidRDefault="004372C1" w:rsidP="00921546">
            <w:pPr>
              <w:jc w:val="center"/>
              <w:rPr>
                <w:rFonts w:ascii="Verdana" w:hAnsi="Verdana"/>
                <w:color w:val="000000"/>
                <w:lang w:eastAsia="es-CO"/>
              </w:rPr>
            </w:pPr>
            <w:r>
              <w:rPr>
                <w:rFonts w:ascii="Verdana" w:hAnsi="Verdana"/>
                <w:color w:val="000000"/>
                <w:lang w:eastAsia="es-CO"/>
              </w:rPr>
              <w:t>92</w:t>
            </w:r>
            <w:r w:rsidR="001360D2" w:rsidRPr="00AE0F3C">
              <w:rPr>
                <w:rFonts w:ascii="Verdana" w:hAnsi="Verdana"/>
                <w:color w:val="000000"/>
                <w:lang w:eastAsia="es-CO"/>
              </w:rPr>
              <w:t>,5</w:t>
            </w:r>
            <w:r>
              <w:rPr>
                <w:rFonts w:ascii="Verdana" w:hAnsi="Verdana"/>
                <w:color w:val="000000"/>
                <w:lang w:eastAsia="es-CO"/>
              </w:rPr>
              <w:t>3</w:t>
            </w:r>
            <w:r w:rsidR="001360D2" w:rsidRPr="00AE0F3C">
              <w:rPr>
                <w:rFonts w:ascii="Verdana" w:hAnsi="Verdana"/>
                <w:color w:val="000000"/>
                <w:lang w:eastAsia="es-CO"/>
              </w:rPr>
              <w:t>%</w:t>
            </w:r>
          </w:p>
        </w:tc>
        <w:tc>
          <w:tcPr>
            <w:tcW w:w="1487" w:type="dxa"/>
            <w:vMerge/>
            <w:tcBorders>
              <w:left w:val="single" w:sz="4" w:space="0" w:color="auto"/>
              <w:right w:val="single" w:sz="4" w:space="0" w:color="auto"/>
            </w:tcBorders>
            <w:shd w:val="clear" w:color="000000" w:fill="DAE9F8"/>
          </w:tcPr>
          <w:p w14:paraId="57A48D27" w14:textId="77777777" w:rsidR="001360D2" w:rsidRPr="00AE0F3C" w:rsidRDefault="001360D2" w:rsidP="00921546">
            <w:pPr>
              <w:jc w:val="center"/>
              <w:rPr>
                <w:rFonts w:ascii="Verdana" w:hAnsi="Verdana"/>
                <w:color w:val="000000"/>
                <w:lang w:eastAsia="es-CO"/>
              </w:rPr>
            </w:pPr>
          </w:p>
        </w:tc>
      </w:tr>
      <w:tr w:rsidR="001360D2" w:rsidRPr="00AE0F3C" w14:paraId="1A991CF5" w14:textId="77777777" w:rsidTr="00425C42">
        <w:trPr>
          <w:trHeight w:val="315"/>
          <w:jc w:val="center"/>
        </w:trPr>
        <w:tc>
          <w:tcPr>
            <w:tcW w:w="3220" w:type="dxa"/>
            <w:tcBorders>
              <w:top w:val="nil"/>
              <w:left w:val="nil"/>
              <w:bottom w:val="nil"/>
              <w:right w:val="single" w:sz="4" w:space="0" w:color="auto"/>
            </w:tcBorders>
            <w:noWrap/>
            <w:vAlign w:val="bottom"/>
            <w:hideMark/>
          </w:tcPr>
          <w:p w14:paraId="3A63B14D" w14:textId="77777777" w:rsidR="001360D2" w:rsidRPr="00AE0F3C" w:rsidRDefault="001360D2" w:rsidP="00921546">
            <w:pPr>
              <w:rPr>
                <w:rFonts w:ascii="Verdana" w:hAnsi="Verdana"/>
                <w:color w:val="000000"/>
                <w:lang w:eastAsia="es-CO"/>
              </w:rPr>
            </w:pPr>
            <w:r w:rsidRPr="00AE0F3C">
              <w:rPr>
                <w:rFonts w:ascii="Verdana" w:hAnsi="Verdana"/>
                <w:color w:val="000000"/>
                <w:lang w:eastAsia="es-CO"/>
              </w:rPr>
              <w:t>Rentabilidad sobre Activo</w:t>
            </w:r>
          </w:p>
        </w:tc>
        <w:tc>
          <w:tcPr>
            <w:tcW w:w="2296" w:type="dxa"/>
            <w:tcBorders>
              <w:top w:val="nil"/>
              <w:left w:val="single" w:sz="8" w:space="0" w:color="auto"/>
              <w:bottom w:val="single" w:sz="8" w:space="0" w:color="auto"/>
              <w:right w:val="single" w:sz="8" w:space="0" w:color="auto"/>
            </w:tcBorders>
            <w:shd w:val="clear" w:color="000000" w:fill="DAE9F8"/>
            <w:noWrap/>
            <w:vAlign w:val="center"/>
            <w:hideMark/>
          </w:tcPr>
          <w:p w14:paraId="1D95982A" w14:textId="77777777" w:rsidR="001360D2" w:rsidRPr="00AE0F3C" w:rsidRDefault="001360D2" w:rsidP="00921546">
            <w:pPr>
              <w:jc w:val="center"/>
              <w:rPr>
                <w:rFonts w:ascii="Verdana" w:hAnsi="Verdana"/>
                <w:color w:val="000000"/>
                <w:lang w:eastAsia="es-CO"/>
              </w:rPr>
            </w:pPr>
            <w:r w:rsidRPr="00AE0F3C">
              <w:rPr>
                <w:rFonts w:ascii="Verdana" w:hAnsi="Verdana"/>
                <w:color w:val="000000"/>
              </w:rPr>
              <w:t>0,02</w:t>
            </w:r>
          </w:p>
        </w:tc>
        <w:tc>
          <w:tcPr>
            <w:tcW w:w="1835" w:type="dxa"/>
            <w:tcBorders>
              <w:top w:val="single" w:sz="4" w:space="0" w:color="auto"/>
              <w:left w:val="single" w:sz="4" w:space="0" w:color="auto"/>
              <w:bottom w:val="single" w:sz="4" w:space="0" w:color="auto"/>
              <w:right w:val="single" w:sz="4" w:space="0" w:color="auto"/>
            </w:tcBorders>
            <w:shd w:val="clear" w:color="000000" w:fill="DAE9F8"/>
            <w:vAlign w:val="center"/>
          </w:tcPr>
          <w:p w14:paraId="0EFB37C9" w14:textId="01075303" w:rsidR="001360D2" w:rsidRPr="00AE0F3C" w:rsidRDefault="001360D2" w:rsidP="00921546">
            <w:pPr>
              <w:jc w:val="center"/>
              <w:rPr>
                <w:rFonts w:ascii="Verdana" w:hAnsi="Verdana"/>
                <w:color w:val="000000"/>
                <w:lang w:eastAsia="es-CO"/>
              </w:rPr>
            </w:pPr>
            <w:r w:rsidRPr="00AE0F3C">
              <w:rPr>
                <w:rFonts w:ascii="Verdana" w:hAnsi="Verdana"/>
                <w:color w:val="000000"/>
                <w:lang w:eastAsia="es-CO"/>
              </w:rPr>
              <w:t>9</w:t>
            </w:r>
            <w:r w:rsidR="006A4817">
              <w:rPr>
                <w:rFonts w:ascii="Verdana" w:hAnsi="Verdana"/>
                <w:color w:val="000000"/>
                <w:lang w:eastAsia="es-CO"/>
              </w:rPr>
              <w:t>4</w:t>
            </w:r>
            <w:r w:rsidRPr="00AE0F3C">
              <w:rPr>
                <w:rFonts w:ascii="Verdana" w:hAnsi="Verdana"/>
                <w:color w:val="000000"/>
                <w:lang w:eastAsia="es-CO"/>
              </w:rPr>
              <w:t>,</w:t>
            </w:r>
            <w:r w:rsidR="006A4817">
              <w:rPr>
                <w:rFonts w:ascii="Verdana" w:hAnsi="Verdana"/>
                <w:color w:val="000000"/>
                <w:lang w:eastAsia="es-CO"/>
              </w:rPr>
              <w:t>23</w:t>
            </w:r>
            <w:r w:rsidRPr="00AE0F3C">
              <w:rPr>
                <w:rFonts w:ascii="Verdana" w:hAnsi="Verdana"/>
                <w:color w:val="000000"/>
                <w:lang w:eastAsia="es-CO"/>
              </w:rPr>
              <w:t>%</w:t>
            </w:r>
          </w:p>
        </w:tc>
        <w:tc>
          <w:tcPr>
            <w:tcW w:w="1487" w:type="dxa"/>
            <w:vMerge/>
            <w:tcBorders>
              <w:left w:val="single" w:sz="4" w:space="0" w:color="auto"/>
              <w:bottom w:val="single" w:sz="4" w:space="0" w:color="auto"/>
              <w:right w:val="single" w:sz="4" w:space="0" w:color="auto"/>
            </w:tcBorders>
            <w:shd w:val="clear" w:color="000000" w:fill="DAE9F8"/>
          </w:tcPr>
          <w:p w14:paraId="5697DA28" w14:textId="77777777" w:rsidR="001360D2" w:rsidRPr="00AE0F3C" w:rsidRDefault="001360D2" w:rsidP="00921546">
            <w:pPr>
              <w:jc w:val="center"/>
              <w:rPr>
                <w:rFonts w:ascii="Verdana" w:hAnsi="Verdana"/>
                <w:color w:val="000000"/>
                <w:lang w:eastAsia="es-CO"/>
              </w:rPr>
            </w:pPr>
          </w:p>
        </w:tc>
      </w:tr>
    </w:tbl>
    <w:p w14:paraId="7EF8901B" w14:textId="77777777" w:rsidR="001360D2" w:rsidRPr="00AE0F3C" w:rsidRDefault="001360D2" w:rsidP="001360D2">
      <w:pPr>
        <w:ind w:left="66"/>
        <w:jc w:val="both"/>
        <w:rPr>
          <w:rFonts w:ascii="Verdana" w:hAnsi="Verdana"/>
          <w:sz w:val="20"/>
          <w:szCs w:val="20"/>
          <w:lang w:val="es-MX"/>
        </w:rPr>
      </w:pPr>
    </w:p>
    <w:p w14:paraId="20BD695A" w14:textId="264E0250" w:rsidR="001360D2" w:rsidRPr="00AE0F3C" w:rsidRDefault="005C133F" w:rsidP="005C133F">
      <w:pPr>
        <w:jc w:val="center"/>
        <w:rPr>
          <w:rFonts w:ascii="Verdana" w:hAnsi="Verdana"/>
          <w:sz w:val="20"/>
          <w:szCs w:val="20"/>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24EB4AD6" w14:textId="77777777" w:rsidR="006132CF" w:rsidRPr="00611315" w:rsidRDefault="006132CF" w:rsidP="001360D2">
      <w:pPr>
        <w:ind w:left="66"/>
        <w:jc w:val="both"/>
        <w:rPr>
          <w:rFonts w:ascii="Verdana" w:hAnsi="Verdana"/>
          <w:sz w:val="20"/>
          <w:szCs w:val="20"/>
          <w:highlight w:val="yellow"/>
          <w:lang w:val="es-MX"/>
        </w:rPr>
      </w:pPr>
    </w:p>
    <w:p w14:paraId="5A44D3DB" w14:textId="51A7F4DD" w:rsidR="001360D2" w:rsidRPr="00F6701E" w:rsidRDefault="001360D2" w:rsidP="001360D2">
      <w:pPr>
        <w:ind w:left="66"/>
        <w:jc w:val="both"/>
        <w:rPr>
          <w:rFonts w:ascii="Verdana" w:hAnsi="Verdana"/>
          <w:sz w:val="22"/>
          <w:szCs w:val="22"/>
          <w:lang w:val="es-MX"/>
        </w:rPr>
      </w:pPr>
      <w:r w:rsidRPr="00F6701E">
        <w:rPr>
          <w:rFonts w:ascii="Verdana" w:hAnsi="Verdana"/>
          <w:sz w:val="22"/>
          <w:szCs w:val="22"/>
          <w:lang w:val="es-MX"/>
        </w:rPr>
        <w:t xml:space="preserve">A continuación, se analizan todos los requisitos de capacidad financiera y organizacional indicadores solicitados en el rango 2 para No </w:t>
      </w:r>
      <w:r w:rsidR="00CA406B" w:rsidRPr="00F6701E">
        <w:rPr>
          <w:rFonts w:ascii="Verdana" w:hAnsi="Verdana"/>
          <w:sz w:val="22"/>
          <w:szCs w:val="22"/>
          <w:lang w:val="es-MX"/>
        </w:rPr>
        <w:t>MiPymes</w:t>
      </w:r>
      <w:r w:rsidRPr="00F6701E">
        <w:rPr>
          <w:rFonts w:ascii="Verdana" w:hAnsi="Verdana"/>
          <w:sz w:val="22"/>
          <w:szCs w:val="22"/>
          <w:lang w:val="es-MX"/>
        </w:rPr>
        <w:t xml:space="preserve"> (el más exigente de todos), utilizando de referencia procesos de selección adelantados por diferentes Entidades, con el objetivo de identificar el nivel de cumplimiento considerando la inclusión de los indicadores de capacidad financiera (capital de trabajo demandando y patrimonio demandado (si aplica)):</w:t>
      </w:r>
    </w:p>
    <w:p w14:paraId="1D806C07" w14:textId="77777777" w:rsidR="001360D2" w:rsidRPr="00C073B2" w:rsidRDefault="001360D2" w:rsidP="001360D2">
      <w:pPr>
        <w:ind w:left="66"/>
        <w:jc w:val="both"/>
        <w:rPr>
          <w:rFonts w:ascii="Verdana" w:hAnsi="Verdana"/>
          <w:sz w:val="20"/>
          <w:szCs w:val="20"/>
          <w:lang w:val="es-MX"/>
        </w:rPr>
      </w:pPr>
    </w:p>
    <w:p w14:paraId="62BCF87F" w14:textId="77777777" w:rsidR="001360D2" w:rsidRDefault="001360D2" w:rsidP="001360D2">
      <w:pPr>
        <w:ind w:left="66"/>
        <w:jc w:val="both"/>
        <w:rPr>
          <w:rFonts w:ascii="Verdana" w:hAnsi="Verdana"/>
          <w:sz w:val="20"/>
          <w:szCs w:val="20"/>
          <w:lang w:val="es-MX"/>
        </w:rPr>
      </w:pPr>
    </w:p>
    <w:p w14:paraId="01A87029" w14:textId="77777777" w:rsidR="005C133F" w:rsidRDefault="005C133F" w:rsidP="001360D2">
      <w:pPr>
        <w:ind w:left="66"/>
        <w:jc w:val="both"/>
        <w:rPr>
          <w:rFonts w:ascii="Verdana" w:hAnsi="Verdana"/>
          <w:sz w:val="20"/>
          <w:szCs w:val="20"/>
          <w:lang w:val="es-MX"/>
        </w:rPr>
      </w:pPr>
    </w:p>
    <w:p w14:paraId="00B61B9B" w14:textId="77777777" w:rsidR="005C133F" w:rsidRPr="00C073B2" w:rsidRDefault="005C133F" w:rsidP="001360D2">
      <w:pPr>
        <w:ind w:left="66"/>
        <w:jc w:val="both"/>
        <w:rPr>
          <w:rFonts w:ascii="Verdana" w:hAnsi="Verdana"/>
          <w:sz w:val="20"/>
          <w:szCs w:val="20"/>
          <w:lang w:val="es-MX"/>
        </w:rPr>
      </w:pPr>
    </w:p>
    <w:p w14:paraId="06960392" w14:textId="77777777" w:rsidR="001360D2" w:rsidRPr="00C073B2" w:rsidRDefault="001360D2" w:rsidP="001360D2">
      <w:pPr>
        <w:ind w:left="66"/>
        <w:jc w:val="both"/>
        <w:rPr>
          <w:rFonts w:ascii="Verdana" w:hAnsi="Verdana"/>
          <w:b/>
          <w:sz w:val="22"/>
          <w:szCs w:val="22"/>
          <w:lang w:val="es-MX"/>
        </w:rPr>
      </w:pPr>
      <w:r w:rsidRPr="00C073B2">
        <w:rPr>
          <w:rFonts w:ascii="Verdana" w:hAnsi="Verdana"/>
          <w:b/>
          <w:sz w:val="22"/>
          <w:szCs w:val="22"/>
          <w:lang w:val="es-MX"/>
        </w:rPr>
        <w:t>Escenario 1</w:t>
      </w:r>
    </w:p>
    <w:p w14:paraId="4413ACF0" w14:textId="77777777" w:rsidR="001360D2" w:rsidRPr="00C073B2" w:rsidRDefault="001360D2" w:rsidP="001360D2">
      <w:pPr>
        <w:ind w:left="66"/>
        <w:jc w:val="both"/>
        <w:rPr>
          <w:rFonts w:ascii="Verdana" w:hAnsi="Verdana"/>
          <w:b/>
          <w:sz w:val="22"/>
          <w:szCs w:val="22"/>
          <w:lang w:val="es-MX"/>
        </w:rPr>
      </w:pPr>
    </w:p>
    <w:p w14:paraId="41DE562B" w14:textId="076AE1B9" w:rsidR="001360D2" w:rsidRPr="00C073B2" w:rsidRDefault="001360D2" w:rsidP="001360D2">
      <w:pPr>
        <w:ind w:left="66"/>
        <w:jc w:val="both"/>
        <w:rPr>
          <w:rFonts w:ascii="Verdana" w:hAnsi="Verdana"/>
          <w:b/>
          <w:sz w:val="22"/>
          <w:szCs w:val="22"/>
          <w:lang w:val="es-MX"/>
        </w:rPr>
      </w:pPr>
      <w:r w:rsidRPr="00C073B2">
        <w:rPr>
          <w:rFonts w:ascii="Verdana" w:hAnsi="Verdana"/>
          <w:b/>
          <w:sz w:val="22"/>
          <w:szCs w:val="22"/>
          <w:lang w:val="es-MX"/>
        </w:rPr>
        <w:t xml:space="preserve">Objeto: </w:t>
      </w:r>
      <w:r w:rsidR="001B431C" w:rsidRPr="001B431C">
        <w:rPr>
          <w:rFonts w:ascii="Verdana" w:hAnsi="Verdana"/>
          <w:sz w:val="22"/>
          <w:szCs w:val="22"/>
          <w:lang w:val="es-MX"/>
        </w:rPr>
        <w:t>OPTIMIZACIÓN DEL SISTEMA DE ALCANTARILLADO COMBINADO EN EL MUNICIPIO DE FILADELFIA</w:t>
      </w:r>
      <w:r w:rsidR="001B431C" w:rsidRPr="00C073B2">
        <w:rPr>
          <w:rFonts w:ascii="Verdana" w:hAnsi="Verdana"/>
          <w:sz w:val="22"/>
          <w:szCs w:val="22"/>
          <w:lang w:val="es-MX"/>
        </w:rPr>
        <w:t>.</w:t>
      </w:r>
    </w:p>
    <w:p w14:paraId="099C8771" w14:textId="083861F0" w:rsidR="001360D2" w:rsidRPr="00C073B2" w:rsidRDefault="001360D2" w:rsidP="001360D2">
      <w:pPr>
        <w:ind w:left="66"/>
        <w:jc w:val="both"/>
        <w:rPr>
          <w:rFonts w:ascii="Verdana" w:hAnsi="Verdana"/>
          <w:b/>
          <w:sz w:val="22"/>
          <w:szCs w:val="22"/>
          <w:lang w:val="es-MX"/>
        </w:rPr>
      </w:pPr>
      <w:r w:rsidRPr="00C073B2">
        <w:rPr>
          <w:rFonts w:ascii="Verdana" w:hAnsi="Verdana"/>
          <w:b/>
          <w:sz w:val="22"/>
          <w:szCs w:val="22"/>
          <w:lang w:val="es-MX"/>
        </w:rPr>
        <w:t xml:space="preserve">Presupuesto oficial: </w:t>
      </w:r>
      <w:r w:rsidRPr="00C073B2">
        <w:rPr>
          <w:rFonts w:ascii="Verdana" w:hAnsi="Verdana"/>
          <w:sz w:val="22"/>
          <w:szCs w:val="22"/>
          <w:lang w:val="es-MX"/>
        </w:rPr>
        <w:t>$</w:t>
      </w:r>
      <w:r w:rsidR="00DD0C79" w:rsidRPr="00DD0C79">
        <w:rPr>
          <w:rFonts w:ascii="Verdana" w:hAnsi="Verdana"/>
          <w:sz w:val="22"/>
          <w:szCs w:val="22"/>
          <w:lang w:val="es-MX"/>
        </w:rPr>
        <w:t>1.194.837.790</w:t>
      </w:r>
    </w:p>
    <w:p w14:paraId="5504A908" w14:textId="27DFF735" w:rsidR="001360D2" w:rsidRPr="00C073B2" w:rsidRDefault="001360D2" w:rsidP="001360D2">
      <w:pPr>
        <w:ind w:left="66"/>
        <w:jc w:val="both"/>
        <w:rPr>
          <w:rFonts w:ascii="Verdana" w:hAnsi="Verdana"/>
          <w:b/>
          <w:sz w:val="22"/>
          <w:szCs w:val="22"/>
          <w:lang w:val="es-MX"/>
        </w:rPr>
      </w:pPr>
      <w:r w:rsidRPr="00C073B2">
        <w:rPr>
          <w:rFonts w:ascii="Verdana" w:hAnsi="Verdana"/>
          <w:b/>
          <w:sz w:val="22"/>
          <w:szCs w:val="22"/>
          <w:lang w:val="es-MX"/>
        </w:rPr>
        <w:t xml:space="preserve">Plazo: </w:t>
      </w:r>
      <w:r w:rsidR="00DD0C79">
        <w:rPr>
          <w:rFonts w:ascii="Verdana" w:hAnsi="Verdana"/>
          <w:sz w:val="22"/>
          <w:szCs w:val="22"/>
          <w:lang w:val="es-MX"/>
        </w:rPr>
        <w:t>5</w:t>
      </w:r>
      <w:r w:rsidRPr="00C073B2">
        <w:rPr>
          <w:rFonts w:ascii="Verdana" w:hAnsi="Verdana"/>
          <w:sz w:val="22"/>
          <w:szCs w:val="22"/>
          <w:lang w:val="es-MX"/>
        </w:rPr>
        <w:t xml:space="preserve"> meses</w:t>
      </w:r>
    </w:p>
    <w:p w14:paraId="2ED56D7A" w14:textId="77777777" w:rsidR="001360D2" w:rsidRPr="00C073B2" w:rsidRDefault="001360D2" w:rsidP="001360D2">
      <w:pPr>
        <w:ind w:left="66"/>
        <w:jc w:val="both"/>
        <w:rPr>
          <w:rFonts w:ascii="Verdana" w:hAnsi="Verdana"/>
          <w:b/>
          <w:sz w:val="22"/>
          <w:szCs w:val="22"/>
          <w:lang w:val="es-MX"/>
        </w:rPr>
      </w:pPr>
      <w:r w:rsidRPr="00C073B2">
        <w:rPr>
          <w:rFonts w:ascii="Verdana" w:hAnsi="Verdana"/>
          <w:b/>
          <w:sz w:val="22"/>
          <w:szCs w:val="22"/>
          <w:lang w:val="es-MX"/>
        </w:rPr>
        <w:t xml:space="preserve">Anticipo/Pago anticipado: </w:t>
      </w:r>
      <w:r w:rsidRPr="00C073B2">
        <w:rPr>
          <w:rFonts w:ascii="Verdana" w:hAnsi="Verdana"/>
          <w:sz w:val="22"/>
          <w:szCs w:val="22"/>
          <w:lang w:val="es-MX"/>
        </w:rPr>
        <w:t>0%</w:t>
      </w:r>
    </w:p>
    <w:p w14:paraId="4CD5A56E" w14:textId="2C26EF3A" w:rsidR="001360D2" w:rsidRPr="00C073B2" w:rsidRDefault="001360D2" w:rsidP="001360D2">
      <w:pPr>
        <w:ind w:left="66"/>
        <w:jc w:val="both"/>
        <w:rPr>
          <w:rFonts w:ascii="Verdana" w:hAnsi="Verdana"/>
          <w:b/>
          <w:sz w:val="22"/>
          <w:szCs w:val="22"/>
          <w:lang w:val="en-US"/>
        </w:rPr>
      </w:pPr>
      <w:r w:rsidRPr="00C073B2">
        <w:rPr>
          <w:rFonts w:ascii="Verdana" w:hAnsi="Verdana"/>
          <w:b/>
          <w:sz w:val="22"/>
          <w:szCs w:val="22"/>
          <w:lang w:val="en-US"/>
        </w:rPr>
        <w:t xml:space="preserve">Link: </w:t>
      </w:r>
      <w:hyperlink r:id="rId51" w:history="1">
        <w:r w:rsidR="00DD0C79" w:rsidRPr="004900FB">
          <w:rPr>
            <w:rStyle w:val="Hipervnculo"/>
            <w:rFonts w:ascii="Verdana" w:hAnsi="Verdana"/>
            <w:bCs/>
            <w:sz w:val="22"/>
            <w:szCs w:val="22"/>
            <w:lang w:val="en-US"/>
          </w:rPr>
          <w:t>https://community.secop.gov.co/Public/Tendering/OpportunityDetail/Index?noticeUID=CO1.NTC.961703&amp;isFromPublicArea=True&amp;isModal=true&amp;asPopupView=true</w:t>
        </w:r>
      </w:hyperlink>
      <w:r w:rsidR="00DD0C79">
        <w:rPr>
          <w:rFonts w:ascii="Verdana" w:hAnsi="Verdana"/>
          <w:b/>
          <w:sz w:val="22"/>
          <w:szCs w:val="22"/>
          <w:lang w:val="en-US"/>
        </w:rPr>
        <w:t xml:space="preserve"> </w:t>
      </w:r>
    </w:p>
    <w:p w14:paraId="67975F71" w14:textId="77777777" w:rsidR="006132CF" w:rsidRDefault="006132CF" w:rsidP="00CC69E3">
      <w:pPr>
        <w:ind w:left="66"/>
        <w:jc w:val="center"/>
        <w:rPr>
          <w:rFonts w:ascii="Verdana" w:hAnsi="Verdana"/>
          <w:b/>
          <w:highlight w:val="yellow"/>
          <w:lang w:val="en-US"/>
        </w:rPr>
      </w:pPr>
    </w:p>
    <w:p w14:paraId="4A2BD12E" w14:textId="77777777" w:rsidR="005C133F" w:rsidRDefault="005C133F" w:rsidP="00CC69E3">
      <w:pPr>
        <w:ind w:left="66"/>
        <w:jc w:val="center"/>
        <w:rPr>
          <w:rFonts w:ascii="Verdana" w:hAnsi="Verdana"/>
          <w:b/>
          <w:highlight w:val="yellow"/>
          <w:lang w:val="en-US"/>
        </w:rPr>
      </w:pPr>
    </w:p>
    <w:p w14:paraId="61E5EC89" w14:textId="77777777" w:rsidR="005C133F" w:rsidRDefault="005C133F" w:rsidP="00CC69E3">
      <w:pPr>
        <w:ind w:left="66"/>
        <w:jc w:val="center"/>
        <w:rPr>
          <w:rFonts w:ascii="Verdana" w:hAnsi="Verdana"/>
          <w:b/>
          <w:highlight w:val="yellow"/>
          <w:lang w:val="en-US"/>
        </w:rPr>
      </w:pPr>
    </w:p>
    <w:p w14:paraId="4FE9565F" w14:textId="77777777" w:rsidR="005C133F" w:rsidRDefault="005C133F" w:rsidP="00CC69E3">
      <w:pPr>
        <w:ind w:left="66"/>
        <w:jc w:val="center"/>
        <w:rPr>
          <w:rFonts w:ascii="Verdana" w:hAnsi="Verdana"/>
          <w:b/>
          <w:highlight w:val="yellow"/>
          <w:lang w:val="en-US"/>
        </w:rPr>
      </w:pPr>
    </w:p>
    <w:p w14:paraId="1707A78B" w14:textId="77777777" w:rsidR="005C133F" w:rsidRPr="00611315" w:rsidRDefault="005C133F" w:rsidP="00CC69E3">
      <w:pPr>
        <w:ind w:left="66"/>
        <w:jc w:val="center"/>
        <w:rPr>
          <w:rFonts w:ascii="Verdana" w:hAnsi="Verdana"/>
          <w:b/>
          <w:highlight w:val="yellow"/>
          <w:lang w:val="en-US"/>
        </w:rPr>
      </w:pPr>
    </w:p>
    <w:p w14:paraId="5C05D4F6" w14:textId="36979140" w:rsidR="006132CF" w:rsidRPr="007741AF" w:rsidRDefault="00CC69E3" w:rsidP="00A077C1">
      <w:pPr>
        <w:pStyle w:val="Descripcin"/>
        <w:jc w:val="center"/>
        <w:rPr>
          <w:rFonts w:ascii="Verdana" w:hAnsi="Verdana"/>
          <w:bCs w:val="0"/>
          <w:sz w:val="22"/>
          <w:szCs w:val="22"/>
          <w:lang w:val="en-US"/>
        </w:rPr>
      </w:pPr>
      <w:bookmarkStart w:id="452" w:name="_Toc231368684"/>
      <w:r w:rsidRPr="007741AF">
        <w:rPr>
          <w:rFonts w:ascii="Verdana" w:hAnsi="Verdana"/>
          <w:sz w:val="22"/>
          <w:szCs w:val="22"/>
        </w:rPr>
        <w:t xml:space="preserve">Tabla </w:t>
      </w:r>
      <w:r w:rsidRPr="007741AF">
        <w:rPr>
          <w:rFonts w:ascii="Verdana" w:hAnsi="Verdana"/>
          <w:sz w:val="22"/>
          <w:szCs w:val="22"/>
        </w:rPr>
        <w:fldChar w:fldCharType="begin"/>
      </w:r>
      <w:r w:rsidRPr="007741AF">
        <w:rPr>
          <w:rFonts w:ascii="Verdana" w:hAnsi="Verdana"/>
          <w:sz w:val="22"/>
          <w:szCs w:val="22"/>
        </w:rPr>
        <w:instrText xml:space="preserve"> SEQ Tabla \* ARABIC </w:instrText>
      </w:r>
      <w:r w:rsidRPr="007741AF">
        <w:rPr>
          <w:rFonts w:ascii="Verdana" w:hAnsi="Verdana"/>
          <w:sz w:val="22"/>
          <w:szCs w:val="22"/>
        </w:rPr>
        <w:fldChar w:fldCharType="separate"/>
      </w:r>
      <w:r w:rsidR="007741AF" w:rsidRPr="007741AF">
        <w:rPr>
          <w:rFonts w:ascii="Verdana" w:hAnsi="Verdana"/>
          <w:noProof/>
          <w:sz w:val="22"/>
          <w:szCs w:val="22"/>
        </w:rPr>
        <w:t>17</w:t>
      </w:r>
      <w:r w:rsidRPr="007741AF">
        <w:rPr>
          <w:rFonts w:ascii="Verdana" w:hAnsi="Verdana"/>
          <w:sz w:val="22"/>
          <w:szCs w:val="22"/>
        </w:rPr>
        <w:fldChar w:fldCharType="end"/>
      </w:r>
      <w:r w:rsidRPr="007741AF">
        <w:rPr>
          <w:rFonts w:ascii="Verdana" w:hAnsi="Verdana"/>
          <w:sz w:val="22"/>
          <w:szCs w:val="22"/>
        </w:rPr>
        <w:t>. Requisitos escenario 1</w:t>
      </w:r>
      <w:bookmarkEnd w:id="452"/>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7741AF" w14:paraId="288BA150" w14:textId="77777777" w:rsidTr="00447A32">
        <w:trPr>
          <w:trHeight w:val="315"/>
          <w:tblHeader/>
          <w:jc w:val="center"/>
        </w:trPr>
        <w:tc>
          <w:tcPr>
            <w:tcW w:w="3220" w:type="dxa"/>
            <w:tcBorders>
              <w:top w:val="nil"/>
              <w:left w:val="nil"/>
              <w:bottom w:val="nil"/>
              <w:right w:val="single" w:sz="4" w:space="0" w:color="auto"/>
            </w:tcBorders>
            <w:noWrap/>
            <w:vAlign w:val="bottom"/>
            <w:hideMark/>
          </w:tcPr>
          <w:p w14:paraId="3B384B12" w14:textId="77777777" w:rsidR="001360D2" w:rsidRPr="007741AF" w:rsidRDefault="001360D2" w:rsidP="00921546">
            <w:pPr>
              <w:rPr>
                <w:rFonts w:ascii="Verdana" w:hAnsi="Verdana"/>
                <w:sz w:val="22"/>
                <w:szCs w:val="22"/>
                <w:lang w:val="en-US"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79A4D0C5" w14:textId="7962DD95" w:rsidR="001360D2" w:rsidRPr="007741AF" w:rsidRDefault="001360D2" w:rsidP="00921546">
            <w:pPr>
              <w:jc w:val="center"/>
              <w:rPr>
                <w:rFonts w:ascii="Verdana" w:hAnsi="Verdana"/>
                <w:b/>
                <w:color w:val="000000"/>
                <w:sz w:val="22"/>
                <w:szCs w:val="22"/>
                <w:lang w:eastAsia="es-CO"/>
              </w:rPr>
            </w:pPr>
            <w:r w:rsidRPr="007741AF">
              <w:rPr>
                <w:rFonts w:ascii="Verdana" w:hAnsi="Verdana"/>
                <w:b/>
                <w:color w:val="000000" w:themeColor="text1"/>
                <w:sz w:val="22"/>
                <w:szCs w:val="22"/>
              </w:rPr>
              <w:t xml:space="preserve">No </w:t>
            </w:r>
            <w:r w:rsidR="00CA406B" w:rsidRPr="007741AF">
              <w:rPr>
                <w:rFonts w:ascii="Verdana" w:hAnsi="Verdana"/>
                <w:b/>
                <w:color w:val="000000" w:themeColor="text1"/>
                <w:sz w:val="22"/>
                <w:szCs w:val="22"/>
              </w:rPr>
              <w:t>MiPymes</w:t>
            </w:r>
            <w:r w:rsidRPr="007741AF">
              <w:rPr>
                <w:rFonts w:ascii="Verdana" w:hAnsi="Verdana"/>
                <w:b/>
                <w:color w:val="000000" w:themeColor="text1"/>
                <w:sz w:val="22"/>
                <w:szCs w:val="22"/>
              </w:rPr>
              <w:t xml:space="preserve"> (&lt; </w:t>
            </w:r>
            <w:r w:rsidR="00B85D54">
              <w:rPr>
                <w:rFonts w:ascii="Verdana" w:hAnsi="Verdana"/>
                <w:b/>
                <w:color w:val="000000" w:themeColor="text1"/>
                <w:sz w:val="22"/>
                <w:szCs w:val="22"/>
              </w:rPr>
              <w:t>13</w:t>
            </w:r>
            <w:r w:rsidRPr="007741AF">
              <w:rPr>
                <w:rFonts w:ascii="Verdana" w:hAnsi="Verdana"/>
                <w:b/>
                <w:color w:val="000000" w:themeColor="text1"/>
                <w:sz w:val="22"/>
                <w:szCs w:val="22"/>
              </w:rPr>
              <w:t xml:space="preserve">.000 </w:t>
            </w:r>
            <w:proofErr w:type="spellStart"/>
            <w:r w:rsidRPr="007741AF">
              <w:rPr>
                <w:rFonts w:ascii="Verdana" w:hAnsi="Verdana"/>
                <w:b/>
                <w:color w:val="000000" w:themeColor="text1"/>
                <w:sz w:val="22"/>
                <w:szCs w:val="22"/>
              </w:rPr>
              <w:t>Smmlv</w:t>
            </w:r>
            <w:proofErr w:type="spellEnd"/>
            <w:r w:rsidRPr="007741AF">
              <w:rPr>
                <w:rFonts w:ascii="Verdana" w:hAnsi="Verdana"/>
                <w:b/>
                <w:color w:val="000000" w:themeColor="text1"/>
                <w:sz w:val="22"/>
                <w:szCs w:val="22"/>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42EA1099" w14:textId="77777777" w:rsidR="001360D2" w:rsidRPr="007741AF" w:rsidRDefault="001360D2" w:rsidP="00921546">
            <w:pPr>
              <w:jc w:val="center"/>
              <w:rPr>
                <w:rFonts w:ascii="Verdana" w:hAnsi="Verdana"/>
                <w:b/>
                <w:color w:val="000000"/>
                <w:sz w:val="22"/>
                <w:szCs w:val="22"/>
                <w:lang w:eastAsia="es-CO"/>
              </w:rPr>
            </w:pPr>
            <w:r w:rsidRPr="007741AF">
              <w:rPr>
                <w:rFonts w:ascii="Verdana" w:hAnsi="Verdana"/>
                <w:b/>
                <w:color w:val="000000" w:themeColor="text1"/>
                <w:sz w:val="22"/>
                <w:szCs w:val="22"/>
                <w:lang w:eastAsia="es-CO"/>
              </w:rPr>
              <w:t>Nivel de cumplimiento</w:t>
            </w:r>
          </w:p>
        </w:tc>
      </w:tr>
      <w:tr w:rsidR="001179C6" w:rsidRPr="007741AF" w14:paraId="7733171D" w14:textId="77777777" w:rsidTr="00A23A50">
        <w:trPr>
          <w:trHeight w:val="315"/>
          <w:jc w:val="center"/>
        </w:trPr>
        <w:tc>
          <w:tcPr>
            <w:tcW w:w="3220" w:type="dxa"/>
            <w:tcBorders>
              <w:top w:val="nil"/>
              <w:left w:val="nil"/>
              <w:bottom w:val="nil"/>
              <w:right w:val="single" w:sz="4" w:space="0" w:color="auto"/>
            </w:tcBorders>
            <w:noWrap/>
            <w:vAlign w:val="bottom"/>
            <w:hideMark/>
          </w:tcPr>
          <w:p w14:paraId="0FB84AD7" w14:textId="77777777" w:rsidR="001179C6" w:rsidRPr="007741AF" w:rsidRDefault="001179C6" w:rsidP="001179C6">
            <w:pPr>
              <w:rPr>
                <w:rFonts w:ascii="Verdana" w:hAnsi="Verdana"/>
                <w:color w:val="000000"/>
                <w:sz w:val="22"/>
                <w:szCs w:val="22"/>
                <w:lang w:eastAsia="es-CO"/>
              </w:rPr>
            </w:pPr>
            <w:r w:rsidRPr="007741AF">
              <w:rPr>
                <w:rFonts w:ascii="Verdana" w:hAnsi="Verdana"/>
                <w:color w:val="000000" w:themeColor="text1"/>
                <w:sz w:val="22"/>
                <w:szCs w:val="22"/>
                <w:lang w:eastAsia="es-CO"/>
              </w:rPr>
              <w:t>Liquidez</w:t>
            </w:r>
          </w:p>
        </w:tc>
        <w:tc>
          <w:tcPr>
            <w:tcW w:w="2296" w:type="dxa"/>
            <w:tcBorders>
              <w:top w:val="single" w:sz="8" w:space="0" w:color="auto"/>
              <w:left w:val="single" w:sz="8" w:space="0" w:color="auto"/>
              <w:bottom w:val="single" w:sz="8" w:space="0" w:color="auto"/>
              <w:right w:val="single" w:sz="8" w:space="0" w:color="auto"/>
            </w:tcBorders>
            <w:noWrap/>
            <w:vAlign w:val="center"/>
            <w:hideMark/>
          </w:tcPr>
          <w:p w14:paraId="2C1BC63D" w14:textId="5A1710C8" w:rsidR="001179C6" w:rsidRPr="001179C6" w:rsidRDefault="001179C6" w:rsidP="001179C6">
            <w:pPr>
              <w:jc w:val="center"/>
              <w:rPr>
                <w:rFonts w:ascii="Verdana" w:hAnsi="Verdana"/>
                <w:color w:val="000000" w:themeColor="text1"/>
                <w:sz w:val="22"/>
                <w:szCs w:val="22"/>
              </w:rPr>
            </w:pPr>
            <w:r w:rsidRPr="001179C6">
              <w:rPr>
                <w:rFonts w:ascii="Verdana" w:hAnsi="Verdana"/>
                <w:color w:val="000000" w:themeColor="text1"/>
                <w:sz w:val="22"/>
                <w:szCs w:val="22"/>
              </w:rPr>
              <w:t>1,3</w:t>
            </w:r>
          </w:p>
        </w:tc>
        <w:tc>
          <w:tcPr>
            <w:tcW w:w="1835" w:type="dxa"/>
            <w:tcBorders>
              <w:top w:val="single" w:sz="4" w:space="0" w:color="auto"/>
              <w:left w:val="single" w:sz="4" w:space="0" w:color="auto"/>
              <w:bottom w:val="single" w:sz="4" w:space="0" w:color="auto"/>
              <w:right w:val="single" w:sz="4" w:space="0" w:color="auto"/>
            </w:tcBorders>
            <w:vAlign w:val="center"/>
          </w:tcPr>
          <w:p w14:paraId="4090EB7A" w14:textId="7C2B5F75" w:rsidR="001179C6" w:rsidRPr="007741AF" w:rsidRDefault="00AA1B11" w:rsidP="001179C6">
            <w:pPr>
              <w:jc w:val="center"/>
              <w:rPr>
                <w:rFonts w:ascii="Verdana" w:hAnsi="Verdana"/>
                <w:color w:val="000000"/>
                <w:sz w:val="22"/>
                <w:szCs w:val="22"/>
                <w:lang w:eastAsia="es-CO"/>
              </w:rPr>
            </w:pPr>
            <w:r>
              <w:rPr>
                <w:rFonts w:ascii="Verdana" w:hAnsi="Verdana"/>
                <w:color w:val="000000"/>
                <w:sz w:val="22"/>
                <w:szCs w:val="22"/>
                <w:lang w:eastAsia="es-CO"/>
              </w:rPr>
              <w:t>98,47%</w:t>
            </w:r>
          </w:p>
        </w:tc>
        <w:tc>
          <w:tcPr>
            <w:tcW w:w="1487" w:type="dxa"/>
            <w:vMerge w:val="restart"/>
            <w:tcBorders>
              <w:top w:val="single" w:sz="4" w:space="0" w:color="auto"/>
              <w:left w:val="single" w:sz="4" w:space="0" w:color="auto"/>
              <w:right w:val="single" w:sz="4" w:space="0" w:color="auto"/>
            </w:tcBorders>
            <w:vAlign w:val="center"/>
          </w:tcPr>
          <w:p w14:paraId="12A66E95" w14:textId="77777777" w:rsidR="001179C6" w:rsidRPr="007741AF" w:rsidRDefault="001179C6" w:rsidP="001179C6">
            <w:pPr>
              <w:jc w:val="center"/>
              <w:rPr>
                <w:rFonts w:ascii="Verdana" w:hAnsi="Verdana"/>
                <w:color w:val="000000"/>
                <w:sz w:val="22"/>
                <w:szCs w:val="22"/>
                <w:lang w:eastAsia="es-CO"/>
              </w:rPr>
            </w:pPr>
          </w:p>
          <w:p w14:paraId="15ECF3A4" w14:textId="50D2F512" w:rsidR="001179C6" w:rsidRPr="007741AF" w:rsidRDefault="004900FB" w:rsidP="001179C6">
            <w:pPr>
              <w:jc w:val="center"/>
              <w:rPr>
                <w:rFonts w:ascii="Verdana" w:hAnsi="Verdana"/>
                <w:color w:val="000000"/>
                <w:sz w:val="22"/>
                <w:szCs w:val="22"/>
                <w:lang w:eastAsia="es-CO"/>
              </w:rPr>
            </w:pPr>
            <w:r>
              <w:rPr>
                <w:rFonts w:ascii="Verdana" w:hAnsi="Verdana"/>
                <w:color w:val="000000" w:themeColor="text1"/>
                <w:sz w:val="22"/>
                <w:szCs w:val="22"/>
                <w:lang w:eastAsia="es-CO"/>
              </w:rPr>
              <w:t>77</w:t>
            </w:r>
            <w:r w:rsidR="001179C6" w:rsidRPr="007741AF">
              <w:rPr>
                <w:rFonts w:ascii="Verdana" w:hAnsi="Verdana"/>
                <w:color w:val="000000" w:themeColor="text1"/>
                <w:sz w:val="22"/>
                <w:szCs w:val="22"/>
                <w:lang w:eastAsia="es-CO"/>
              </w:rPr>
              <w:t>,</w:t>
            </w:r>
            <w:r>
              <w:rPr>
                <w:rFonts w:ascii="Verdana" w:hAnsi="Verdana"/>
                <w:color w:val="000000" w:themeColor="text1"/>
                <w:sz w:val="22"/>
                <w:szCs w:val="22"/>
                <w:lang w:eastAsia="es-CO"/>
              </w:rPr>
              <w:t>76</w:t>
            </w:r>
            <w:r w:rsidR="001179C6" w:rsidRPr="007741AF">
              <w:rPr>
                <w:rFonts w:ascii="Verdana" w:hAnsi="Verdana"/>
                <w:color w:val="000000" w:themeColor="text1"/>
                <w:sz w:val="22"/>
                <w:szCs w:val="22"/>
                <w:lang w:eastAsia="es-CO"/>
              </w:rPr>
              <w:t>%</w:t>
            </w:r>
          </w:p>
          <w:p w14:paraId="3E4BA62E" w14:textId="2D7DF13D" w:rsidR="001179C6" w:rsidRPr="007741AF" w:rsidRDefault="001179C6" w:rsidP="001179C6">
            <w:pPr>
              <w:jc w:val="center"/>
              <w:rPr>
                <w:rFonts w:ascii="Verdana" w:hAnsi="Verdana"/>
                <w:color w:val="000000"/>
                <w:sz w:val="22"/>
                <w:szCs w:val="22"/>
                <w:lang w:eastAsia="es-CO"/>
              </w:rPr>
            </w:pPr>
            <w:r w:rsidRPr="007741AF">
              <w:rPr>
                <w:rFonts w:ascii="Verdana" w:hAnsi="Verdana"/>
                <w:color w:val="000000" w:themeColor="text1"/>
                <w:sz w:val="22"/>
                <w:szCs w:val="22"/>
                <w:lang w:eastAsia="es-CO"/>
              </w:rPr>
              <w:t>(</w:t>
            </w:r>
            <w:r w:rsidR="004900FB">
              <w:rPr>
                <w:rFonts w:ascii="Verdana" w:hAnsi="Verdana"/>
                <w:color w:val="000000" w:themeColor="text1"/>
                <w:sz w:val="22"/>
                <w:szCs w:val="22"/>
                <w:lang w:eastAsia="es-CO"/>
              </w:rPr>
              <w:t>458</w:t>
            </w:r>
            <w:r w:rsidRPr="007741AF">
              <w:rPr>
                <w:rFonts w:ascii="Verdana" w:hAnsi="Verdana"/>
                <w:color w:val="000000" w:themeColor="text1"/>
                <w:sz w:val="22"/>
                <w:szCs w:val="22"/>
                <w:lang w:eastAsia="es-CO"/>
              </w:rPr>
              <w:t xml:space="preserve"> empresas)</w:t>
            </w:r>
          </w:p>
        </w:tc>
      </w:tr>
      <w:tr w:rsidR="001179C6" w:rsidRPr="007741AF" w14:paraId="5B949350" w14:textId="77777777" w:rsidTr="00A23A50">
        <w:trPr>
          <w:trHeight w:val="315"/>
          <w:jc w:val="center"/>
        </w:trPr>
        <w:tc>
          <w:tcPr>
            <w:tcW w:w="3220" w:type="dxa"/>
            <w:tcBorders>
              <w:top w:val="nil"/>
              <w:left w:val="nil"/>
              <w:bottom w:val="nil"/>
              <w:right w:val="single" w:sz="4" w:space="0" w:color="auto"/>
            </w:tcBorders>
            <w:noWrap/>
            <w:vAlign w:val="bottom"/>
            <w:hideMark/>
          </w:tcPr>
          <w:p w14:paraId="7E0A9CA8" w14:textId="77777777" w:rsidR="001179C6" w:rsidRPr="007741AF" w:rsidRDefault="001179C6" w:rsidP="001179C6">
            <w:pPr>
              <w:rPr>
                <w:rFonts w:ascii="Verdana" w:hAnsi="Verdana"/>
                <w:color w:val="000000"/>
                <w:sz w:val="22"/>
                <w:szCs w:val="22"/>
                <w:lang w:eastAsia="es-CO"/>
              </w:rPr>
            </w:pPr>
            <w:r w:rsidRPr="007741AF">
              <w:rPr>
                <w:rFonts w:ascii="Verdana" w:hAnsi="Verdana"/>
                <w:color w:val="000000" w:themeColor="text1"/>
                <w:sz w:val="22"/>
                <w:szCs w:val="22"/>
                <w:lang w:eastAsia="es-CO"/>
              </w:rPr>
              <w:t>Endeudamiento</w:t>
            </w:r>
          </w:p>
        </w:tc>
        <w:tc>
          <w:tcPr>
            <w:tcW w:w="2296" w:type="dxa"/>
            <w:tcBorders>
              <w:top w:val="nil"/>
              <w:left w:val="single" w:sz="8" w:space="0" w:color="auto"/>
              <w:bottom w:val="single" w:sz="8" w:space="0" w:color="auto"/>
              <w:right w:val="single" w:sz="8" w:space="0" w:color="auto"/>
            </w:tcBorders>
            <w:noWrap/>
            <w:vAlign w:val="center"/>
            <w:hideMark/>
          </w:tcPr>
          <w:p w14:paraId="7828D33C" w14:textId="07F3B1BE" w:rsidR="001179C6" w:rsidRPr="001179C6" w:rsidRDefault="001179C6" w:rsidP="001179C6">
            <w:pPr>
              <w:jc w:val="center"/>
              <w:rPr>
                <w:rFonts w:ascii="Verdana" w:hAnsi="Verdana"/>
                <w:color w:val="000000" w:themeColor="text1"/>
                <w:sz w:val="22"/>
                <w:szCs w:val="22"/>
              </w:rPr>
            </w:pPr>
            <w:r w:rsidRPr="001179C6">
              <w:rPr>
                <w:rFonts w:ascii="Verdana" w:hAnsi="Verdana"/>
                <w:color w:val="000000" w:themeColor="text1"/>
                <w:sz w:val="22"/>
                <w:szCs w:val="22"/>
              </w:rPr>
              <w:t>0,70</w:t>
            </w:r>
          </w:p>
        </w:tc>
        <w:tc>
          <w:tcPr>
            <w:tcW w:w="1835" w:type="dxa"/>
            <w:tcBorders>
              <w:top w:val="single" w:sz="4" w:space="0" w:color="auto"/>
              <w:left w:val="single" w:sz="4" w:space="0" w:color="auto"/>
              <w:bottom w:val="single" w:sz="4" w:space="0" w:color="auto"/>
              <w:right w:val="single" w:sz="4" w:space="0" w:color="auto"/>
            </w:tcBorders>
            <w:vAlign w:val="center"/>
          </w:tcPr>
          <w:p w14:paraId="513CAEE4" w14:textId="1A6D9CEE" w:rsidR="001179C6" w:rsidRPr="007741AF" w:rsidRDefault="005E7BF0" w:rsidP="001179C6">
            <w:pPr>
              <w:jc w:val="center"/>
              <w:rPr>
                <w:rFonts w:ascii="Verdana" w:hAnsi="Verdana"/>
                <w:color w:val="000000"/>
                <w:sz w:val="22"/>
                <w:szCs w:val="22"/>
                <w:lang w:eastAsia="es-CO"/>
              </w:rPr>
            </w:pPr>
            <w:r>
              <w:rPr>
                <w:rFonts w:ascii="Verdana" w:hAnsi="Verdana"/>
                <w:color w:val="000000"/>
                <w:sz w:val="22"/>
                <w:szCs w:val="22"/>
                <w:lang w:eastAsia="es-CO"/>
              </w:rPr>
              <w:t>96,10%</w:t>
            </w:r>
          </w:p>
        </w:tc>
        <w:tc>
          <w:tcPr>
            <w:tcW w:w="1487" w:type="dxa"/>
            <w:vMerge/>
            <w:tcBorders>
              <w:left w:val="single" w:sz="4" w:space="0" w:color="auto"/>
              <w:right w:val="single" w:sz="4" w:space="0" w:color="auto"/>
            </w:tcBorders>
          </w:tcPr>
          <w:p w14:paraId="200E31AE" w14:textId="77777777" w:rsidR="001179C6" w:rsidRPr="007741AF" w:rsidRDefault="001179C6" w:rsidP="001179C6">
            <w:pPr>
              <w:jc w:val="center"/>
              <w:rPr>
                <w:rFonts w:ascii="Verdana" w:hAnsi="Verdana"/>
                <w:color w:val="000000"/>
                <w:lang w:eastAsia="es-CO"/>
              </w:rPr>
            </w:pPr>
          </w:p>
        </w:tc>
      </w:tr>
      <w:tr w:rsidR="001179C6" w:rsidRPr="007741AF" w14:paraId="69FEA068" w14:textId="77777777" w:rsidTr="00A23A50">
        <w:trPr>
          <w:trHeight w:val="315"/>
          <w:jc w:val="center"/>
        </w:trPr>
        <w:tc>
          <w:tcPr>
            <w:tcW w:w="3220" w:type="dxa"/>
            <w:tcBorders>
              <w:top w:val="nil"/>
              <w:left w:val="nil"/>
              <w:bottom w:val="nil"/>
              <w:right w:val="single" w:sz="4" w:space="0" w:color="auto"/>
            </w:tcBorders>
            <w:noWrap/>
            <w:vAlign w:val="bottom"/>
            <w:hideMark/>
          </w:tcPr>
          <w:p w14:paraId="6DE43941" w14:textId="77777777" w:rsidR="001179C6" w:rsidRPr="007741AF" w:rsidRDefault="001179C6" w:rsidP="001179C6">
            <w:pPr>
              <w:rPr>
                <w:rFonts w:ascii="Verdana" w:hAnsi="Verdana"/>
                <w:color w:val="000000"/>
                <w:sz w:val="22"/>
                <w:szCs w:val="22"/>
                <w:lang w:eastAsia="es-CO"/>
              </w:rPr>
            </w:pPr>
            <w:r w:rsidRPr="007741AF">
              <w:rPr>
                <w:rFonts w:ascii="Verdana" w:hAnsi="Verdana"/>
                <w:color w:val="000000" w:themeColor="text1"/>
                <w:sz w:val="22"/>
                <w:szCs w:val="22"/>
                <w:lang w:eastAsia="es-CO"/>
              </w:rPr>
              <w:t>Razón de cobertura de interés</w:t>
            </w:r>
          </w:p>
        </w:tc>
        <w:tc>
          <w:tcPr>
            <w:tcW w:w="2296" w:type="dxa"/>
            <w:tcBorders>
              <w:top w:val="nil"/>
              <w:left w:val="single" w:sz="8" w:space="0" w:color="auto"/>
              <w:bottom w:val="single" w:sz="8" w:space="0" w:color="auto"/>
              <w:right w:val="single" w:sz="8" w:space="0" w:color="auto"/>
            </w:tcBorders>
            <w:noWrap/>
            <w:vAlign w:val="center"/>
            <w:hideMark/>
          </w:tcPr>
          <w:p w14:paraId="6775609B" w14:textId="4E2CA353" w:rsidR="001179C6" w:rsidRPr="001179C6" w:rsidRDefault="001179C6" w:rsidP="001179C6">
            <w:pPr>
              <w:jc w:val="center"/>
              <w:rPr>
                <w:rFonts w:ascii="Verdana" w:hAnsi="Verdana"/>
                <w:color w:val="000000" w:themeColor="text1"/>
                <w:sz w:val="22"/>
                <w:szCs w:val="22"/>
              </w:rPr>
            </w:pPr>
            <w:r w:rsidRPr="001179C6">
              <w:rPr>
                <w:rFonts w:ascii="Verdana" w:hAnsi="Verdana"/>
                <w:color w:val="000000" w:themeColor="text1"/>
                <w:sz w:val="22"/>
                <w:szCs w:val="22"/>
              </w:rPr>
              <w:t>1</w:t>
            </w:r>
          </w:p>
        </w:tc>
        <w:tc>
          <w:tcPr>
            <w:tcW w:w="1835" w:type="dxa"/>
            <w:tcBorders>
              <w:top w:val="single" w:sz="4" w:space="0" w:color="auto"/>
              <w:left w:val="single" w:sz="4" w:space="0" w:color="auto"/>
              <w:bottom w:val="single" w:sz="4" w:space="0" w:color="auto"/>
              <w:right w:val="single" w:sz="4" w:space="0" w:color="auto"/>
            </w:tcBorders>
            <w:vAlign w:val="center"/>
          </w:tcPr>
          <w:p w14:paraId="1D080D07" w14:textId="78032FBB" w:rsidR="001179C6" w:rsidRPr="007741AF" w:rsidRDefault="005E7BF0" w:rsidP="001179C6">
            <w:pPr>
              <w:jc w:val="center"/>
              <w:rPr>
                <w:rFonts w:ascii="Verdana" w:hAnsi="Verdana"/>
                <w:color w:val="000000"/>
                <w:sz w:val="22"/>
                <w:szCs w:val="22"/>
                <w:lang w:eastAsia="es-CO"/>
              </w:rPr>
            </w:pPr>
            <w:r>
              <w:rPr>
                <w:rFonts w:ascii="Verdana" w:hAnsi="Verdana"/>
                <w:color w:val="000000"/>
                <w:sz w:val="22"/>
                <w:szCs w:val="22"/>
                <w:lang w:eastAsia="es-CO"/>
              </w:rPr>
              <w:t>98,30%</w:t>
            </w:r>
          </w:p>
        </w:tc>
        <w:tc>
          <w:tcPr>
            <w:tcW w:w="1487" w:type="dxa"/>
            <w:vMerge/>
            <w:tcBorders>
              <w:left w:val="single" w:sz="4" w:space="0" w:color="auto"/>
              <w:right w:val="single" w:sz="4" w:space="0" w:color="auto"/>
            </w:tcBorders>
          </w:tcPr>
          <w:p w14:paraId="58E87C8A" w14:textId="77777777" w:rsidR="001179C6" w:rsidRPr="007741AF" w:rsidRDefault="001179C6" w:rsidP="001179C6">
            <w:pPr>
              <w:jc w:val="center"/>
              <w:rPr>
                <w:rFonts w:ascii="Verdana" w:hAnsi="Verdana"/>
                <w:color w:val="000000"/>
                <w:lang w:eastAsia="es-CO"/>
              </w:rPr>
            </w:pPr>
          </w:p>
        </w:tc>
      </w:tr>
      <w:tr w:rsidR="001179C6" w:rsidRPr="007741AF" w14:paraId="314330FF" w14:textId="77777777" w:rsidTr="00A23A50">
        <w:trPr>
          <w:trHeight w:val="315"/>
          <w:jc w:val="center"/>
        </w:trPr>
        <w:tc>
          <w:tcPr>
            <w:tcW w:w="3220" w:type="dxa"/>
            <w:tcBorders>
              <w:top w:val="nil"/>
              <w:left w:val="nil"/>
              <w:bottom w:val="nil"/>
              <w:right w:val="single" w:sz="4" w:space="0" w:color="auto"/>
            </w:tcBorders>
            <w:noWrap/>
            <w:vAlign w:val="bottom"/>
            <w:hideMark/>
          </w:tcPr>
          <w:p w14:paraId="685CB3A9" w14:textId="77777777" w:rsidR="001179C6" w:rsidRPr="007741AF" w:rsidRDefault="001179C6" w:rsidP="001179C6">
            <w:pPr>
              <w:rPr>
                <w:rFonts w:ascii="Verdana" w:hAnsi="Verdana"/>
                <w:color w:val="000000"/>
                <w:sz w:val="22"/>
                <w:szCs w:val="22"/>
                <w:lang w:eastAsia="es-CO"/>
              </w:rPr>
            </w:pPr>
            <w:r w:rsidRPr="007741AF">
              <w:rPr>
                <w:rFonts w:ascii="Verdana" w:hAnsi="Verdana"/>
                <w:color w:val="000000" w:themeColor="text1"/>
                <w:sz w:val="22"/>
                <w:szCs w:val="22"/>
                <w:lang w:eastAsia="es-CO"/>
              </w:rPr>
              <w:t>Rentabilidad sobre Patrimonio</w:t>
            </w:r>
          </w:p>
        </w:tc>
        <w:tc>
          <w:tcPr>
            <w:tcW w:w="2296" w:type="dxa"/>
            <w:tcBorders>
              <w:top w:val="nil"/>
              <w:left w:val="single" w:sz="8" w:space="0" w:color="auto"/>
              <w:bottom w:val="single" w:sz="8" w:space="0" w:color="auto"/>
              <w:right w:val="single" w:sz="8" w:space="0" w:color="auto"/>
            </w:tcBorders>
            <w:noWrap/>
            <w:vAlign w:val="center"/>
            <w:hideMark/>
          </w:tcPr>
          <w:p w14:paraId="47653A3A" w14:textId="278CD715" w:rsidR="001179C6" w:rsidRPr="001179C6" w:rsidRDefault="001179C6" w:rsidP="001179C6">
            <w:pPr>
              <w:jc w:val="center"/>
              <w:rPr>
                <w:rFonts w:ascii="Verdana" w:hAnsi="Verdana"/>
                <w:color w:val="000000" w:themeColor="text1"/>
                <w:sz w:val="22"/>
                <w:szCs w:val="22"/>
              </w:rPr>
            </w:pPr>
            <w:r w:rsidRPr="001179C6">
              <w:rPr>
                <w:rFonts w:ascii="Verdana" w:hAnsi="Verdana"/>
                <w:color w:val="000000" w:themeColor="text1"/>
                <w:sz w:val="22"/>
                <w:szCs w:val="22"/>
              </w:rPr>
              <w:t>0,04</w:t>
            </w:r>
          </w:p>
        </w:tc>
        <w:tc>
          <w:tcPr>
            <w:tcW w:w="1835" w:type="dxa"/>
            <w:tcBorders>
              <w:top w:val="single" w:sz="4" w:space="0" w:color="auto"/>
              <w:left w:val="single" w:sz="4" w:space="0" w:color="auto"/>
              <w:bottom w:val="single" w:sz="4" w:space="0" w:color="auto"/>
              <w:right w:val="single" w:sz="4" w:space="0" w:color="auto"/>
            </w:tcBorders>
            <w:vAlign w:val="center"/>
          </w:tcPr>
          <w:p w14:paraId="1177A920" w14:textId="476585F3" w:rsidR="001179C6" w:rsidRPr="007741AF" w:rsidRDefault="005E7BF0" w:rsidP="001179C6">
            <w:pPr>
              <w:jc w:val="center"/>
              <w:rPr>
                <w:rFonts w:ascii="Verdana" w:hAnsi="Verdana"/>
                <w:color w:val="000000"/>
                <w:sz w:val="22"/>
                <w:szCs w:val="22"/>
                <w:lang w:eastAsia="es-CO"/>
              </w:rPr>
            </w:pPr>
            <w:r>
              <w:rPr>
                <w:rFonts w:ascii="Verdana" w:hAnsi="Verdana"/>
                <w:color w:val="000000"/>
                <w:sz w:val="22"/>
                <w:szCs w:val="22"/>
                <w:lang w:eastAsia="es-CO"/>
              </w:rPr>
              <w:t>92,53%</w:t>
            </w:r>
          </w:p>
        </w:tc>
        <w:tc>
          <w:tcPr>
            <w:tcW w:w="1487" w:type="dxa"/>
            <w:vMerge/>
            <w:tcBorders>
              <w:left w:val="single" w:sz="4" w:space="0" w:color="auto"/>
              <w:right w:val="single" w:sz="4" w:space="0" w:color="auto"/>
            </w:tcBorders>
          </w:tcPr>
          <w:p w14:paraId="369FF33D" w14:textId="77777777" w:rsidR="001179C6" w:rsidRPr="007741AF" w:rsidRDefault="001179C6" w:rsidP="001179C6">
            <w:pPr>
              <w:jc w:val="center"/>
              <w:rPr>
                <w:rFonts w:ascii="Verdana" w:hAnsi="Verdana"/>
                <w:color w:val="000000"/>
                <w:lang w:eastAsia="es-CO"/>
              </w:rPr>
            </w:pPr>
          </w:p>
        </w:tc>
      </w:tr>
      <w:tr w:rsidR="001179C6" w:rsidRPr="007741AF" w14:paraId="1F33E1C5" w14:textId="77777777" w:rsidTr="00A23A50">
        <w:trPr>
          <w:trHeight w:val="315"/>
          <w:jc w:val="center"/>
        </w:trPr>
        <w:tc>
          <w:tcPr>
            <w:tcW w:w="3220" w:type="dxa"/>
            <w:tcBorders>
              <w:top w:val="nil"/>
              <w:left w:val="nil"/>
              <w:bottom w:val="nil"/>
              <w:right w:val="single" w:sz="4" w:space="0" w:color="auto"/>
            </w:tcBorders>
            <w:noWrap/>
            <w:vAlign w:val="bottom"/>
            <w:hideMark/>
          </w:tcPr>
          <w:p w14:paraId="79BB6533" w14:textId="77777777" w:rsidR="001179C6" w:rsidRPr="007741AF" w:rsidRDefault="001179C6" w:rsidP="001179C6">
            <w:pPr>
              <w:rPr>
                <w:rFonts w:ascii="Verdana" w:hAnsi="Verdana"/>
                <w:color w:val="000000"/>
                <w:sz w:val="22"/>
                <w:szCs w:val="22"/>
                <w:lang w:eastAsia="es-CO"/>
              </w:rPr>
            </w:pPr>
            <w:r w:rsidRPr="007741AF">
              <w:rPr>
                <w:rFonts w:ascii="Verdana" w:hAnsi="Verdana"/>
                <w:color w:val="000000" w:themeColor="text1"/>
                <w:sz w:val="22"/>
                <w:szCs w:val="22"/>
                <w:lang w:eastAsia="es-CO"/>
              </w:rPr>
              <w:t>Rentabilidad sobre Activo</w:t>
            </w:r>
          </w:p>
        </w:tc>
        <w:tc>
          <w:tcPr>
            <w:tcW w:w="2296" w:type="dxa"/>
            <w:tcBorders>
              <w:top w:val="nil"/>
              <w:left w:val="single" w:sz="8" w:space="0" w:color="auto"/>
              <w:bottom w:val="single" w:sz="8" w:space="0" w:color="auto"/>
              <w:right w:val="single" w:sz="8" w:space="0" w:color="auto"/>
            </w:tcBorders>
            <w:noWrap/>
            <w:vAlign w:val="center"/>
            <w:hideMark/>
          </w:tcPr>
          <w:p w14:paraId="25264912" w14:textId="40E48198" w:rsidR="001179C6" w:rsidRPr="001179C6" w:rsidRDefault="001179C6" w:rsidP="001179C6">
            <w:pPr>
              <w:jc w:val="center"/>
              <w:rPr>
                <w:rFonts w:ascii="Verdana" w:hAnsi="Verdana"/>
                <w:color w:val="000000" w:themeColor="text1"/>
                <w:sz w:val="22"/>
                <w:szCs w:val="22"/>
              </w:rPr>
            </w:pPr>
            <w:r w:rsidRPr="001179C6">
              <w:rPr>
                <w:rFonts w:ascii="Verdana" w:hAnsi="Verdana"/>
                <w:color w:val="000000" w:themeColor="text1"/>
                <w:sz w:val="22"/>
                <w:szCs w:val="22"/>
              </w:rPr>
              <w:t>0,02</w:t>
            </w:r>
          </w:p>
        </w:tc>
        <w:tc>
          <w:tcPr>
            <w:tcW w:w="1835" w:type="dxa"/>
            <w:tcBorders>
              <w:top w:val="single" w:sz="4" w:space="0" w:color="auto"/>
              <w:left w:val="single" w:sz="4" w:space="0" w:color="auto"/>
              <w:bottom w:val="single" w:sz="4" w:space="0" w:color="auto"/>
              <w:right w:val="single" w:sz="4" w:space="0" w:color="auto"/>
            </w:tcBorders>
            <w:vAlign w:val="center"/>
          </w:tcPr>
          <w:p w14:paraId="48CDEE9C" w14:textId="0F0AC07B" w:rsidR="001179C6" w:rsidRPr="007741AF" w:rsidRDefault="005E7BF0" w:rsidP="001179C6">
            <w:pPr>
              <w:jc w:val="center"/>
              <w:rPr>
                <w:rFonts w:ascii="Verdana" w:hAnsi="Verdana"/>
                <w:color w:val="000000"/>
                <w:sz w:val="22"/>
                <w:szCs w:val="22"/>
                <w:lang w:eastAsia="es-CO"/>
              </w:rPr>
            </w:pPr>
            <w:r>
              <w:rPr>
                <w:rFonts w:ascii="Verdana" w:hAnsi="Verdana"/>
                <w:color w:val="000000"/>
                <w:sz w:val="22"/>
                <w:szCs w:val="22"/>
                <w:lang w:eastAsia="es-CO"/>
              </w:rPr>
              <w:t>94,23%</w:t>
            </w:r>
          </w:p>
        </w:tc>
        <w:tc>
          <w:tcPr>
            <w:tcW w:w="1487" w:type="dxa"/>
            <w:vMerge/>
            <w:tcBorders>
              <w:left w:val="single" w:sz="4" w:space="0" w:color="auto"/>
              <w:right w:val="single" w:sz="4" w:space="0" w:color="auto"/>
            </w:tcBorders>
          </w:tcPr>
          <w:p w14:paraId="1F47C3EB" w14:textId="77777777" w:rsidR="001179C6" w:rsidRPr="007741AF" w:rsidRDefault="001179C6" w:rsidP="001179C6">
            <w:pPr>
              <w:jc w:val="center"/>
              <w:rPr>
                <w:rFonts w:ascii="Verdana" w:hAnsi="Verdana"/>
                <w:color w:val="000000"/>
                <w:lang w:eastAsia="es-CO"/>
              </w:rPr>
            </w:pPr>
          </w:p>
        </w:tc>
      </w:tr>
      <w:tr w:rsidR="00F90896" w:rsidRPr="00611315" w14:paraId="174B1D0C" w14:textId="77777777" w:rsidTr="00A23A50">
        <w:trPr>
          <w:trHeight w:val="315"/>
          <w:jc w:val="center"/>
        </w:trPr>
        <w:tc>
          <w:tcPr>
            <w:tcW w:w="3220" w:type="dxa"/>
            <w:tcBorders>
              <w:top w:val="nil"/>
              <w:left w:val="nil"/>
              <w:bottom w:val="nil"/>
              <w:right w:val="single" w:sz="4" w:space="0" w:color="auto"/>
            </w:tcBorders>
            <w:noWrap/>
            <w:vAlign w:val="bottom"/>
          </w:tcPr>
          <w:p w14:paraId="2468FC6A" w14:textId="77777777" w:rsidR="00F90896" w:rsidRPr="007741AF" w:rsidRDefault="00F90896" w:rsidP="00921546">
            <w:pPr>
              <w:rPr>
                <w:rFonts w:ascii="Verdana" w:hAnsi="Verdana"/>
                <w:color w:val="000000"/>
                <w:sz w:val="22"/>
                <w:szCs w:val="22"/>
                <w:lang w:eastAsia="es-CO"/>
              </w:rPr>
            </w:pPr>
            <w:r w:rsidRPr="007741AF">
              <w:rPr>
                <w:rFonts w:ascii="Verdana" w:hAnsi="Verdana"/>
                <w:color w:val="000000" w:themeColor="text1"/>
                <w:sz w:val="22"/>
                <w:szCs w:val="22"/>
                <w:lang w:eastAsia="es-CO"/>
              </w:rPr>
              <w:t>Capital de trabajo</w:t>
            </w:r>
          </w:p>
        </w:tc>
        <w:tc>
          <w:tcPr>
            <w:tcW w:w="2296" w:type="dxa"/>
            <w:tcBorders>
              <w:top w:val="single" w:sz="4" w:space="0" w:color="auto"/>
              <w:left w:val="single" w:sz="4" w:space="0" w:color="auto"/>
              <w:bottom w:val="single" w:sz="4" w:space="0" w:color="auto"/>
              <w:right w:val="single" w:sz="4" w:space="0" w:color="auto"/>
            </w:tcBorders>
            <w:noWrap/>
            <w:vAlign w:val="center"/>
          </w:tcPr>
          <w:p w14:paraId="6AA82AAC" w14:textId="7B736740" w:rsidR="00F90896" w:rsidRPr="007741AF" w:rsidRDefault="00F90896" w:rsidP="00921546">
            <w:pPr>
              <w:jc w:val="center"/>
              <w:rPr>
                <w:rFonts w:ascii="Verdana" w:hAnsi="Verdana"/>
                <w:color w:val="000000"/>
                <w:sz w:val="22"/>
                <w:szCs w:val="22"/>
              </w:rPr>
            </w:pPr>
            <w:r w:rsidRPr="007741AF">
              <w:rPr>
                <w:rFonts w:ascii="Verdana" w:hAnsi="Verdana"/>
                <w:color w:val="000000" w:themeColor="text1"/>
                <w:sz w:val="22"/>
                <w:szCs w:val="22"/>
              </w:rPr>
              <w:t xml:space="preserve">$ </w:t>
            </w:r>
            <w:r w:rsidR="00726873">
              <w:rPr>
                <w:rFonts w:ascii="Verdana" w:hAnsi="Verdana"/>
                <w:color w:val="000000" w:themeColor="text1"/>
                <w:sz w:val="22"/>
                <w:szCs w:val="22"/>
              </w:rPr>
              <w:t>394.296.471</w:t>
            </w:r>
          </w:p>
        </w:tc>
        <w:tc>
          <w:tcPr>
            <w:tcW w:w="1835" w:type="dxa"/>
            <w:tcBorders>
              <w:top w:val="single" w:sz="4" w:space="0" w:color="auto"/>
              <w:left w:val="single" w:sz="4" w:space="0" w:color="auto"/>
              <w:bottom w:val="single" w:sz="4" w:space="0" w:color="auto"/>
              <w:right w:val="single" w:sz="4" w:space="0" w:color="auto"/>
            </w:tcBorders>
            <w:vAlign w:val="center"/>
          </w:tcPr>
          <w:p w14:paraId="507A0337" w14:textId="75758C9C" w:rsidR="00F90896" w:rsidRPr="007741AF" w:rsidRDefault="004900FB" w:rsidP="00921546">
            <w:pPr>
              <w:jc w:val="center"/>
              <w:rPr>
                <w:rFonts w:ascii="Verdana" w:hAnsi="Verdana"/>
                <w:color w:val="000000"/>
                <w:sz w:val="22"/>
                <w:szCs w:val="22"/>
                <w:lang w:eastAsia="es-CO"/>
              </w:rPr>
            </w:pPr>
            <w:r>
              <w:rPr>
                <w:rFonts w:ascii="Verdana" w:hAnsi="Verdana"/>
                <w:color w:val="000000"/>
                <w:sz w:val="22"/>
                <w:szCs w:val="22"/>
                <w:lang w:eastAsia="es-CO"/>
              </w:rPr>
              <w:t>87,95%</w:t>
            </w:r>
          </w:p>
        </w:tc>
        <w:tc>
          <w:tcPr>
            <w:tcW w:w="1487" w:type="dxa"/>
            <w:vMerge/>
            <w:tcBorders>
              <w:left w:val="single" w:sz="4" w:space="0" w:color="auto"/>
              <w:bottom w:val="single" w:sz="4" w:space="0" w:color="auto"/>
              <w:right w:val="single" w:sz="4" w:space="0" w:color="auto"/>
            </w:tcBorders>
          </w:tcPr>
          <w:p w14:paraId="73DA430C" w14:textId="77777777" w:rsidR="00F90896" w:rsidRPr="007741AF" w:rsidRDefault="00F90896" w:rsidP="00921546">
            <w:pPr>
              <w:jc w:val="center"/>
              <w:rPr>
                <w:rFonts w:ascii="Verdana" w:hAnsi="Verdana"/>
                <w:color w:val="000000"/>
                <w:sz w:val="22"/>
                <w:szCs w:val="22"/>
                <w:lang w:eastAsia="es-CO"/>
              </w:rPr>
            </w:pPr>
          </w:p>
        </w:tc>
      </w:tr>
    </w:tbl>
    <w:p w14:paraId="7796CC72" w14:textId="530BE276" w:rsidR="001360D2" w:rsidRDefault="005C133F" w:rsidP="005C133F">
      <w:pPr>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15F9C74A" w14:textId="77777777" w:rsidR="005C133F" w:rsidRDefault="005C133F" w:rsidP="005C133F">
      <w:pPr>
        <w:jc w:val="center"/>
        <w:rPr>
          <w:rFonts w:ascii="Verdana" w:hAnsi="Verdana" w:cs="Arial"/>
          <w:lang w:val="es-MX"/>
        </w:rPr>
      </w:pPr>
    </w:p>
    <w:p w14:paraId="1FEDD7A0" w14:textId="77777777" w:rsidR="005C133F" w:rsidRPr="00611315" w:rsidRDefault="005C133F" w:rsidP="005C133F">
      <w:pPr>
        <w:jc w:val="center"/>
        <w:rPr>
          <w:rFonts w:ascii="Verdana" w:hAnsi="Verdana" w:cs="Arial"/>
          <w:b/>
          <w:sz w:val="22"/>
          <w:szCs w:val="22"/>
          <w:highlight w:val="yellow"/>
          <w:lang w:val="es-MX"/>
        </w:rPr>
      </w:pPr>
    </w:p>
    <w:p w14:paraId="6F2E2BC5" w14:textId="77777777" w:rsidR="001360D2" w:rsidRPr="009673C4" w:rsidRDefault="001360D2" w:rsidP="001360D2">
      <w:pPr>
        <w:ind w:left="66"/>
        <w:jc w:val="both"/>
        <w:rPr>
          <w:rFonts w:ascii="Verdana" w:hAnsi="Verdana"/>
          <w:b/>
          <w:sz w:val="22"/>
          <w:szCs w:val="22"/>
          <w:lang w:val="es-MX"/>
        </w:rPr>
      </w:pPr>
      <w:r w:rsidRPr="009673C4">
        <w:rPr>
          <w:rFonts w:ascii="Verdana" w:hAnsi="Verdana"/>
          <w:b/>
          <w:sz w:val="22"/>
          <w:szCs w:val="22"/>
          <w:lang w:val="es-MX"/>
        </w:rPr>
        <w:t>Escenario 2</w:t>
      </w:r>
    </w:p>
    <w:p w14:paraId="5952163B" w14:textId="77777777" w:rsidR="001360D2" w:rsidRPr="009673C4" w:rsidRDefault="001360D2" w:rsidP="001360D2">
      <w:pPr>
        <w:ind w:left="66"/>
        <w:jc w:val="both"/>
        <w:rPr>
          <w:rFonts w:ascii="Verdana" w:hAnsi="Verdana"/>
          <w:b/>
          <w:sz w:val="22"/>
          <w:szCs w:val="22"/>
          <w:lang w:val="es-MX"/>
        </w:rPr>
      </w:pPr>
    </w:p>
    <w:p w14:paraId="3D2BC467" w14:textId="70B3EE1A" w:rsidR="001360D2" w:rsidRPr="009673C4" w:rsidRDefault="001360D2" w:rsidP="001360D2">
      <w:pPr>
        <w:ind w:left="66"/>
        <w:jc w:val="both"/>
        <w:rPr>
          <w:rFonts w:ascii="Verdana" w:hAnsi="Verdana"/>
          <w:b/>
          <w:sz w:val="22"/>
          <w:szCs w:val="22"/>
          <w:lang w:val="es-MX"/>
        </w:rPr>
      </w:pPr>
      <w:r w:rsidRPr="009673C4">
        <w:rPr>
          <w:rFonts w:ascii="Verdana" w:hAnsi="Verdana"/>
          <w:b/>
          <w:sz w:val="22"/>
          <w:szCs w:val="22"/>
          <w:lang w:val="es-MX"/>
        </w:rPr>
        <w:t xml:space="preserve">Objeto: </w:t>
      </w:r>
      <w:r w:rsidR="0071588C" w:rsidRPr="009673C4">
        <w:rPr>
          <w:rFonts w:ascii="Verdana" w:hAnsi="Verdana"/>
          <w:sz w:val="22"/>
          <w:szCs w:val="22"/>
          <w:lang w:val="es-MX"/>
        </w:rPr>
        <w:t>CONSTRUCCIÓN DEL ACUEDUCTO SANTO DOMINGO – ZONA RURAL DEL MUNICIPIO DE MANZANARES DEL DEPARTAMENTO DE CALDAS.</w:t>
      </w:r>
    </w:p>
    <w:p w14:paraId="531A7DA1" w14:textId="04435179" w:rsidR="001360D2" w:rsidRPr="009673C4" w:rsidRDefault="001360D2" w:rsidP="001360D2">
      <w:pPr>
        <w:ind w:left="66"/>
        <w:jc w:val="both"/>
        <w:rPr>
          <w:rFonts w:ascii="Verdana" w:hAnsi="Verdana"/>
          <w:b/>
          <w:sz w:val="22"/>
          <w:szCs w:val="22"/>
          <w:lang w:val="es-MX"/>
        </w:rPr>
      </w:pPr>
      <w:r w:rsidRPr="009673C4">
        <w:rPr>
          <w:rFonts w:ascii="Verdana" w:hAnsi="Verdana"/>
          <w:b/>
          <w:sz w:val="22"/>
          <w:szCs w:val="22"/>
          <w:lang w:val="es-MX"/>
        </w:rPr>
        <w:t xml:space="preserve">Presupuesto oficial: </w:t>
      </w:r>
      <w:r w:rsidRPr="009673C4">
        <w:rPr>
          <w:rFonts w:ascii="Verdana" w:hAnsi="Verdana"/>
          <w:sz w:val="22"/>
          <w:szCs w:val="22"/>
          <w:lang w:val="es-MX"/>
        </w:rPr>
        <w:t>$</w:t>
      </w:r>
      <w:r w:rsidRPr="009673C4">
        <w:rPr>
          <w:rFonts w:ascii="Verdana" w:hAnsi="Verdana"/>
          <w:sz w:val="22"/>
          <w:szCs w:val="22"/>
        </w:rPr>
        <w:t xml:space="preserve"> </w:t>
      </w:r>
      <w:r w:rsidR="009673C4" w:rsidRPr="009673C4">
        <w:rPr>
          <w:rFonts w:ascii="Verdana" w:hAnsi="Verdana"/>
          <w:sz w:val="22"/>
          <w:szCs w:val="22"/>
          <w:lang w:val="es-MX"/>
        </w:rPr>
        <w:t>1.794.849.527</w:t>
      </w:r>
    </w:p>
    <w:p w14:paraId="3A527E01" w14:textId="017CE62F" w:rsidR="001360D2" w:rsidRPr="009673C4" w:rsidRDefault="001360D2" w:rsidP="001360D2">
      <w:pPr>
        <w:ind w:left="66"/>
        <w:jc w:val="both"/>
        <w:rPr>
          <w:rFonts w:ascii="Verdana" w:hAnsi="Verdana"/>
          <w:b/>
          <w:sz w:val="22"/>
          <w:szCs w:val="22"/>
          <w:lang w:val="es-MX"/>
        </w:rPr>
      </w:pPr>
      <w:r w:rsidRPr="009673C4">
        <w:rPr>
          <w:rFonts w:ascii="Verdana" w:hAnsi="Verdana"/>
          <w:b/>
          <w:sz w:val="22"/>
          <w:szCs w:val="22"/>
          <w:lang w:val="es-MX"/>
        </w:rPr>
        <w:t xml:space="preserve">Plazo: </w:t>
      </w:r>
      <w:r w:rsidR="009673C4" w:rsidRPr="009673C4">
        <w:rPr>
          <w:rFonts w:ascii="Verdana" w:hAnsi="Verdana"/>
          <w:sz w:val="22"/>
          <w:szCs w:val="22"/>
          <w:lang w:val="es-MX"/>
        </w:rPr>
        <w:t>6</w:t>
      </w:r>
      <w:r w:rsidRPr="009673C4">
        <w:rPr>
          <w:rFonts w:ascii="Verdana" w:hAnsi="Verdana"/>
          <w:sz w:val="22"/>
          <w:szCs w:val="22"/>
          <w:lang w:val="es-MX"/>
        </w:rPr>
        <w:t xml:space="preserve"> meses</w:t>
      </w:r>
    </w:p>
    <w:p w14:paraId="09B8B127" w14:textId="77777777" w:rsidR="001360D2" w:rsidRPr="009673C4" w:rsidRDefault="001360D2" w:rsidP="001360D2">
      <w:pPr>
        <w:ind w:left="66"/>
        <w:jc w:val="both"/>
        <w:rPr>
          <w:rFonts w:ascii="Verdana" w:hAnsi="Verdana"/>
          <w:b/>
          <w:sz w:val="22"/>
          <w:szCs w:val="22"/>
          <w:lang w:val="es-MX"/>
        </w:rPr>
      </w:pPr>
      <w:r w:rsidRPr="009673C4">
        <w:rPr>
          <w:rFonts w:ascii="Verdana" w:hAnsi="Verdana"/>
          <w:b/>
          <w:sz w:val="22"/>
          <w:szCs w:val="22"/>
          <w:lang w:val="es-MX"/>
        </w:rPr>
        <w:t xml:space="preserve">Anticipo/Pago anticipado: </w:t>
      </w:r>
      <w:r w:rsidRPr="009673C4">
        <w:rPr>
          <w:rFonts w:ascii="Verdana" w:hAnsi="Verdana"/>
          <w:sz w:val="22"/>
          <w:szCs w:val="22"/>
          <w:lang w:val="es-MX"/>
        </w:rPr>
        <w:t>0%</w:t>
      </w:r>
    </w:p>
    <w:p w14:paraId="0D70CEE8" w14:textId="63D6B129" w:rsidR="001360D2" w:rsidRPr="009673C4" w:rsidRDefault="001360D2" w:rsidP="001360D2">
      <w:pPr>
        <w:ind w:left="66"/>
        <w:jc w:val="both"/>
        <w:rPr>
          <w:rFonts w:ascii="Verdana" w:hAnsi="Verdana"/>
          <w:b/>
          <w:sz w:val="22"/>
          <w:szCs w:val="22"/>
          <w:lang w:val="en-US"/>
        </w:rPr>
      </w:pPr>
      <w:r w:rsidRPr="009673C4">
        <w:rPr>
          <w:rFonts w:ascii="Verdana" w:hAnsi="Verdana"/>
          <w:b/>
          <w:sz w:val="22"/>
          <w:szCs w:val="22"/>
          <w:lang w:val="en-US"/>
        </w:rPr>
        <w:t xml:space="preserve">Link: </w:t>
      </w:r>
      <w:hyperlink r:id="rId52" w:history="1">
        <w:r w:rsidR="005A5D1E" w:rsidRPr="005A5D1E">
          <w:rPr>
            <w:rStyle w:val="Hipervnculo"/>
            <w:rFonts w:ascii="Verdana" w:hAnsi="Verdana"/>
            <w:bCs/>
            <w:sz w:val="22"/>
            <w:szCs w:val="22"/>
            <w:lang w:val="en-US"/>
          </w:rPr>
          <w:t>https://community.secop.gov.co/Public/Tendering/OpportunityDetail/Index?noticeUID=CO1.NTC.941211&amp;isFromPublicArea=True&amp;isModal=true&amp;asPopupView=true</w:t>
        </w:r>
      </w:hyperlink>
      <w:r w:rsidR="005A5D1E">
        <w:rPr>
          <w:rFonts w:ascii="Verdana" w:hAnsi="Verdana"/>
          <w:b/>
          <w:sz w:val="22"/>
          <w:szCs w:val="22"/>
          <w:lang w:val="en-US"/>
        </w:rPr>
        <w:t xml:space="preserve"> </w:t>
      </w:r>
    </w:p>
    <w:p w14:paraId="0D63C762" w14:textId="77777777" w:rsidR="00CC69E3" w:rsidRPr="00611315" w:rsidRDefault="00CC69E3" w:rsidP="001360D2">
      <w:pPr>
        <w:ind w:left="66"/>
        <w:jc w:val="both"/>
        <w:rPr>
          <w:rFonts w:ascii="Verdana" w:hAnsi="Verdana"/>
          <w:b/>
          <w:sz w:val="22"/>
          <w:szCs w:val="22"/>
          <w:highlight w:val="yellow"/>
          <w:lang w:val="en-US"/>
        </w:rPr>
      </w:pPr>
    </w:p>
    <w:p w14:paraId="570C5EB9" w14:textId="77777777" w:rsidR="00CC69E3" w:rsidRPr="00290C1A" w:rsidRDefault="00CC69E3" w:rsidP="001360D2">
      <w:pPr>
        <w:ind w:left="66"/>
        <w:jc w:val="both"/>
        <w:rPr>
          <w:rFonts w:ascii="Verdana" w:hAnsi="Verdana"/>
          <w:b/>
          <w:sz w:val="22"/>
          <w:szCs w:val="22"/>
          <w:lang w:val="en-US"/>
        </w:rPr>
      </w:pPr>
    </w:p>
    <w:p w14:paraId="1F2C1FD2" w14:textId="05F1F81E" w:rsidR="00CC69E3" w:rsidRPr="00290C1A" w:rsidRDefault="00CC69E3" w:rsidP="00CC69E3">
      <w:pPr>
        <w:pStyle w:val="Descripcin"/>
        <w:jc w:val="center"/>
        <w:rPr>
          <w:rFonts w:ascii="Verdana" w:hAnsi="Verdana"/>
          <w:bCs w:val="0"/>
          <w:sz w:val="24"/>
          <w:szCs w:val="24"/>
          <w:lang w:val="en-US"/>
        </w:rPr>
      </w:pPr>
      <w:bookmarkStart w:id="453" w:name="_Toc231368685"/>
      <w:r w:rsidRPr="00290C1A">
        <w:rPr>
          <w:rFonts w:ascii="Verdana" w:hAnsi="Verdana"/>
          <w:sz w:val="22"/>
          <w:szCs w:val="22"/>
        </w:rPr>
        <w:t xml:space="preserve">Tabla </w:t>
      </w:r>
      <w:r w:rsidRPr="00290C1A">
        <w:rPr>
          <w:rFonts w:ascii="Verdana" w:hAnsi="Verdana"/>
          <w:sz w:val="22"/>
          <w:szCs w:val="22"/>
        </w:rPr>
        <w:fldChar w:fldCharType="begin"/>
      </w:r>
      <w:r w:rsidRPr="00290C1A">
        <w:rPr>
          <w:rFonts w:ascii="Verdana" w:hAnsi="Verdana"/>
          <w:sz w:val="22"/>
          <w:szCs w:val="22"/>
        </w:rPr>
        <w:instrText xml:space="preserve"> SEQ Tabla \* ARABIC </w:instrText>
      </w:r>
      <w:r w:rsidRPr="00290C1A">
        <w:rPr>
          <w:rFonts w:ascii="Verdana" w:hAnsi="Verdana"/>
          <w:sz w:val="22"/>
          <w:szCs w:val="22"/>
        </w:rPr>
        <w:fldChar w:fldCharType="separate"/>
      </w:r>
      <w:r w:rsidR="001578AB" w:rsidRPr="00290C1A">
        <w:rPr>
          <w:rFonts w:ascii="Verdana" w:hAnsi="Verdana"/>
          <w:noProof/>
          <w:sz w:val="22"/>
          <w:szCs w:val="22"/>
        </w:rPr>
        <w:t>18</w:t>
      </w:r>
      <w:r w:rsidRPr="00290C1A">
        <w:rPr>
          <w:rFonts w:ascii="Verdana" w:hAnsi="Verdana"/>
          <w:sz w:val="22"/>
          <w:szCs w:val="22"/>
        </w:rPr>
        <w:fldChar w:fldCharType="end"/>
      </w:r>
      <w:r w:rsidRPr="00290C1A">
        <w:rPr>
          <w:rFonts w:ascii="Verdana" w:hAnsi="Verdana"/>
          <w:sz w:val="22"/>
          <w:szCs w:val="22"/>
        </w:rPr>
        <w:t>. Requisitos escenario 2</w:t>
      </w:r>
      <w:bookmarkEnd w:id="453"/>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290C1A" w14:paraId="02123271" w14:textId="77777777" w:rsidTr="00921546">
        <w:trPr>
          <w:trHeight w:val="315"/>
          <w:tblHeader/>
          <w:jc w:val="center"/>
        </w:trPr>
        <w:tc>
          <w:tcPr>
            <w:tcW w:w="3220" w:type="dxa"/>
            <w:tcBorders>
              <w:top w:val="nil"/>
              <w:left w:val="nil"/>
              <w:bottom w:val="nil"/>
              <w:right w:val="single" w:sz="4" w:space="0" w:color="auto"/>
            </w:tcBorders>
            <w:noWrap/>
            <w:vAlign w:val="bottom"/>
            <w:hideMark/>
          </w:tcPr>
          <w:p w14:paraId="3BBE546D" w14:textId="77777777" w:rsidR="001360D2" w:rsidRPr="00290C1A" w:rsidRDefault="001360D2" w:rsidP="00921546">
            <w:pPr>
              <w:rPr>
                <w:rFonts w:ascii="Verdana" w:hAnsi="Verdana"/>
                <w:sz w:val="22"/>
                <w:szCs w:val="22"/>
                <w:lang w:val="en-US"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0FB9B1A4" w14:textId="62582CD5" w:rsidR="001360D2" w:rsidRPr="00290C1A" w:rsidRDefault="001360D2" w:rsidP="00921546">
            <w:pPr>
              <w:jc w:val="center"/>
              <w:rPr>
                <w:rFonts w:ascii="Verdana" w:hAnsi="Verdana"/>
                <w:b/>
                <w:color w:val="000000"/>
                <w:sz w:val="22"/>
                <w:szCs w:val="22"/>
                <w:lang w:eastAsia="es-CO"/>
              </w:rPr>
            </w:pPr>
            <w:r w:rsidRPr="00290C1A">
              <w:rPr>
                <w:rFonts w:ascii="Verdana" w:hAnsi="Verdana"/>
                <w:b/>
                <w:color w:val="000000" w:themeColor="text1"/>
                <w:sz w:val="22"/>
                <w:szCs w:val="22"/>
              </w:rPr>
              <w:t xml:space="preserve">No </w:t>
            </w:r>
            <w:r w:rsidR="00CA406B" w:rsidRPr="00290C1A">
              <w:rPr>
                <w:rFonts w:ascii="Verdana" w:hAnsi="Verdana"/>
                <w:b/>
                <w:color w:val="000000" w:themeColor="text1"/>
                <w:sz w:val="22"/>
                <w:szCs w:val="22"/>
              </w:rPr>
              <w:t>MiPymes</w:t>
            </w:r>
            <w:r w:rsidRPr="00290C1A">
              <w:rPr>
                <w:rFonts w:ascii="Verdana" w:hAnsi="Verdana"/>
                <w:b/>
                <w:color w:val="000000" w:themeColor="text1"/>
                <w:sz w:val="22"/>
                <w:szCs w:val="22"/>
              </w:rPr>
              <w:t xml:space="preserve"> (&lt; </w:t>
            </w:r>
            <w:r w:rsidR="00B85D54">
              <w:rPr>
                <w:rFonts w:ascii="Verdana" w:hAnsi="Verdana"/>
                <w:b/>
                <w:color w:val="000000" w:themeColor="text1"/>
                <w:sz w:val="22"/>
                <w:szCs w:val="22"/>
              </w:rPr>
              <w:t>13</w:t>
            </w:r>
            <w:r w:rsidRPr="00290C1A">
              <w:rPr>
                <w:rFonts w:ascii="Verdana" w:hAnsi="Verdana"/>
                <w:b/>
                <w:color w:val="000000" w:themeColor="text1"/>
                <w:sz w:val="22"/>
                <w:szCs w:val="22"/>
              </w:rPr>
              <w:t xml:space="preserve">.000 </w:t>
            </w:r>
            <w:proofErr w:type="spellStart"/>
            <w:r w:rsidRPr="00290C1A">
              <w:rPr>
                <w:rFonts w:ascii="Verdana" w:hAnsi="Verdana"/>
                <w:b/>
                <w:color w:val="000000" w:themeColor="text1"/>
                <w:sz w:val="22"/>
                <w:szCs w:val="22"/>
              </w:rPr>
              <w:t>Smmlv</w:t>
            </w:r>
            <w:proofErr w:type="spellEnd"/>
            <w:r w:rsidRPr="00290C1A">
              <w:rPr>
                <w:rFonts w:ascii="Verdana" w:hAnsi="Verdana"/>
                <w:b/>
                <w:color w:val="000000" w:themeColor="text1"/>
                <w:sz w:val="22"/>
                <w:szCs w:val="22"/>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61E0A476" w14:textId="77777777" w:rsidR="001360D2" w:rsidRPr="00290C1A" w:rsidRDefault="001360D2" w:rsidP="00921546">
            <w:pPr>
              <w:jc w:val="center"/>
              <w:rPr>
                <w:rFonts w:ascii="Verdana" w:hAnsi="Verdana"/>
                <w:b/>
                <w:color w:val="000000"/>
                <w:sz w:val="22"/>
                <w:szCs w:val="22"/>
                <w:lang w:eastAsia="es-CO"/>
              </w:rPr>
            </w:pPr>
            <w:r w:rsidRPr="00290C1A">
              <w:rPr>
                <w:rFonts w:ascii="Verdana" w:hAnsi="Verdana"/>
                <w:b/>
                <w:color w:val="000000" w:themeColor="text1"/>
                <w:sz w:val="22"/>
                <w:szCs w:val="22"/>
                <w:lang w:eastAsia="es-CO"/>
              </w:rPr>
              <w:t>Nivel de cumplimiento</w:t>
            </w:r>
          </w:p>
        </w:tc>
      </w:tr>
      <w:tr w:rsidR="00290C1A" w:rsidRPr="00290C1A" w14:paraId="6E6C8D3C" w14:textId="77777777" w:rsidTr="000461FC">
        <w:trPr>
          <w:trHeight w:val="315"/>
          <w:jc w:val="center"/>
        </w:trPr>
        <w:tc>
          <w:tcPr>
            <w:tcW w:w="3220" w:type="dxa"/>
            <w:tcBorders>
              <w:top w:val="nil"/>
              <w:left w:val="nil"/>
              <w:bottom w:val="nil"/>
              <w:right w:val="single" w:sz="4" w:space="0" w:color="auto"/>
            </w:tcBorders>
            <w:noWrap/>
            <w:vAlign w:val="bottom"/>
            <w:hideMark/>
          </w:tcPr>
          <w:p w14:paraId="0F25B7ED" w14:textId="77777777" w:rsidR="00290C1A" w:rsidRPr="00290C1A" w:rsidRDefault="00290C1A" w:rsidP="00290C1A">
            <w:pPr>
              <w:rPr>
                <w:rFonts w:ascii="Verdana" w:hAnsi="Verdana"/>
                <w:color w:val="000000"/>
                <w:sz w:val="22"/>
                <w:szCs w:val="22"/>
                <w:lang w:eastAsia="es-CO"/>
              </w:rPr>
            </w:pPr>
            <w:r w:rsidRPr="00290C1A">
              <w:rPr>
                <w:rFonts w:ascii="Verdana" w:hAnsi="Verdana"/>
                <w:color w:val="000000" w:themeColor="text1"/>
                <w:sz w:val="22"/>
                <w:szCs w:val="22"/>
                <w:lang w:eastAsia="es-CO"/>
              </w:rPr>
              <w:t>Liquidez</w:t>
            </w: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350DAC48" w14:textId="0402FAC7"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1,3</w:t>
            </w:r>
          </w:p>
        </w:tc>
        <w:tc>
          <w:tcPr>
            <w:tcW w:w="1835" w:type="dxa"/>
            <w:tcBorders>
              <w:top w:val="single" w:sz="4" w:space="0" w:color="auto"/>
              <w:left w:val="nil"/>
              <w:bottom w:val="single" w:sz="4" w:space="0" w:color="auto"/>
              <w:right w:val="single" w:sz="4" w:space="0" w:color="auto"/>
            </w:tcBorders>
            <w:vAlign w:val="center"/>
          </w:tcPr>
          <w:p w14:paraId="689724F0" w14:textId="2814F44F"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98,47%</w:t>
            </w:r>
          </w:p>
        </w:tc>
        <w:tc>
          <w:tcPr>
            <w:tcW w:w="1487" w:type="dxa"/>
            <w:vMerge w:val="restart"/>
            <w:tcBorders>
              <w:top w:val="single" w:sz="4" w:space="0" w:color="auto"/>
              <w:left w:val="single" w:sz="4" w:space="0" w:color="auto"/>
              <w:right w:val="single" w:sz="4" w:space="0" w:color="auto"/>
            </w:tcBorders>
            <w:vAlign w:val="center"/>
          </w:tcPr>
          <w:p w14:paraId="097102C7" w14:textId="77777777" w:rsidR="00290C1A" w:rsidRPr="00290C1A" w:rsidRDefault="00290C1A" w:rsidP="00290C1A">
            <w:pPr>
              <w:jc w:val="center"/>
              <w:rPr>
                <w:rFonts w:ascii="Verdana" w:hAnsi="Verdana"/>
                <w:color w:val="000000"/>
                <w:sz w:val="22"/>
                <w:szCs w:val="22"/>
                <w:lang w:eastAsia="es-CO"/>
              </w:rPr>
            </w:pPr>
          </w:p>
          <w:p w14:paraId="4F843BDF" w14:textId="16A9D682" w:rsidR="00290C1A" w:rsidRPr="00290C1A" w:rsidRDefault="000461FC" w:rsidP="00290C1A">
            <w:pPr>
              <w:jc w:val="center"/>
              <w:rPr>
                <w:rFonts w:ascii="Verdana" w:hAnsi="Verdana"/>
                <w:color w:val="000000"/>
                <w:sz w:val="22"/>
                <w:szCs w:val="22"/>
                <w:lang w:eastAsia="es-CO"/>
              </w:rPr>
            </w:pPr>
            <w:r>
              <w:rPr>
                <w:rFonts w:ascii="Verdana" w:hAnsi="Verdana"/>
                <w:color w:val="000000" w:themeColor="text1"/>
                <w:sz w:val="22"/>
                <w:szCs w:val="22"/>
                <w:lang w:eastAsia="es-CO"/>
              </w:rPr>
              <w:t>72</w:t>
            </w:r>
            <w:r w:rsidR="00290C1A" w:rsidRPr="00290C1A">
              <w:rPr>
                <w:rFonts w:ascii="Verdana" w:hAnsi="Verdana"/>
                <w:color w:val="000000" w:themeColor="text1"/>
                <w:sz w:val="22"/>
                <w:szCs w:val="22"/>
                <w:lang w:eastAsia="es-CO"/>
              </w:rPr>
              <w:t>,</w:t>
            </w:r>
            <w:r>
              <w:rPr>
                <w:rFonts w:ascii="Verdana" w:hAnsi="Verdana"/>
                <w:color w:val="000000" w:themeColor="text1"/>
                <w:sz w:val="22"/>
                <w:szCs w:val="22"/>
                <w:lang w:eastAsia="es-CO"/>
              </w:rPr>
              <w:t>16</w:t>
            </w:r>
            <w:r w:rsidR="00290C1A" w:rsidRPr="00290C1A">
              <w:rPr>
                <w:rFonts w:ascii="Verdana" w:hAnsi="Verdana"/>
                <w:color w:val="000000" w:themeColor="text1"/>
                <w:sz w:val="22"/>
                <w:szCs w:val="22"/>
                <w:lang w:eastAsia="es-CO"/>
              </w:rPr>
              <w:t>%</w:t>
            </w:r>
          </w:p>
          <w:p w14:paraId="1EF9C0F7" w14:textId="542ECE07" w:rsidR="00290C1A" w:rsidRPr="00290C1A" w:rsidRDefault="00290C1A" w:rsidP="00290C1A">
            <w:pPr>
              <w:jc w:val="center"/>
              <w:rPr>
                <w:rFonts w:ascii="Verdana" w:hAnsi="Verdana"/>
                <w:color w:val="000000"/>
                <w:sz w:val="22"/>
                <w:szCs w:val="22"/>
                <w:lang w:eastAsia="es-CO"/>
              </w:rPr>
            </w:pPr>
            <w:r w:rsidRPr="00290C1A">
              <w:rPr>
                <w:rFonts w:ascii="Verdana" w:hAnsi="Verdana"/>
                <w:color w:val="000000" w:themeColor="text1"/>
                <w:sz w:val="22"/>
                <w:szCs w:val="22"/>
                <w:lang w:eastAsia="es-CO"/>
              </w:rPr>
              <w:t>(</w:t>
            </w:r>
            <w:r w:rsidR="000461FC">
              <w:rPr>
                <w:rFonts w:ascii="Verdana" w:hAnsi="Verdana"/>
                <w:color w:val="000000" w:themeColor="text1"/>
                <w:sz w:val="22"/>
                <w:szCs w:val="22"/>
                <w:lang w:eastAsia="es-CO"/>
              </w:rPr>
              <w:t>435</w:t>
            </w:r>
            <w:r w:rsidRPr="00290C1A">
              <w:rPr>
                <w:rFonts w:ascii="Verdana" w:hAnsi="Verdana"/>
                <w:color w:val="000000" w:themeColor="text1"/>
                <w:sz w:val="22"/>
                <w:szCs w:val="22"/>
                <w:lang w:eastAsia="es-CO"/>
              </w:rPr>
              <w:t xml:space="preserve"> empresas)</w:t>
            </w:r>
          </w:p>
        </w:tc>
      </w:tr>
      <w:tr w:rsidR="00290C1A" w:rsidRPr="00290C1A" w14:paraId="5FC81390" w14:textId="77777777" w:rsidTr="009345F0">
        <w:trPr>
          <w:trHeight w:val="315"/>
          <w:jc w:val="center"/>
        </w:trPr>
        <w:tc>
          <w:tcPr>
            <w:tcW w:w="3220" w:type="dxa"/>
            <w:tcBorders>
              <w:top w:val="nil"/>
              <w:left w:val="nil"/>
              <w:bottom w:val="nil"/>
              <w:right w:val="single" w:sz="4" w:space="0" w:color="auto"/>
            </w:tcBorders>
            <w:noWrap/>
            <w:vAlign w:val="bottom"/>
            <w:hideMark/>
          </w:tcPr>
          <w:p w14:paraId="557317E7" w14:textId="77777777" w:rsidR="00290C1A" w:rsidRPr="00290C1A" w:rsidRDefault="00290C1A" w:rsidP="00290C1A">
            <w:pPr>
              <w:rPr>
                <w:rFonts w:ascii="Verdana" w:hAnsi="Verdana"/>
                <w:color w:val="000000"/>
                <w:sz w:val="22"/>
                <w:szCs w:val="22"/>
                <w:lang w:eastAsia="es-CO"/>
              </w:rPr>
            </w:pPr>
            <w:r w:rsidRPr="00290C1A">
              <w:rPr>
                <w:rFonts w:ascii="Verdana" w:hAnsi="Verdana"/>
                <w:color w:val="000000" w:themeColor="text1"/>
                <w:sz w:val="22"/>
                <w:szCs w:val="22"/>
                <w:lang w:eastAsia="es-CO"/>
              </w:rPr>
              <w:t>Endeudamiento</w:t>
            </w:r>
          </w:p>
        </w:tc>
        <w:tc>
          <w:tcPr>
            <w:tcW w:w="2296" w:type="dxa"/>
            <w:tcBorders>
              <w:top w:val="nil"/>
              <w:left w:val="single" w:sz="4" w:space="0" w:color="auto"/>
              <w:bottom w:val="single" w:sz="4" w:space="0" w:color="auto"/>
              <w:right w:val="single" w:sz="4" w:space="0" w:color="auto"/>
            </w:tcBorders>
            <w:noWrap/>
            <w:vAlign w:val="center"/>
            <w:hideMark/>
          </w:tcPr>
          <w:p w14:paraId="3B68E258" w14:textId="1821E2B5"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0,7</w:t>
            </w:r>
          </w:p>
        </w:tc>
        <w:tc>
          <w:tcPr>
            <w:tcW w:w="1835" w:type="dxa"/>
            <w:tcBorders>
              <w:top w:val="nil"/>
              <w:left w:val="nil"/>
              <w:bottom w:val="single" w:sz="4" w:space="0" w:color="auto"/>
              <w:right w:val="single" w:sz="4" w:space="0" w:color="auto"/>
            </w:tcBorders>
            <w:vAlign w:val="center"/>
          </w:tcPr>
          <w:p w14:paraId="41C01340" w14:textId="7919C229"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96,10%</w:t>
            </w:r>
          </w:p>
        </w:tc>
        <w:tc>
          <w:tcPr>
            <w:tcW w:w="1487" w:type="dxa"/>
            <w:vMerge/>
            <w:tcBorders>
              <w:left w:val="single" w:sz="4" w:space="0" w:color="auto"/>
              <w:right w:val="single" w:sz="4" w:space="0" w:color="auto"/>
            </w:tcBorders>
          </w:tcPr>
          <w:p w14:paraId="00AF4A75" w14:textId="77777777" w:rsidR="00290C1A" w:rsidRPr="00290C1A" w:rsidRDefault="00290C1A" w:rsidP="00290C1A">
            <w:pPr>
              <w:jc w:val="center"/>
              <w:rPr>
                <w:rFonts w:ascii="Verdana" w:hAnsi="Verdana"/>
                <w:color w:val="000000"/>
                <w:lang w:eastAsia="es-CO"/>
              </w:rPr>
            </w:pPr>
          </w:p>
        </w:tc>
      </w:tr>
      <w:tr w:rsidR="00290C1A" w:rsidRPr="00290C1A" w14:paraId="4453A567" w14:textId="77777777" w:rsidTr="009345F0">
        <w:trPr>
          <w:trHeight w:val="315"/>
          <w:jc w:val="center"/>
        </w:trPr>
        <w:tc>
          <w:tcPr>
            <w:tcW w:w="3220" w:type="dxa"/>
            <w:tcBorders>
              <w:top w:val="nil"/>
              <w:left w:val="nil"/>
              <w:bottom w:val="nil"/>
              <w:right w:val="single" w:sz="4" w:space="0" w:color="auto"/>
            </w:tcBorders>
            <w:noWrap/>
            <w:vAlign w:val="bottom"/>
            <w:hideMark/>
          </w:tcPr>
          <w:p w14:paraId="19A369D6" w14:textId="77777777" w:rsidR="00290C1A" w:rsidRPr="00290C1A" w:rsidRDefault="00290C1A" w:rsidP="00290C1A">
            <w:pPr>
              <w:rPr>
                <w:rFonts w:ascii="Verdana" w:hAnsi="Verdana"/>
                <w:color w:val="000000"/>
                <w:sz w:val="22"/>
                <w:szCs w:val="22"/>
                <w:lang w:eastAsia="es-CO"/>
              </w:rPr>
            </w:pPr>
            <w:r w:rsidRPr="00290C1A">
              <w:rPr>
                <w:rFonts w:ascii="Verdana" w:hAnsi="Verdana"/>
                <w:color w:val="000000" w:themeColor="text1"/>
                <w:sz w:val="22"/>
                <w:szCs w:val="22"/>
                <w:lang w:eastAsia="es-CO"/>
              </w:rPr>
              <w:t>Razón de cobertura de interés</w:t>
            </w:r>
          </w:p>
        </w:tc>
        <w:tc>
          <w:tcPr>
            <w:tcW w:w="2296" w:type="dxa"/>
            <w:tcBorders>
              <w:top w:val="nil"/>
              <w:left w:val="single" w:sz="4" w:space="0" w:color="auto"/>
              <w:bottom w:val="single" w:sz="4" w:space="0" w:color="auto"/>
              <w:right w:val="single" w:sz="4" w:space="0" w:color="auto"/>
            </w:tcBorders>
            <w:noWrap/>
            <w:vAlign w:val="center"/>
            <w:hideMark/>
          </w:tcPr>
          <w:p w14:paraId="2D1FF29D" w14:textId="1CD457D7"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1</w:t>
            </w:r>
          </w:p>
        </w:tc>
        <w:tc>
          <w:tcPr>
            <w:tcW w:w="1835" w:type="dxa"/>
            <w:tcBorders>
              <w:top w:val="nil"/>
              <w:left w:val="nil"/>
              <w:bottom w:val="single" w:sz="4" w:space="0" w:color="auto"/>
              <w:right w:val="single" w:sz="4" w:space="0" w:color="auto"/>
            </w:tcBorders>
            <w:vAlign w:val="center"/>
          </w:tcPr>
          <w:p w14:paraId="3DAB2988" w14:textId="75105662"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98,30%</w:t>
            </w:r>
          </w:p>
        </w:tc>
        <w:tc>
          <w:tcPr>
            <w:tcW w:w="1487" w:type="dxa"/>
            <w:vMerge/>
            <w:tcBorders>
              <w:left w:val="single" w:sz="4" w:space="0" w:color="auto"/>
              <w:right w:val="single" w:sz="4" w:space="0" w:color="auto"/>
            </w:tcBorders>
          </w:tcPr>
          <w:p w14:paraId="6A651E98" w14:textId="77777777" w:rsidR="00290C1A" w:rsidRPr="00290C1A" w:rsidRDefault="00290C1A" w:rsidP="00290C1A">
            <w:pPr>
              <w:jc w:val="center"/>
              <w:rPr>
                <w:rFonts w:ascii="Verdana" w:hAnsi="Verdana"/>
                <w:color w:val="000000"/>
                <w:lang w:eastAsia="es-CO"/>
              </w:rPr>
            </w:pPr>
          </w:p>
        </w:tc>
      </w:tr>
      <w:tr w:rsidR="00290C1A" w:rsidRPr="00290C1A" w14:paraId="1AD8DB01" w14:textId="77777777" w:rsidTr="009345F0">
        <w:trPr>
          <w:trHeight w:val="315"/>
          <w:jc w:val="center"/>
        </w:trPr>
        <w:tc>
          <w:tcPr>
            <w:tcW w:w="3220" w:type="dxa"/>
            <w:tcBorders>
              <w:top w:val="nil"/>
              <w:left w:val="nil"/>
              <w:bottom w:val="nil"/>
              <w:right w:val="single" w:sz="4" w:space="0" w:color="auto"/>
            </w:tcBorders>
            <w:noWrap/>
            <w:vAlign w:val="bottom"/>
            <w:hideMark/>
          </w:tcPr>
          <w:p w14:paraId="57FD47BE" w14:textId="77777777" w:rsidR="00290C1A" w:rsidRPr="00290C1A" w:rsidRDefault="00290C1A" w:rsidP="00290C1A">
            <w:pPr>
              <w:rPr>
                <w:rFonts w:ascii="Verdana" w:hAnsi="Verdana"/>
                <w:color w:val="000000"/>
                <w:sz w:val="22"/>
                <w:szCs w:val="22"/>
                <w:lang w:eastAsia="es-CO"/>
              </w:rPr>
            </w:pPr>
            <w:r w:rsidRPr="00290C1A">
              <w:rPr>
                <w:rFonts w:ascii="Verdana" w:hAnsi="Verdana"/>
                <w:color w:val="000000" w:themeColor="text1"/>
                <w:sz w:val="22"/>
                <w:szCs w:val="22"/>
                <w:lang w:eastAsia="es-CO"/>
              </w:rPr>
              <w:t>Rentabilidad sobre Patrimonio</w:t>
            </w:r>
          </w:p>
        </w:tc>
        <w:tc>
          <w:tcPr>
            <w:tcW w:w="2296" w:type="dxa"/>
            <w:tcBorders>
              <w:top w:val="nil"/>
              <w:left w:val="single" w:sz="4" w:space="0" w:color="auto"/>
              <w:bottom w:val="single" w:sz="4" w:space="0" w:color="auto"/>
              <w:right w:val="single" w:sz="4" w:space="0" w:color="auto"/>
            </w:tcBorders>
            <w:noWrap/>
            <w:vAlign w:val="center"/>
            <w:hideMark/>
          </w:tcPr>
          <w:p w14:paraId="2AB6305F" w14:textId="344F0088"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0,04</w:t>
            </w:r>
          </w:p>
        </w:tc>
        <w:tc>
          <w:tcPr>
            <w:tcW w:w="1835" w:type="dxa"/>
            <w:tcBorders>
              <w:top w:val="nil"/>
              <w:left w:val="nil"/>
              <w:bottom w:val="single" w:sz="4" w:space="0" w:color="auto"/>
              <w:right w:val="single" w:sz="4" w:space="0" w:color="auto"/>
            </w:tcBorders>
            <w:vAlign w:val="center"/>
          </w:tcPr>
          <w:p w14:paraId="2A6A7904" w14:textId="47EF28B5"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92,53%</w:t>
            </w:r>
          </w:p>
        </w:tc>
        <w:tc>
          <w:tcPr>
            <w:tcW w:w="1487" w:type="dxa"/>
            <w:vMerge/>
            <w:tcBorders>
              <w:left w:val="single" w:sz="4" w:space="0" w:color="auto"/>
              <w:right w:val="single" w:sz="4" w:space="0" w:color="auto"/>
            </w:tcBorders>
          </w:tcPr>
          <w:p w14:paraId="51B15363" w14:textId="77777777" w:rsidR="00290C1A" w:rsidRPr="00290C1A" w:rsidRDefault="00290C1A" w:rsidP="00290C1A">
            <w:pPr>
              <w:jc w:val="center"/>
              <w:rPr>
                <w:rFonts w:ascii="Verdana" w:hAnsi="Verdana"/>
                <w:color w:val="000000"/>
                <w:lang w:eastAsia="es-CO"/>
              </w:rPr>
            </w:pPr>
          </w:p>
        </w:tc>
      </w:tr>
      <w:tr w:rsidR="00290C1A" w:rsidRPr="00290C1A" w14:paraId="1A3CBC7B" w14:textId="77777777" w:rsidTr="009345F0">
        <w:trPr>
          <w:trHeight w:val="315"/>
          <w:jc w:val="center"/>
        </w:trPr>
        <w:tc>
          <w:tcPr>
            <w:tcW w:w="3220" w:type="dxa"/>
            <w:tcBorders>
              <w:top w:val="nil"/>
              <w:left w:val="nil"/>
              <w:bottom w:val="nil"/>
              <w:right w:val="single" w:sz="4" w:space="0" w:color="auto"/>
            </w:tcBorders>
            <w:noWrap/>
            <w:vAlign w:val="bottom"/>
            <w:hideMark/>
          </w:tcPr>
          <w:p w14:paraId="0C566745" w14:textId="77777777" w:rsidR="00290C1A" w:rsidRPr="00290C1A" w:rsidRDefault="00290C1A" w:rsidP="00290C1A">
            <w:pPr>
              <w:rPr>
                <w:rFonts w:ascii="Verdana" w:hAnsi="Verdana"/>
                <w:color w:val="000000"/>
                <w:sz w:val="22"/>
                <w:szCs w:val="22"/>
                <w:lang w:eastAsia="es-CO"/>
              </w:rPr>
            </w:pPr>
            <w:r w:rsidRPr="00290C1A">
              <w:rPr>
                <w:rFonts w:ascii="Verdana" w:hAnsi="Verdana"/>
                <w:color w:val="000000" w:themeColor="text1"/>
                <w:sz w:val="22"/>
                <w:szCs w:val="22"/>
                <w:lang w:eastAsia="es-CO"/>
              </w:rPr>
              <w:lastRenderedPageBreak/>
              <w:t>Rentabilidad sobre Activo</w:t>
            </w:r>
          </w:p>
        </w:tc>
        <w:tc>
          <w:tcPr>
            <w:tcW w:w="2296" w:type="dxa"/>
            <w:tcBorders>
              <w:top w:val="nil"/>
              <w:left w:val="single" w:sz="4" w:space="0" w:color="auto"/>
              <w:bottom w:val="single" w:sz="4" w:space="0" w:color="auto"/>
              <w:right w:val="single" w:sz="4" w:space="0" w:color="auto"/>
            </w:tcBorders>
            <w:noWrap/>
            <w:vAlign w:val="center"/>
            <w:hideMark/>
          </w:tcPr>
          <w:p w14:paraId="69C4747E" w14:textId="4C2C8789"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0,02</w:t>
            </w:r>
          </w:p>
        </w:tc>
        <w:tc>
          <w:tcPr>
            <w:tcW w:w="1835" w:type="dxa"/>
            <w:tcBorders>
              <w:top w:val="nil"/>
              <w:left w:val="nil"/>
              <w:bottom w:val="single" w:sz="4" w:space="0" w:color="auto"/>
              <w:right w:val="single" w:sz="4" w:space="0" w:color="auto"/>
            </w:tcBorders>
            <w:vAlign w:val="center"/>
          </w:tcPr>
          <w:p w14:paraId="30B5E8FB" w14:textId="52AA4A13" w:rsidR="00290C1A" w:rsidRPr="00290C1A" w:rsidRDefault="00290C1A" w:rsidP="00290C1A">
            <w:pPr>
              <w:jc w:val="center"/>
              <w:rPr>
                <w:rFonts w:ascii="Verdana" w:hAnsi="Verdana"/>
                <w:color w:val="000000" w:themeColor="text1"/>
                <w:sz w:val="22"/>
                <w:szCs w:val="22"/>
              </w:rPr>
            </w:pPr>
            <w:r w:rsidRPr="00290C1A">
              <w:rPr>
                <w:rFonts w:ascii="Verdana" w:hAnsi="Verdana"/>
                <w:color w:val="000000" w:themeColor="text1"/>
                <w:sz w:val="22"/>
                <w:szCs w:val="22"/>
              </w:rPr>
              <w:t>94,23%</w:t>
            </w:r>
          </w:p>
        </w:tc>
        <w:tc>
          <w:tcPr>
            <w:tcW w:w="1487" w:type="dxa"/>
            <w:vMerge/>
            <w:tcBorders>
              <w:left w:val="single" w:sz="4" w:space="0" w:color="auto"/>
              <w:right w:val="single" w:sz="4" w:space="0" w:color="auto"/>
            </w:tcBorders>
          </w:tcPr>
          <w:p w14:paraId="4DB7AB8A" w14:textId="77777777" w:rsidR="00290C1A" w:rsidRPr="00290C1A" w:rsidRDefault="00290C1A" w:rsidP="00290C1A">
            <w:pPr>
              <w:jc w:val="center"/>
              <w:rPr>
                <w:rFonts w:ascii="Verdana" w:hAnsi="Verdana"/>
                <w:color w:val="000000"/>
                <w:lang w:eastAsia="es-CO"/>
              </w:rPr>
            </w:pPr>
          </w:p>
        </w:tc>
      </w:tr>
      <w:tr w:rsidR="00F90896" w:rsidRPr="00290C1A" w14:paraId="130467AD" w14:textId="77777777" w:rsidTr="000461FC">
        <w:trPr>
          <w:trHeight w:val="315"/>
          <w:jc w:val="center"/>
        </w:trPr>
        <w:tc>
          <w:tcPr>
            <w:tcW w:w="3220" w:type="dxa"/>
            <w:tcBorders>
              <w:top w:val="nil"/>
              <w:left w:val="nil"/>
              <w:bottom w:val="nil"/>
              <w:right w:val="single" w:sz="4" w:space="0" w:color="auto"/>
            </w:tcBorders>
            <w:noWrap/>
            <w:vAlign w:val="bottom"/>
          </w:tcPr>
          <w:p w14:paraId="27176B04" w14:textId="77777777" w:rsidR="00F90896" w:rsidRPr="00290C1A" w:rsidRDefault="00F90896" w:rsidP="00921546">
            <w:pPr>
              <w:rPr>
                <w:rFonts w:ascii="Verdana" w:hAnsi="Verdana"/>
                <w:color w:val="000000"/>
                <w:sz w:val="22"/>
                <w:szCs w:val="22"/>
                <w:lang w:eastAsia="es-CO"/>
              </w:rPr>
            </w:pPr>
            <w:r w:rsidRPr="00290C1A">
              <w:rPr>
                <w:rFonts w:ascii="Verdana" w:hAnsi="Verdana"/>
                <w:color w:val="000000" w:themeColor="text1"/>
                <w:sz w:val="22"/>
                <w:szCs w:val="22"/>
                <w:lang w:eastAsia="es-CO"/>
              </w:rPr>
              <w:t>Capital de trabajo</w:t>
            </w:r>
          </w:p>
        </w:tc>
        <w:tc>
          <w:tcPr>
            <w:tcW w:w="2296" w:type="dxa"/>
            <w:tcBorders>
              <w:top w:val="single" w:sz="4" w:space="0" w:color="auto"/>
              <w:left w:val="single" w:sz="4" w:space="0" w:color="auto"/>
              <w:bottom w:val="single" w:sz="4" w:space="0" w:color="auto"/>
              <w:right w:val="single" w:sz="4" w:space="0" w:color="auto"/>
            </w:tcBorders>
            <w:noWrap/>
            <w:vAlign w:val="center"/>
          </w:tcPr>
          <w:p w14:paraId="487131FF" w14:textId="07497AE9" w:rsidR="00F90896" w:rsidRPr="00290C1A" w:rsidRDefault="00F90896" w:rsidP="00921546">
            <w:pPr>
              <w:jc w:val="center"/>
              <w:rPr>
                <w:rFonts w:ascii="Verdana" w:hAnsi="Verdana"/>
                <w:color w:val="000000" w:themeColor="text1"/>
                <w:sz w:val="22"/>
                <w:szCs w:val="22"/>
              </w:rPr>
            </w:pPr>
            <w:r w:rsidRPr="00290C1A">
              <w:rPr>
                <w:rFonts w:ascii="Verdana" w:hAnsi="Verdana"/>
                <w:color w:val="000000" w:themeColor="text1"/>
                <w:sz w:val="22"/>
                <w:szCs w:val="22"/>
              </w:rPr>
              <w:t xml:space="preserve">$ </w:t>
            </w:r>
            <w:r w:rsidR="00290C1A">
              <w:rPr>
                <w:rFonts w:ascii="Verdana" w:hAnsi="Verdana"/>
                <w:color w:val="000000" w:themeColor="text1"/>
                <w:sz w:val="22"/>
                <w:szCs w:val="22"/>
              </w:rPr>
              <w:t>592</w:t>
            </w:r>
            <w:r w:rsidRPr="00290C1A">
              <w:rPr>
                <w:rFonts w:ascii="Verdana" w:hAnsi="Verdana"/>
                <w:color w:val="000000" w:themeColor="text1"/>
                <w:sz w:val="22"/>
                <w:szCs w:val="22"/>
              </w:rPr>
              <w:t>,</w:t>
            </w:r>
            <w:r w:rsidR="00290C1A">
              <w:rPr>
                <w:rFonts w:ascii="Verdana" w:hAnsi="Verdana"/>
                <w:color w:val="000000" w:themeColor="text1"/>
                <w:sz w:val="22"/>
                <w:szCs w:val="22"/>
              </w:rPr>
              <w:t>300.344,</w:t>
            </w:r>
            <w:r w:rsidRPr="00290C1A">
              <w:rPr>
                <w:rFonts w:ascii="Verdana" w:hAnsi="Verdana"/>
                <w:color w:val="000000" w:themeColor="text1"/>
                <w:sz w:val="22"/>
                <w:szCs w:val="22"/>
              </w:rPr>
              <w:t>00</w:t>
            </w:r>
          </w:p>
        </w:tc>
        <w:tc>
          <w:tcPr>
            <w:tcW w:w="1835" w:type="dxa"/>
            <w:tcBorders>
              <w:top w:val="single" w:sz="4" w:space="0" w:color="auto"/>
              <w:left w:val="single" w:sz="4" w:space="0" w:color="auto"/>
              <w:bottom w:val="single" w:sz="4" w:space="0" w:color="auto"/>
              <w:right w:val="single" w:sz="4" w:space="0" w:color="auto"/>
            </w:tcBorders>
            <w:vAlign w:val="center"/>
          </w:tcPr>
          <w:p w14:paraId="3997F0A8" w14:textId="0E7F7671" w:rsidR="00F90896" w:rsidRPr="00290C1A" w:rsidRDefault="009345F0" w:rsidP="00921546">
            <w:pPr>
              <w:jc w:val="center"/>
              <w:rPr>
                <w:rFonts w:ascii="Verdana" w:hAnsi="Verdana"/>
                <w:color w:val="000000" w:themeColor="text1"/>
                <w:sz w:val="22"/>
                <w:szCs w:val="22"/>
              </w:rPr>
            </w:pPr>
            <w:r>
              <w:rPr>
                <w:rFonts w:ascii="Verdana" w:hAnsi="Verdana"/>
                <w:color w:val="000000" w:themeColor="text1"/>
                <w:sz w:val="22"/>
                <w:szCs w:val="22"/>
              </w:rPr>
              <w:t>7</w:t>
            </w:r>
            <w:r w:rsidRPr="009345F0">
              <w:rPr>
                <w:rFonts w:ascii="Verdana" w:hAnsi="Verdana"/>
                <w:color w:val="000000" w:themeColor="text1"/>
                <w:sz w:val="22"/>
                <w:szCs w:val="22"/>
              </w:rPr>
              <w:t>7,</w:t>
            </w:r>
            <w:r>
              <w:rPr>
                <w:rFonts w:ascii="Verdana" w:hAnsi="Verdana"/>
                <w:color w:val="000000" w:themeColor="text1"/>
                <w:sz w:val="22"/>
                <w:szCs w:val="22"/>
              </w:rPr>
              <w:t>76</w:t>
            </w:r>
            <w:r w:rsidRPr="009345F0">
              <w:rPr>
                <w:rFonts w:ascii="Verdana" w:hAnsi="Verdana"/>
                <w:color w:val="000000" w:themeColor="text1"/>
                <w:sz w:val="22"/>
                <w:szCs w:val="22"/>
              </w:rPr>
              <w:t>%</w:t>
            </w:r>
          </w:p>
        </w:tc>
        <w:tc>
          <w:tcPr>
            <w:tcW w:w="1487" w:type="dxa"/>
            <w:vMerge/>
            <w:tcBorders>
              <w:left w:val="single" w:sz="4" w:space="0" w:color="auto"/>
              <w:bottom w:val="single" w:sz="4" w:space="0" w:color="auto"/>
              <w:right w:val="single" w:sz="4" w:space="0" w:color="auto"/>
            </w:tcBorders>
          </w:tcPr>
          <w:p w14:paraId="14F841E3" w14:textId="77777777" w:rsidR="00F90896" w:rsidRPr="00290C1A" w:rsidRDefault="00F90896" w:rsidP="00921546">
            <w:pPr>
              <w:jc w:val="center"/>
              <w:rPr>
                <w:rFonts w:ascii="Verdana" w:hAnsi="Verdana"/>
                <w:color w:val="000000"/>
                <w:sz w:val="22"/>
                <w:szCs w:val="22"/>
                <w:lang w:eastAsia="es-CO"/>
              </w:rPr>
            </w:pPr>
          </w:p>
        </w:tc>
      </w:tr>
    </w:tbl>
    <w:p w14:paraId="2B0A12E5" w14:textId="77777777" w:rsidR="001360D2" w:rsidRPr="00290C1A" w:rsidRDefault="001360D2" w:rsidP="001360D2">
      <w:pPr>
        <w:ind w:left="66"/>
        <w:jc w:val="both"/>
        <w:rPr>
          <w:rFonts w:ascii="Verdana" w:hAnsi="Verdana"/>
          <w:b/>
          <w:sz w:val="22"/>
          <w:szCs w:val="22"/>
          <w:lang w:val="es-MX"/>
        </w:rPr>
      </w:pPr>
    </w:p>
    <w:p w14:paraId="6E9BEC9D" w14:textId="6B3B3F08" w:rsidR="00451EBC" w:rsidRDefault="00451EBC" w:rsidP="00451EBC">
      <w:pPr>
        <w:ind w:left="66"/>
        <w:jc w:val="center"/>
        <w:rPr>
          <w:rFonts w:ascii="Verdana" w:hAnsi="Verdana"/>
          <w:b/>
          <w:sz w:val="22"/>
          <w:szCs w:val="22"/>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6B91DDFA" w14:textId="77777777" w:rsidR="00451EBC" w:rsidRDefault="00451EBC" w:rsidP="001360D2">
      <w:pPr>
        <w:ind w:left="66"/>
        <w:jc w:val="both"/>
        <w:rPr>
          <w:rFonts w:ascii="Verdana" w:hAnsi="Verdana"/>
          <w:b/>
          <w:sz w:val="22"/>
          <w:szCs w:val="22"/>
          <w:lang w:val="es-MX"/>
        </w:rPr>
      </w:pPr>
    </w:p>
    <w:p w14:paraId="7F0222DC" w14:textId="77777777" w:rsidR="00451EBC" w:rsidRDefault="00451EBC" w:rsidP="001360D2">
      <w:pPr>
        <w:ind w:left="66"/>
        <w:jc w:val="both"/>
        <w:rPr>
          <w:rFonts w:ascii="Verdana" w:hAnsi="Verdana"/>
          <w:b/>
          <w:sz w:val="22"/>
          <w:szCs w:val="22"/>
          <w:lang w:val="es-MX"/>
        </w:rPr>
      </w:pPr>
    </w:p>
    <w:p w14:paraId="76671270" w14:textId="77777777" w:rsidR="00451EBC" w:rsidRDefault="00451EBC" w:rsidP="001360D2">
      <w:pPr>
        <w:ind w:left="66"/>
        <w:jc w:val="both"/>
        <w:rPr>
          <w:rFonts w:ascii="Verdana" w:hAnsi="Verdana"/>
          <w:b/>
          <w:sz w:val="22"/>
          <w:szCs w:val="22"/>
          <w:lang w:val="es-MX"/>
        </w:rPr>
      </w:pPr>
    </w:p>
    <w:p w14:paraId="1EC87F00" w14:textId="77777777" w:rsidR="001360D2" w:rsidRPr="00B33330" w:rsidRDefault="001360D2" w:rsidP="001360D2">
      <w:pPr>
        <w:ind w:left="66"/>
        <w:jc w:val="both"/>
        <w:rPr>
          <w:rFonts w:ascii="Verdana" w:hAnsi="Verdana"/>
          <w:b/>
          <w:sz w:val="22"/>
          <w:szCs w:val="22"/>
          <w:lang w:val="es-MX"/>
        </w:rPr>
      </w:pPr>
      <w:r w:rsidRPr="00B33330">
        <w:rPr>
          <w:rFonts w:ascii="Verdana" w:hAnsi="Verdana"/>
          <w:b/>
          <w:sz w:val="22"/>
          <w:szCs w:val="22"/>
          <w:lang w:val="es-MX"/>
        </w:rPr>
        <w:t>Escenario 3</w:t>
      </w:r>
    </w:p>
    <w:p w14:paraId="0CBCF0B4" w14:textId="77777777" w:rsidR="001360D2" w:rsidRPr="00B33330" w:rsidRDefault="001360D2" w:rsidP="001360D2">
      <w:pPr>
        <w:ind w:left="66"/>
        <w:jc w:val="both"/>
        <w:rPr>
          <w:rFonts w:ascii="Verdana" w:hAnsi="Verdana"/>
          <w:b/>
          <w:sz w:val="22"/>
          <w:szCs w:val="22"/>
          <w:lang w:val="es-MX"/>
        </w:rPr>
      </w:pPr>
    </w:p>
    <w:p w14:paraId="476AEABA" w14:textId="4F138815" w:rsidR="001360D2" w:rsidRPr="00B33330" w:rsidRDefault="001360D2" w:rsidP="001360D2">
      <w:pPr>
        <w:ind w:left="66"/>
        <w:jc w:val="both"/>
        <w:rPr>
          <w:rFonts w:ascii="Verdana" w:hAnsi="Verdana"/>
          <w:b/>
          <w:sz w:val="22"/>
          <w:szCs w:val="22"/>
          <w:lang w:val="es-MX"/>
        </w:rPr>
      </w:pPr>
      <w:r w:rsidRPr="00B33330">
        <w:rPr>
          <w:rFonts w:ascii="Verdana" w:hAnsi="Verdana"/>
          <w:b/>
          <w:sz w:val="22"/>
          <w:szCs w:val="22"/>
          <w:lang w:val="es-MX"/>
        </w:rPr>
        <w:t xml:space="preserve">Objeto: </w:t>
      </w:r>
      <w:r w:rsidR="000D5196" w:rsidRPr="00B33330">
        <w:rPr>
          <w:rFonts w:ascii="Verdana" w:hAnsi="Verdana"/>
          <w:sz w:val="22"/>
          <w:szCs w:val="22"/>
          <w:lang w:val="es-MX"/>
        </w:rPr>
        <w:t>CONSTRUCCIÓN DE LA AMPLIACIÓN DE ALCANTARILLADO DE LA VEREDA MONTAÑITA, SECTOR EL CHORIZO, CORREGIMIENTO SAN ANTONIO DE PRADO.</w:t>
      </w:r>
    </w:p>
    <w:p w14:paraId="6BBBCA65" w14:textId="5BF82627" w:rsidR="001360D2" w:rsidRPr="00B33330" w:rsidRDefault="001360D2" w:rsidP="001360D2">
      <w:pPr>
        <w:ind w:left="66"/>
        <w:jc w:val="both"/>
        <w:rPr>
          <w:rFonts w:ascii="Verdana" w:hAnsi="Verdana"/>
          <w:b/>
          <w:sz w:val="22"/>
          <w:szCs w:val="22"/>
          <w:lang w:val="es-MX"/>
        </w:rPr>
      </w:pPr>
      <w:r w:rsidRPr="00B33330">
        <w:rPr>
          <w:rFonts w:ascii="Verdana" w:hAnsi="Verdana"/>
          <w:b/>
          <w:sz w:val="22"/>
          <w:szCs w:val="22"/>
          <w:lang w:val="es-MX"/>
        </w:rPr>
        <w:t xml:space="preserve">Presupuesto oficial: </w:t>
      </w:r>
      <w:r w:rsidRPr="00B33330">
        <w:rPr>
          <w:rFonts w:ascii="Verdana" w:hAnsi="Verdana"/>
          <w:sz w:val="22"/>
          <w:szCs w:val="22"/>
          <w:lang w:val="es-MX"/>
        </w:rPr>
        <w:t>$</w:t>
      </w:r>
      <w:r w:rsidRPr="00B33330">
        <w:rPr>
          <w:rFonts w:ascii="Verdana" w:hAnsi="Verdana"/>
          <w:sz w:val="22"/>
          <w:szCs w:val="22"/>
        </w:rPr>
        <w:t xml:space="preserve"> </w:t>
      </w:r>
      <w:r w:rsidR="00B33330" w:rsidRPr="00B33330">
        <w:rPr>
          <w:rFonts w:ascii="Verdana" w:hAnsi="Verdana"/>
          <w:sz w:val="22"/>
          <w:szCs w:val="22"/>
          <w:lang w:val="es-MX"/>
        </w:rPr>
        <w:t>4.011.244.276</w:t>
      </w:r>
    </w:p>
    <w:p w14:paraId="1E5062F4" w14:textId="7CFC5BEF" w:rsidR="001360D2" w:rsidRPr="00B33330" w:rsidRDefault="001360D2" w:rsidP="001360D2">
      <w:pPr>
        <w:ind w:left="66"/>
        <w:jc w:val="both"/>
        <w:rPr>
          <w:rFonts w:ascii="Verdana" w:hAnsi="Verdana"/>
          <w:b/>
          <w:sz w:val="22"/>
          <w:szCs w:val="22"/>
          <w:lang w:val="es-MX"/>
        </w:rPr>
      </w:pPr>
      <w:r w:rsidRPr="00B33330">
        <w:rPr>
          <w:rFonts w:ascii="Verdana" w:hAnsi="Verdana"/>
          <w:b/>
          <w:sz w:val="22"/>
          <w:szCs w:val="22"/>
          <w:lang w:val="es-MX"/>
        </w:rPr>
        <w:t xml:space="preserve">Plazo: </w:t>
      </w:r>
      <w:r w:rsidR="00B33330" w:rsidRPr="00B33330">
        <w:rPr>
          <w:rFonts w:ascii="Verdana" w:hAnsi="Verdana"/>
          <w:sz w:val="22"/>
          <w:szCs w:val="22"/>
          <w:lang w:val="es-MX"/>
        </w:rPr>
        <w:t>7</w:t>
      </w:r>
      <w:r w:rsidRPr="00B33330">
        <w:rPr>
          <w:rFonts w:ascii="Verdana" w:hAnsi="Verdana"/>
          <w:sz w:val="22"/>
          <w:szCs w:val="22"/>
          <w:lang w:val="es-MX"/>
        </w:rPr>
        <w:t xml:space="preserve"> meses</w:t>
      </w:r>
    </w:p>
    <w:p w14:paraId="0CF0F19A" w14:textId="77777777" w:rsidR="001360D2" w:rsidRPr="00B33330" w:rsidRDefault="001360D2" w:rsidP="001360D2">
      <w:pPr>
        <w:ind w:left="66"/>
        <w:jc w:val="both"/>
        <w:rPr>
          <w:rFonts w:ascii="Verdana" w:hAnsi="Verdana"/>
          <w:b/>
          <w:sz w:val="22"/>
          <w:szCs w:val="22"/>
          <w:lang w:val="es-MX"/>
        </w:rPr>
      </w:pPr>
      <w:r w:rsidRPr="00B33330">
        <w:rPr>
          <w:rFonts w:ascii="Verdana" w:hAnsi="Verdana"/>
          <w:b/>
          <w:sz w:val="22"/>
          <w:szCs w:val="22"/>
          <w:lang w:val="es-MX"/>
        </w:rPr>
        <w:t xml:space="preserve">Anticipo/Pago anticipado: </w:t>
      </w:r>
      <w:r w:rsidRPr="00B33330">
        <w:rPr>
          <w:rFonts w:ascii="Verdana" w:hAnsi="Verdana"/>
          <w:sz w:val="22"/>
          <w:szCs w:val="22"/>
          <w:lang w:val="es-MX"/>
        </w:rPr>
        <w:t>0%</w:t>
      </w:r>
    </w:p>
    <w:p w14:paraId="2849DE44" w14:textId="3D4EA0B7" w:rsidR="00A077C1" w:rsidRPr="00B33330" w:rsidRDefault="001360D2" w:rsidP="00B33330">
      <w:pPr>
        <w:ind w:left="66"/>
        <w:jc w:val="both"/>
        <w:rPr>
          <w:rFonts w:ascii="Verdana" w:hAnsi="Verdana"/>
          <w:b/>
          <w:sz w:val="22"/>
          <w:szCs w:val="22"/>
          <w:lang w:val="en-US"/>
        </w:rPr>
      </w:pPr>
      <w:r w:rsidRPr="00B33330">
        <w:rPr>
          <w:rFonts w:ascii="Verdana" w:hAnsi="Verdana"/>
          <w:b/>
          <w:sz w:val="22"/>
          <w:szCs w:val="22"/>
          <w:lang w:val="en-US"/>
        </w:rPr>
        <w:t xml:space="preserve">Link: </w:t>
      </w:r>
      <w:hyperlink r:id="rId53" w:history="1">
        <w:r w:rsidR="00B33330" w:rsidRPr="00B33330">
          <w:rPr>
            <w:rStyle w:val="Hipervnculo"/>
            <w:rFonts w:ascii="Verdana" w:hAnsi="Verdana"/>
            <w:bCs/>
            <w:sz w:val="22"/>
            <w:szCs w:val="22"/>
            <w:lang w:val="en-US"/>
          </w:rPr>
          <w:t>https://community.secop.gov.co/Public/Tendering/OpportunityDetail/Index?noticeUID=CO1.NTC.2968429&amp;isFromPublicArea=True&amp;isModal=true&amp;asPopupView=true</w:t>
        </w:r>
      </w:hyperlink>
      <w:r w:rsidR="00B33330" w:rsidRPr="00B33330">
        <w:rPr>
          <w:rFonts w:ascii="Verdana" w:hAnsi="Verdana"/>
          <w:b/>
          <w:sz w:val="22"/>
          <w:szCs w:val="22"/>
          <w:lang w:val="en-US"/>
        </w:rPr>
        <w:t xml:space="preserve"> </w:t>
      </w:r>
    </w:p>
    <w:p w14:paraId="27AE5B07" w14:textId="77777777" w:rsidR="00A077C1" w:rsidRPr="00611315" w:rsidRDefault="00A077C1" w:rsidP="001360D2">
      <w:pPr>
        <w:ind w:left="66"/>
        <w:jc w:val="both"/>
        <w:rPr>
          <w:rFonts w:ascii="Verdana" w:hAnsi="Verdana"/>
          <w:b/>
          <w:sz w:val="22"/>
          <w:szCs w:val="22"/>
          <w:highlight w:val="yellow"/>
          <w:lang w:val="en-US"/>
        </w:rPr>
      </w:pPr>
    </w:p>
    <w:p w14:paraId="02A6FD5B" w14:textId="2AD6E417" w:rsidR="00A077C1" w:rsidRPr="00DE6479" w:rsidRDefault="00A077C1" w:rsidP="00A077C1">
      <w:pPr>
        <w:pStyle w:val="Descripcin"/>
        <w:jc w:val="center"/>
        <w:rPr>
          <w:rFonts w:ascii="Verdana" w:hAnsi="Verdana"/>
          <w:bCs w:val="0"/>
          <w:sz w:val="22"/>
          <w:szCs w:val="22"/>
          <w:lang w:val="en-US"/>
        </w:rPr>
      </w:pPr>
      <w:bookmarkStart w:id="454" w:name="_Toc231368686"/>
      <w:r w:rsidRPr="00DE6479">
        <w:rPr>
          <w:rFonts w:ascii="Verdana" w:hAnsi="Verdana"/>
          <w:sz w:val="22"/>
          <w:szCs w:val="22"/>
        </w:rPr>
        <w:t xml:space="preserve">Tabla </w:t>
      </w:r>
      <w:r w:rsidRPr="00DE6479">
        <w:rPr>
          <w:rFonts w:ascii="Verdana" w:hAnsi="Verdana"/>
          <w:sz w:val="22"/>
          <w:szCs w:val="22"/>
        </w:rPr>
        <w:fldChar w:fldCharType="begin"/>
      </w:r>
      <w:r w:rsidRPr="00DE6479">
        <w:rPr>
          <w:rFonts w:ascii="Verdana" w:hAnsi="Verdana"/>
          <w:sz w:val="22"/>
          <w:szCs w:val="22"/>
        </w:rPr>
        <w:instrText xml:space="preserve"> SEQ Tabla \* ARABIC </w:instrText>
      </w:r>
      <w:r w:rsidRPr="00DE6479">
        <w:rPr>
          <w:rFonts w:ascii="Verdana" w:hAnsi="Verdana"/>
          <w:sz w:val="22"/>
          <w:szCs w:val="22"/>
        </w:rPr>
        <w:fldChar w:fldCharType="separate"/>
      </w:r>
      <w:r w:rsidR="00B33330" w:rsidRPr="00DE6479">
        <w:rPr>
          <w:rFonts w:ascii="Verdana" w:hAnsi="Verdana"/>
          <w:noProof/>
          <w:sz w:val="22"/>
          <w:szCs w:val="22"/>
        </w:rPr>
        <w:t>19</w:t>
      </w:r>
      <w:r w:rsidRPr="00DE6479">
        <w:rPr>
          <w:rFonts w:ascii="Verdana" w:hAnsi="Verdana"/>
          <w:sz w:val="22"/>
          <w:szCs w:val="22"/>
        </w:rPr>
        <w:fldChar w:fldCharType="end"/>
      </w:r>
      <w:r w:rsidRPr="00DE6479">
        <w:rPr>
          <w:rFonts w:ascii="Verdana" w:hAnsi="Verdana"/>
          <w:sz w:val="22"/>
          <w:szCs w:val="22"/>
        </w:rPr>
        <w:t>. Requisitos escenario 3</w:t>
      </w:r>
      <w:bookmarkEnd w:id="454"/>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DE6479" w14:paraId="59B79274" w14:textId="77777777" w:rsidTr="00DE6479">
        <w:trPr>
          <w:trHeight w:val="315"/>
          <w:tblHeader/>
          <w:jc w:val="center"/>
        </w:trPr>
        <w:tc>
          <w:tcPr>
            <w:tcW w:w="3220" w:type="dxa"/>
            <w:tcBorders>
              <w:top w:val="nil"/>
              <w:left w:val="nil"/>
              <w:bottom w:val="nil"/>
              <w:right w:val="single" w:sz="4" w:space="0" w:color="auto"/>
            </w:tcBorders>
            <w:noWrap/>
            <w:vAlign w:val="bottom"/>
            <w:hideMark/>
          </w:tcPr>
          <w:p w14:paraId="20D4A401" w14:textId="77777777" w:rsidR="001360D2" w:rsidRPr="00DE6479" w:rsidRDefault="001360D2" w:rsidP="00921546">
            <w:pPr>
              <w:rPr>
                <w:rFonts w:ascii="Verdana" w:hAnsi="Verdana"/>
                <w:sz w:val="22"/>
                <w:szCs w:val="22"/>
                <w:lang w:val="en-US"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18A476E8" w14:textId="47D3BEE6" w:rsidR="001360D2" w:rsidRPr="00DE6479" w:rsidRDefault="001360D2" w:rsidP="00921546">
            <w:pPr>
              <w:jc w:val="center"/>
              <w:rPr>
                <w:rFonts w:ascii="Verdana" w:hAnsi="Verdana"/>
                <w:b/>
                <w:color w:val="000000"/>
                <w:sz w:val="22"/>
                <w:szCs w:val="22"/>
                <w:lang w:eastAsia="es-CO"/>
              </w:rPr>
            </w:pPr>
            <w:r w:rsidRPr="00DE6479">
              <w:rPr>
                <w:rFonts w:ascii="Verdana" w:hAnsi="Verdana"/>
                <w:b/>
                <w:color w:val="000000" w:themeColor="text1"/>
                <w:sz w:val="22"/>
                <w:szCs w:val="22"/>
              </w:rPr>
              <w:t xml:space="preserve">No </w:t>
            </w:r>
            <w:r w:rsidR="00CA406B" w:rsidRPr="00DE6479">
              <w:rPr>
                <w:rFonts w:ascii="Verdana" w:hAnsi="Verdana"/>
                <w:b/>
                <w:color w:val="000000" w:themeColor="text1"/>
                <w:sz w:val="22"/>
                <w:szCs w:val="22"/>
              </w:rPr>
              <w:t>MiPymes</w:t>
            </w:r>
            <w:r w:rsidRPr="00DE6479">
              <w:rPr>
                <w:rFonts w:ascii="Verdana" w:hAnsi="Verdana"/>
                <w:b/>
                <w:color w:val="000000" w:themeColor="text1"/>
                <w:sz w:val="22"/>
                <w:szCs w:val="22"/>
              </w:rPr>
              <w:t xml:space="preserve"> (&lt; </w:t>
            </w:r>
            <w:r w:rsidR="00B85D54">
              <w:rPr>
                <w:rFonts w:ascii="Verdana" w:hAnsi="Verdana"/>
                <w:b/>
                <w:color w:val="000000" w:themeColor="text1"/>
                <w:sz w:val="22"/>
                <w:szCs w:val="22"/>
              </w:rPr>
              <w:t>13</w:t>
            </w:r>
            <w:r w:rsidRPr="00DE6479">
              <w:rPr>
                <w:rFonts w:ascii="Verdana" w:hAnsi="Verdana"/>
                <w:b/>
                <w:color w:val="000000" w:themeColor="text1"/>
                <w:sz w:val="22"/>
                <w:szCs w:val="22"/>
              </w:rPr>
              <w:t xml:space="preserve">.000 </w:t>
            </w:r>
            <w:proofErr w:type="spellStart"/>
            <w:r w:rsidRPr="00DE6479">
              <w:rPr>
                <w:rFonts w:ascii="Verdana" w:hAnsi="Verdana"/>
                <w:b/>
                <w:color w:val="000000" w:themeColor="text1"/>
                <w:sz w:val="22"/>
                <w:szCs w:val="22"/>
              </w:rPr>
              <w:t>Smmlv</w:t>
            </w:r>
            <w:proofErr w:type="spellEnd"/>
            <w:r w:rsidRPr="00DE6479">
              <w:rPr>
                <w:rFonts w:ascii="Verdana" w:hAnsi="Verdana"/>
                <w:b/>
                <w:color w:val="000000" w:themeColor="text1"/>
                <w:sz w:val="22"/>
                <w:szCs w:val="22"/>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78727320" w14:textId="77777777" w:rsidR="001360D2" w:rsidRPr="00DE6479" w:rsidRDefault="001360D2" w:rsidP="00921546">
            <w:pPr>
              <w:jc w:val="center"/>
              <w:rPr>
                <w:rFonts w:ascii="Verdana" w:hAnsi="Verdana"/>
                <w:b/>
                <w:color w:val="000000"/>
                <w:sz w:val="22"/>
                <w:szCs w:val="22"/>
                <w:lang w:eastAsia="es-CO"/>
              </w:rPr>
            </w:pPr>
            <w:r w:rsidRPr="00DE6479">
              <w:rPr>
                <w:rFonts w:ascii="Verdana" w:hAnsi="Verdana"/>
                <w:b/>
                <w:color w:val="000000" w:themeColor="text1"/>
                <w:sz w:val="22"/>
                <w:szCs w:val="22"/>
                <w:lang w:eastAsia="es-CO"/>
              </w:rPr>
              <w:t>Nivel de cumplimiento</w:t>
            </w:r>
          </w:p>
        </w:tc>
      </w:tr>
      <w:tr w:rsidR="00141230" w:rsidRPr="00DE6479" w14:paraId="466B733A" w14:textId="77777777" w:rsidTr="00615FBA">
        <w:trPr>
          <w:trHeight w:val="315"/>
          <w:jc w:val="center"/>
        </w:trPr>
        <w:tc>
          <w:tcPr>
            <w:tcW w:w="3220" w:type="dxa"/>
            <w:tcBorders>
              <w:top w:val="nil"/>
              <w:left w:val="nil"/>
              <w:bottom w:val="nil"/>
              <w:right w:val="single" w:sz="4" w:space="0" w:color="auto"/>
            </w:tcBorders>
            <w:noWrap/>
            <w:vAlign w:val="bottom"/>
            <w:hideMark/>
          </w:tcPr>
          <w:p w14:paraId="727A417B"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Liquidez</w:t>
            </w: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572F079D" w14:textId="68D43F1E"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1,3</w:t>
            </w:r>
          </w:p>
        </w:tc>
        <w:tc>
          <w:tcPr>
            <w:tcW w:w="1835" w:type="dxa"/>
            <w:tcBorders>
              <w:top w:val="single" w:sz="4" w:space="0" w:color="auto"/>
              <w:left w:val="nil"/>
              <w:bottom w:val="single" w:sz="4" w:space="0" w:color="auto"/>
              <w:right w:val="single" w:sz="4" w:space="0" w:color="auto"/>
            </w:tcBorders>
            <w:vAlign w:val="center"/>
          </w:tcPr>
          <w:p w14:paraId="4243FCA9" w14:textId="0BA4EEAA"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98,47%</w:t>
            </w:r>
          </w:p>
        </w:tc>
        <w:tc>
          <w:tcPr>
            <w:tcW w:w="1487" w:type="dxa"/>
            <w:vMerge w:val="restart"/>
            <w:tcBorders>
              <w:top w:val="single" w:sz="4" w:space="0" w:color="auto"/>
              <w:left w:val="single" w:sz="4" w:space="0" w:color="auto"/>
              <w:right w:val="single" w:sz="4" w:space="0" w:color="auto"/>
            </w:tcBorders>
            <w:vAlign w:val="center"/>
          </w:tcPr>
          <w:p w14:paraId="4540A514" w14:textId="77777777" w:rsidR="00141230" w:rsidRPr="00DE6479" w:rsidRDefault="00141230" w:rsidP="00141230">
            <w:pPr>
              <w:jc w:val="center"/>
              <w:rPr>
                <w:rFonts w:ascii="Verdana" w:hAnsi="Verdana"/>
                <w:color w:val="000000"/>
                <w:sz w:val="22"/>
                <w:szCs w:val="22"/>
                <w:lang w:eastAsia="es-CO"/>
              </w:rPr>
            </w:pPr>
          </w:p>
          <w:p w14:paraId="5C09C742" w14:textId="7F3DFA76" w:rsidR="00141230" w:rsidRPr="00DE6479" w:rsidRDefault="00141230" w:rsidP="00141230">
            <w:pPr>
              <w:jc w:val="center"/>
              <w:rPr>
                <w:rFonts w:ascii="Verdana" w:hAnsi="Verdana"/>
                <w:color w:val="000000"/>
                <w:sz w:val="22"/>
                <w:szCs w:val="22"/>
                <w:lang w:eastAsia="es-CO"/>
              </w:rPr>
            </w:pPr>
            <w:r w:rsidRPr="00DE6479">
              <w:rPr>
                <w:rFonts w:ascii="Verdana" w:hAnsi="Verdana"/>
                <w:color w:val="000000" w:themeColor="text1"/>
                <w:sz w:val="22"/>
                <w:szCs w:val="22"/>
                <w:lang w:eastAsia="es-CO"/>
              </w:rPr>
              <w:t>5</w:t>
            </w:r>
            <w:r w:rsidR="00615FBA">
              <w:rPr>
                <w:rFonts w:ascii="Verdana" w:hAnsi="Verdana"/>
                <w:color w:val="000000" w:themeColor="text1"/>
                <w:sz w:val="22"/>
                <w:szCs w:val="22"/>
                <w:lang w:eastAsia="es-CO"/>
              </w:rPr>
              <w:t>6</w:t>
            </w:r>
            <w:r w:rsidRPr="00DE6479">
              <w:rPr>
                <w:rFonts w:ascii="Verdana" w:hAnsi="Verdana"/>
                <w:color w:val="000000" w:themeColor="text1"/>
                <w:sz w:val="22"/>
                <w:szCs w:val="22"/>
                <w:lang w:eastAsia="es-CO"/>
              </w:rPr>
              <w:t>,</w:t>
            </w:r>
            <w:r w:rsidR="00615FBA">
              <w:rPr>
                <w:rFonts w:ascii="Verdana" w:hAnsi="Verdana"/>
                <w:color w:val="000000" w:themeColor="text1"/>
                <w:sz w:val="22"/>
                <w:szCs w:val="22"/>
                <w:lang w:eastAsia="es-CO"/>
              </w:rPr>
              <w:t>71</w:t>
            </w:r>
            <w:r w:rsidRPr="00DE6479">
              <w:rPr>
                <w:rFonts w:ascii="Verdana" w:hAnsi="Verdana"/>
                <w:color w:val="000000" w:themeColor="text1"/>
                <w:sz w:val="22"/>
                <w:szCs w:val="22"/>
                <w:lang w:eastAsia="es-CO"/>
              </w:rPr>
              <w:t>%</w:t>
            </w:r>
          </w:p>
          <w:p w14:paraId="7E2E0464" w14:textId="0F06969F" w:rsidR="00141230" w:rsidRPr="00DE6479" w:rsidRDefault="00141230" w:rsidP="00141230">
            <w:pPr>
              <w:jc w:val="center"/>
              <w:rPr>
                <w:rFonts w:ascii="Verdana" w:hAnsi="Verdana"/>
                <w:color w:val="000000"/>
                <w:sz w:val="22"/>
                <w:szCs w:val="22"/>
                <w:lang w:eastAsia="es-CO"/>
              </w:rPr>
            </w:pPr>
            <w:r w:rsidRPr="00DE6479">
              <w:rPr>
                <w:rFonts w:ascii="Verdana" w:hAnsi="Verdana"/>
                <w:color w:val="000000" w:themeColor="text1"/>
                <w:sz w:val="22"/>
                <w:szCs w:val="22"/>
                <w:lang w:eastAsia="es-CO"/>
              </w:rPr>
              <w:t>(</w:t>
            </w:r>
            <w:r w:rsidR="00615FBA">
              <w:rPr>
                <w:rFonts w:ascii="Verdana" w:hAnsi="Verdana"/>
                <w:color w:val="000000" w:themeColor="text1"/>
                <w:sz w:val="22"/>
                <w:szCs w:val="22"/>
                <w:lang w:eastAsia="es-CO"/>
              </w:rPr>
              <w:t>334</w:t>
            </w:r>
            <w:r w:rsidRPr="00DE6479">
              <w:rPr>
                <w:rFonts w:ascii="Verdana" w:hAnsi="Verdana"/>
                <w:color w:val="000000" w:themeColor="text1"/>
                <w:sz w:val="22"/>
                <w:szCs w:val="22"/>
                <w:lang w:eastAsia="es-CO"/>
              </w:rPr>
              <w:t xml:space="preserve"> empresas)</w:t>
            </w:r>
          </w:p>
        </w:tc>
      </w:tr>
      <w:tr w:rsidR="00141230" w:rsidRPr="00DE6479" w14:paraId="2EE942EA" w14:textId="77777777" w:rsidTr="006E38CD">
        <w:trPr>
          <w:trHeight w:val="315"/>
          <w:jc w:val="center"/>
        </w:trPr>
        <w:tc>
          <w:tcPr>
            <w:tcW w:w="3220" w:type="dxa"/>
            <w:tcBorders>
              <w:top w:val="nil"/>
              <w:left w:val="nil"/>
              <w:bottom w:val="nil"/>
              <w:right w:val="single" w:sz="4" w:space="0" w:color="auto"/>
            </w:tcBorders>
            <w:noWrap/>
            <w:vAlign w:val="bottom"/>
            <w:hideMark/>
          </w:tcPr>
          <w:p w14:paraId="23305E80"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Endeudamiento</w:t>
            </w:r>
          </w:p>
        </w:tc>
        <w:tc>
          <w:tcPr>
            <w:tcW w:w="2296" w:type="dxa"/>
            <w:tcBorders>
              <w:top w:val="nil"/>
              <w:left w:val="single" w:sz="4" w:space="0" w:color="auto"/>
              <w:bottom w:val="single" w:sz="4" w:space="0" w:color="auto"/>
              <w:right w:val="single" w:sz="4" w:space="0" w:color="auto"/>
            </w:tcBorders>
            <w:noWrap/>
            <w:vAlign w:val="center"/>
            <w:hideMark/>
          </w:tcPr>
          <w:p w14:paraId="11A61398" w14:textId="1C8969F7"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0,7</w:t>
            </w:r>
          </w:p>
        </w:tc>
        <w:tc>
          <w:tcPr>
            <w:tcW w:w="1835" w:type="dxa"/>
            <w:tcBorders>
              <w:top w:val="nil"/>
              <w:left w:val="nil"/>
              <w:bottom w:val="single" w:sz="4" w:space="0" w:color="auto"/>
              <w:right w:val="single" w:sz="4" w:space="0" w:color="auto"/>
            </w:tcBorders>
            <w:vAlign w:val="center"/>
          </w:tcPr>
          <w:p w14:paraId="2B4A5F73" w14:textId="0E12D64D"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96,10%</w:t>
            </w:r>
          </w:p>
        </w:tc>
        <w:tc>
          <w:tcPr>
            <w:tcW w:w="1487" w:type="dxa"/>
            <w:vMerge/>
            <w:tcBorders>
              <w:left w:val="single" w:sz="4" w:space="0" w:color="auto"/>
              <w:right w:val="single" w:sz="4" w:space="0" w:color="auto"/>
            </w:tcBorders>
          </w:tcPr>
          <w:p w14:paraId="5F3C7F37" w14:textId="77777777" w:rsidR="00141230" w:rsidRPr="00DE6479" w:rsidRDefault="00141230" w:rsidP="00141230">
            <w:pPr>
              <w:jc w:val="center"/>
              <w:rPr>
                <w:rFonts w:ascii="Verdana" w:hAnsi="Verdana"/>
                <w:color w:val="000000"/>
                <w:lang w:eastAsia="es-CO"/>
              </w:rPr>
            </w:pPr>
          </w:p>
        </w:tc>
      </w:tr>
      <w:tr w:rsidR="00141230" w:rsidRPr="00DE6479" w14:paraId="6A59DB50" w14:textId="77777777" w:rsidTr="006E38CD">
        <w:trPr>
          <w:trHeight w:val="315"/>
          <w:jc w:val="center"/>
        </w:trPr>
        <w:tc>
          <w:tcPr>
            <w:tcW w:w="3220" w:type="dxa"/>
            <w:tcBorders>
              <w:top w:val="nil"/>
              <w:left w:val="nil"/>
              <w:bottom w:val="nil"/>
              <w:right w:val="single" w:sz="4" w:space="0" w:color="auto"/>
            </w:tcBorders>
            <w:noWrap/>
            <w:vAlign w:val="bottom"/>
            <w:hideMark/>
          </w:tcPr>
          <w:p w14:paraId="45B8CDFE"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Razón de cobertura de interés</w:t>
            </w:r>
          </w:p>
        </w:tc>
        <w:tc>
          <w:tcPr>
            <w:tcW w:w="2296" w:type="dxa"/>
            <w:tcBorders>
              <w:top w:val="nil"/>
              <w:left w:val="single" w:sz="4" w:space="0" w:color="auto"/>
              <w:bottom w:val="single" w:sz="4" w:space="0" w:color="auto"/>
              <w:right w:val="single" w:sz="4" w:space="0" w:color="auto"/>
            </w:tcBorders>
            <w:noWrap/>
            <w:vAlign w:val="center"/>
            <w:hideMark/>
          </w:tcPr>
          <w:p w14:paraId="5DC371F2" w14:textId="2B661514"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1</w:t>
            </w:r>
          </w:p>
        </w:tc>
        <w:tc>
          <w:tcPr>
            <w:tcW w:w="1835" w:type="dxa"/>
            <w:tcBorders>
              <w:top w:val="nil"/>
              <w:left w:val="nil"/>
              <w:bottom w:val="single" w:sz="4" w:space="0" w:color="auto"/>
              <w:right w:val="single" w:sz="4" w:space="0" w:color="auto"/>
            </w:tcBorders>
            <w:vAlign w:val="center"/>
          </w:tcPr>
          <w:p w14:paraId="2DF7479A" w14:textId="64E9D867"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98,30%</w:t>
            </w:r>
          </w:p>
        </w:tc>
        <w:tc>
          <w:tcPr>
            <w:tcW w:w="1487" w:type="dxa"/>
            <w:vMerge/>
            <w:tcBorders>
              <w:left w:val="single" w:sz="4" w:space="0" w:color="auto"/>
              <w:right w:val="single" w:sz="4" w:space="0" w:color="auto"/>
            </w:tcBorders>
          </w:tcPr>
          <w:p w14:paraId="0282AE00" w14:textId="77777777" w:rsidR="00141230" w:rsidRPr="00DE6479" w:rsidRDefault="00141230" w:rsidP="00141230">
            <w:pPr>
              <w:jc w:val="center"/>
              <w:rPr>
                <w:rFonts w:ascii="Verdana" w:hAnsi="Verdana"/>
                <w:color w:val="000000"/>
                <w:lang w:eastAsia="es-CO"/>
              </w:rPr>
            </w:pPr>
          </w:p>
        </w:tc>
      </w:tr>
      <w:tr w:rsidR="00141230" w:rsidRPr="00DE6479" w14:paraId="05FF7BE3" w14:textId="77777777" w:rsidTr="006E38CD">
        <w:trPr>
          <w:trHeight w:val="315"/>
          <w:jc w:val="center"/>
        </w:trPr>
        <w:tc>
          <w:tcPr>
            <w:tcW w:w="3220" w:type="dxa"/>
            <w:tcBorders>
              <w:top w:val="nil"/>
              <w:left w:val="nil"/>
              <w:bottom w:val="nil"/>
              <w:right w:val="single" w:sz="4" w:space="0" w:color="auto"/>
            </w:tcBorders>
            <w:noWrap/>
            <w:vAlign w:val="bottom"/>
            <w:hideMark/>
          </w:tcPr>
          <w:p w14:paraId="143F7771"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Rentabilidad sobre Patrimonio</w:t>
            </w: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61D5D954" w14:textId="31931823"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0,04</w:t>
            </w:r>
          </w:p>
        </w:tc>
        <w:tc>
          <w:tcPr>
            <w:tcW w:w="1835" w:type="dxa"/>
            <w:tcBorders>
              <w:top w:val="single" w:sz="4" w:space="0" w:color="auto"/>
              <w:left w:val="nil"/>
              <w:bottom w:val="single" w:sz="4" w:space="0" w:color="auto"/>
              <w:right w:val="single" w:sz="4" w:space="0" w:color="auto"/>
            </w:tcBorders>
            <w:vAlign w:val="center"/>
          </w:tcPr>
          <w:p w14:paraId="63FF5CF5" w14:textId="0D4CAB55"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92,53%</w:t>
            </w:r>
          </w:p>
        </w:tc>
        <w:tc>
          <w:tcPr>
            <w:tcW w:w="1487" w:type="dxa"/>
            <w:vMerge/>
            <w:tcBorders>
              <w:left w:val="single" w:sz="4" w:space="0" w:color="auto"/>
              <w:right w:val="single" w:sz="4" w:space="0" w:color="auto"/>
            </w:tcBorders>
          </w:tcPr>
          <w:p w14:paraId="569DFCFE" w14:textId="77777777" w:rsidR="00141230" w:rsidRPr="00DE6479" w:rsidRDefault="00141230" w:rsidP="00141230">
            <w:pPr>
              <w:jc w:val="center"/>
              <w:rPr>
                <w:rFonts w:ascii="Verdana" w:hAnsi="Verdana"/>
                <w:color w:val="000000"/>
                <w:lang w:eastAsia="es-CO"/>
              </w:rPr>
            </w:pPr>
          </w:p>
        </w:tc>
      </w:tr>
      <w:tr w:rsidR="00141230" w:rsidRPr="00DE6479" w14:paraId="7111C51C" w14:textId="77777777" w:rsidTr="006E38CD">
        <w:trPr>
          <w:trHeight w:val="315"/>
          <w:jc w:val="center"/>
        </w:trPr>
        <w:tc>
          <w:tcPr>
            <w:tcW w:w="3220" w:type="dxa"/>
            <w:tcBorders>
              <w:top w:val="nil"/>
              <w:left w:val="nil"/>
              <w:bottom w:val="nil"/>
              <w:right w:val="single" w:sz="4" w:space="0" w:color="auto"/>
            </w:tcBorders>
            <w:noWrap/>
            <w:vAlign w:val="bottom"/>
            <w:hideMark/>
          </w:tcPr>
          <w:p w14:paraId="35405E40"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Rentabilidad sobre Activo</w:t>
            </w: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016C8C3B" w14:textId="58BFFADF"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0,02</w:t>
            </w:r>
          </w:p>
        </w:tc>
        <w:tc>
          <w:tcPr>
            <w:tcW w:w="1835" w:type="dxa"/>
            <w:tcBorders>
              <w:top w:val="single" w:sz="4" w:space="0" w:color="auto"/>
              <w:left w:val="nil"/>
              <w:bottom w:val="single" w:sz="4" w:space="0" w:color="auto"/>
              <w:right w:val="single" w:sz="4" w:space="0" w:color="auto"/>
            </w:tcBorders>
            <w:vAlign w:val="center"/>
          </w:tcPr>
          <w:p w14:paraId="3C4C51C8" w14:textId="48BAC25E"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94,23%</w:t>
            </w:r>
          </w:p>
        </w:tc>
        <w:tc>
          <w:tcPr>
            <w:tcW w:w="1487" w:type="dxa"/>
            <w:vMerge/>
            <w:tcBorders>
              <w:left w:val="single" w:sz="4" w:space="0" w:color="auto"/>
              <w:right w:val="single" w:sz="4" w:space="0" w:color="auto"/>
            </w:tcBorders>
          </w:tcPr>
          <w:p w14:paraId="56EA2EC9" w14:textId="77777777" w:rsidR="00141230" w:rsidRPr="00DE6479" w:rsidRDefault="00141230" w:rsidP="00141230">
            <w:pPr>
              <w:jc w:val="center"/>
              <w:rPr>
                <w:rFonts w:ascii="Verdana" w:hAnsi="Verdana"/>
                <w:color w:val="000000"/>
                <w:lang w:eastAsia="es-CO"/>
              </w:rPr>
            </w:pPr>
          </w:p>
        </w:tc>
      </w:tr>
      <w:tr w:rsidR="00141230" w:rsidRPr="00DE6479" w14:paraId="3E9C5618" w14:textId="77777777" w:rsidTr="00615FBA">
        <w:trPr>
          <w:trHeight w:val="315"/>
          <w:jc w:val="center"/>
        </w:trPr>
        <w:tc>
          <w:tcPr>
            <w:tcW w:w="3220" w:type="dxa"/>
            <w:tcBorders>
              <w:top w:val="nil"/>
              <w:left w:val="nil"/>
              <w:bottom w:val="nil"/>
              <w:right w:val="single" w:sz="4" w:space="0" w:color="auto"/>
            </w:tcBorders>
            <w:noWrap/>
            <w:vAlign w:val="bottom"/>
          </w:tcPr>
          <w:p w14:paraId="51C3B92F" w14:textId="77777777" w:rsidR="00141230" w:rsidRPr="00DE6479" w:rsidRDefault="00141230" w:rsidP="00141230">
            <w:pPr>
              <w:rPr>
                <w:rFonts w:ascii="Verdana" w:hAnsi="Verdana"/>
                <w:color w:val="000000"/>
                <w:sz w:val="22"/>
                <w:szCs w:val="22"/>
                <w:lang w:eastAsia="es-CO"/>
              </w:rPr>
            </w:pPr>
            <w:r w:rsidRPr="00DE6479">
              <w:rPr>
                <w:rFonts w:ascii="Verdana" w:hAnsi="Verdana"/>
                <w:color w:val="000000" w:themeColor="text1"/>
                <w:sz w:val="22"/>
                <w:szCs w:val="22"/>
                <w:lang w:eastAsia="es-CO"/>
              </w:rPr>
              <w:t>Capital de trabajo</w:t>
            </w:r>
          </w:p>
        </w:tc>
        <w:tc>
          <w:tcPr>
            <w:tcW w:w="2296" w:type="dxa"/>
            <w:tcBorders>
              <w:top w:val="single" w:sz="4" w:space="0" w:color="auto"/>
              <w:left w:val="nil"/>
              <w:bottom w:val="single" w:sz="4" w:space="0" w:color="auto"/>
              <w:right w:val="nil"/>
            </w:tcBorders>
            <w:noWrap/>
            <w:vAlign w:val="center"/>
          </w:tcPr>
          <w:p w14:paraId="5CA41D35" w14:textId="63E9F649" w:rsidR="00141230" w:rsidRPr="00DE6479" w:rsidRDefault="006E38CD" w:rsidP="00141230">
            <w:pPr>
              <w:jc w:val="center"/>
              <w:rPr>
                <w:rFonts w:ascii="Verdana" w:hAnsi="Verdana"/>
                <w:color w:val="000000"/>
                <w:sz w:val="22"/>
                <w:szCs w:val="22"/>
              </w:rPr>
            </w:pPr>
            <w:r>
              <w:rPr>
                <w:rFonts w:ascii="Verdana" w:hAnsi="Verdana"/>
                <w:color w:val="000000"/>
                <w:sz w:val="22"/>
                <w:szCs w:val="22"/>
              </w:rPr>
              <w:t>$ 1.323.710.611</w:t>
            </w:r>
          </w:p>
        </w:tc>
        <w:tc>
          <w:tcPr>
            <w:tcW w:w="1835" w:type="dxa"/>
            <w:tcBorders>
              <w:top w:val="single" w:sz="4" w:space="0" w:color="auto"/>
              <w:left w:val="single" w:sz="4" w:space="0" w:color="auto"/>
              <w:bottom w:val="single" w:sz="4" w:space="0" w:color="auto"/>
              <w:right w:val="single" w:sz="4" w:space="0" w:color="auto"/>
            </w:tcBorders>
            <w:vAlign w:val="center"/>
          </w:tcPr>
          <w:p w14:paraId="1F0171FE" w14:textId="77EFE145" w:rsidR="00141230" w:rsidRPr="00DE6479" w:rsidRDefault="00141230" w:rsidP="00141230">
            <w:pPr>
              <w:jc w:val="center"/>
              <w:rPr>
                <w:rFonts w:ascii="Verdana" w:hAnsi="Verdana"/>
                <w:color w:val="000000"/>
                <w:sz w:val="22"/>
                <w:szCs w:val="22"/>
              </w:rPr>
            </w:pPr>
            <w:r w:rsidRPr="006E38CD">
              <w:rPr>
                <w:rFonts w:ascii="Verdana" w:hAnsi="Verdana"/>
                <w:color w:val="000000"/>
                <w:sz w:val="22"/>
                <w:szCs w:val="22"/>
              </w:rPr>
              <w:t>64,35%</w:t>
            </w:r>
          </w:p>
        </w:tc>
        <w:tc>
          <w:tcPr>
            <w:tcW w:w="1487" w:type="dxa"/>
            <w:vMerge/>
            <w:tcBorders>
              <w:left w:val="single" w:sz="4" w:space="0" w:color="auto"/>
              <w:bottom w:val="single" w:sz="4" w:space="0" w:color="auto"/>
              <w:right w:val="single" w:sz="4" w:space="0" w:color="auto"/>
            </w:tcBorders>
          </w:tcPr>
          <w:p w14:paraId="157EDACB" w14:textId="77777777" w:rsidR="00141230" w:rsidRPr="00DE6479" w:rsidRDefault="00141230" w:rsidP="00141230">
            <w:pPr>
              <w:jc w:val="center"/>
              <w:rPr>
                <w:rFonts w:ascii="Verdana" w:hAnsi="Verdana"/>
                <w:color w:val="000000"/>
                <w:sz w:val="22"/>
                <w:szCs w:val="22"/>
                <w:lang w:eastAsia="es-CO"/>
              </w:rPr>
            </w:pPr>
          </w:p>
        </w:tc>
      </w:tr>
    </w:tbl>
    <w:p w14:paraId="0E9FA0FA" w14:textId="77777777" w:rsidR="001360D2" w:rsidRDefault="001360D2" w:rsidP="001360D2">
      <w:pPr>
        <w:ind w:left="66"/>
        <w:jc w:val="both"/>
        <w:rPr>
          <w:rFonts w:ascii="Verdana" w:hAnsi="Verdana"/>
          <w:sz w:val="22"/>
          <w:szCs w:val="22"/>
          <w:lang w:val="en-US"/>
        </w:rPr>
      </w:pPr>
    </w:p>
    <w:p w14:paraId="50FCD080" w14:textId="0DD79E90" w:rsidR="00451EBC" w:rsidRPr="00DE6479" w:rsidRDefault="00451EBC" w:rsidP="00451EBC">
      <w:pPr>
        <w:ind w:left="66"/>
        <w:jc w:val="center"/>
        <w:rPr>
          <w:rFonts w:ascii="Verdana" w:hAnsi="Verdana"/>
          <w:sz w:val="22"/>
          <w:szCs w:val="22"/>
          <w:lang w:val="en-US"/>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230AB6E5" w14:textId="77777777" w:rsidR="001360D2" w:rsidRDefault="001360D2" w:rsidP="001360D2">
      <w:pPr>
        <w:rPr>
          <w:rFonts w:ascii="Verdana" w:hAnsi="Verdana" w:cs="Arial"/>
          <w:sz w:val="22"/>
          <w:szCs w:val="22"/>
          <w:highlight w:val="yellow"/>
          <w:lang w:val="es-MX"/>
        </w:rPr>
      </w:pPr>
    </w:p>
    <w:p w14:paraId="7C50B91B" w14:textId="77777777" w:rsidR="00451EBC" w:rsidRDefault="00451EBC" w:rsidP="001360D2">
      <w:pPr>
        <w:rPr>
          <w:rFonts w:ascii="Verdana" w:hAnsi="Verdana" w:cs="Arial"/>
          <w:sz w:val="22"/>
          <w:szCs w:val="22"/>
          <w:highlight w:val="yellow"/>
          <w:lang w:val="es-MX"/>
        </w:rPr>
      </w:pPr>
    </w:p>
    <w:p w14:paraId="3028826E" w14:textId="77777777" w:rsidR="00451EBC" w:rsidRDefault="00451EBC" w:rsidP="001360D2">
      <w:pPr>
        <w:rPr>
          <w:rFonts w:ascii="Verdana" w:hAnsi="Verdana" w:cs="Arial"/>
          <w:sz w:val="22"/>
          <w:szCs w:val="22"/>
          <w:highlight w:val="yellow"/>
          <w:lang w:val="es-MX"/>
        </w:rPr>
      </w:pPr>
    </w:p>
    <w:p w14:paraId="00DB4F75" w14:textId="77777777" w:rsidR="00451EBC" w:rsidRPr="00611315" w:rsidRDefault="00451EBC" w:rsidP="001360D2">
      <w:pPr>
        <w:rPr>
          <w:rFonts w:ascii="Verdana" w:hAnsi="Verdana" w:cs="Arial"/>
          <w:sz w:val="22"/>
          <w:szCs w:val="22"/>
          <w:highlight w:val="yellow"/>
          <w:lang w:val="es-MX"/>
        </w:rPr>
      </w:pPr>
    </w:p>
    <w:p w14:paraId="6D173C37" w14:textId="77777777" w:rsidR="001360D2" w:rsidRPr="0049596C" w:rsidRDefault="001360D2" w:rsidP="001360D2">
      <w:pPr>
        <w:ind w:left="66"/>
        <w:jc w:val="both"/>
        <w:rPr>
          <w:rFonts w:ascii="Verdana" w:hAnsi="Verdana"/>
          <w:b/>
          <w:sz w:val="22"/>
          <w:szCs w:val="22"/>
          <w:lang w:val="es-MX"/>
        </w:rPr>
      </w:pPr>
      <w:r w:rsidRPr="0049596C">
        <w:rPr>
          <w:rFonts w:ascii="Verdana" w:hAnsi="Verdana"/>
          <w:b/>
          <w:sz w:val="22"/>
          <w:szCs w:val="22"/>
          <w:lang w:val="es-MX"/>
        </w:rPr>
        <w:lastRenderedPageBreak/>
        <w:t>Escenario 4</w:t>
      </w:r>
    </w:p>
    <w:p w14:paraId="2F6DFFB2" w14:textId="77777777" w:rsidR="001360D2" w:rsidRPr="0049596C" w:rsidRDefault="001360D2" w:rsidP="001360D2">
      <w:pPr>
        <w:ind w:left="66"/>
        <w:jc w:val="both"/>
        <w:rPr>
          <w:rFonts w:ascii="Verdana" w:hAnsi="Verdana"/>
          <w:b/>
          <w:sz w:val="22"/>
          <w:szCs w:val="22"/>
          <w:lang w:val="es-MX"/>
        </w:rPr>
      </w:pPr>
    </w:p>
    <w:p w14:paraId="29F710EE" w14:textId="685CF6E8" w:rsidR="001360D2" w:rsidRPr="0049596C" w:rsidRDefault="001360D2" w:rsidP="001360D2">
      <w:pPr>
        <w:ind w:left="66"/>
        <w:jc w:val="both"/>
        <w:rPr>
          <w:rFonts w:ascii="Verdana" w:hAnsi="Verdana"/>
          <w:b/>
          <w:sz w:val="22"/>
          <w:szCs w:val="22"/>
          <w:lang w:val="es-MX"/>
        </w:rPr>
      </w:pPr>
      <w:r w:rsidRPr="0049596C">
        <w:rPr>
          <w:rFonts w:ascii="Verdana" w:hAnsi="Verdana"/>
          <w:b/>
          <w:sz w:val="22"/>
          <w:szCs w:val="22"/>
          <w:lang w:val="es-MX"/>
        </w:rPr>
        <w:t xml:space="preserve">Objeto: </w:t>
      </w:r>
      <w:r w:rsidR="00911538" w:rsidRPr="0049596C">
        <w:rPr>
          <w:rFonts w:ascii="Verdana" w:hAnsi="Verdana"/>
          <w:sz w:val="22"/>
          <w:szCs w:val="22"/>
          <w:lang w:val="es-MX"/>
        </w:rPr>
        <w:t>CONSTRUCCIÓN ACUEDUCTO REGIONAL RURAL FASE I, DE LOS MUNICIPIOS DE SAN JOSÉ Y BELALCÁZAR.</w:t>
      </w:r>
    </w:p>
    <w:p w14:paraId="065135F5" w14:textId="504C15D0" w:rsidR="001360D2" w:rsidRPr="0049596C" w:rsidRDefault="001360D2" w:rsidP="001360D2">
      <w:pPr>
        <w:ind w:left="66"/>
        <w:jc w:val="both"/>
        <w:rPr>
          <w:rFonts w:ascii="Verdana" w:hAnsi="Verdana"/>
          <w:b/>
          <w:sz w:val="22"/>
          <w:szCs w:val="22"/>
          <w:lang w:val="es-MX"/>
        </w:rPr>
      </w:pPr>
      <w:r w:rsidRPr="0049596C">
        <w:rPr>
          <w:rFonts w:ascii="Verdana" w:hAnsi="Verdana"/>
          <w:b/>
          <w:sz w:val="22"/>
          <w:szCs w:val="22"/>
          <w:lang w:val="es-MX"/>
        </w:rPr>
        <w:t xml:space="preserve">Presupuesto oficial: </w:t>
      </w:r>
      <w:r w:rsidRPr="0049596C">
        <w:rPr>
          <w:rFonts w:ascii="Verdana" w:hAnsi="Verdana"/>
          <w:sz w:val="22"/>
          <w:szCs w:val="22"/>
          <w:lang w:val="es-MX"/>
        </w:rPr>
        <w:t>$</w:t>
      </w:r>
      <w:r w:rsidRPr="0049596C">
        <w:rPr>
          <w:rFonts w:ascii="Verdana" w:hAnsi="Verdana"/>
          <w:sz w:val="22"/>
          <w:szCs w:val="22"/>
        </w:rPr>
        <w:t xml:space="preserve"> </w:t>
      </w:r>
      <w:r w:rsidR="0049596C" w:rsidRPr="0049596C">
        <w:rPr>
          <w:rFonts w:ascii="Verdana" w:hAnsi="Verdana"/>
          <w:sz w:val="22"/>
          <w:szCs w:val="22"/>
          <w:lang w:val="es-MX"/>
        </w:rPr>
        <w:t>7.895.788.250</w:t>
      </w:r>
    </w:p>
    <w:p w14:paraId="748FB405" w14:textId="2E21F8E1" w:rsidR="001360D2" w:rsidRPr="0049596C" w:rsidRDefault="001360D2" w:rsidP="001360D2">
      <w:pPr>
        <w:ind w:left="66"/>
        <w:jc w:val="both"/>
        <w:rPr>
          <w:rFonts w:ascii="Verdana" w:hAnsi="Verdana"/>
          <w:b/>
          <w:sz w:val="22"/>
          <w:szCs w:val="22"/>
          <w:lang w:val="es-MX"/>
        </w:rPr>
      </w:pPr>
      <w:r w:rsidRPr="0049596C">
        <w:rPr>
          <w:rFonts w:ascii="Verdana" w:hAnsi="Verdana"/>
          <w:b/>
          <w:sz w:val="22"/>
          <w:szCs w:val="22"/>
          <w:lang w:val="es-MX"/>
        </w:rPr>
        <w:t xml:space="preserve">Plazo: </w:t>
      </w:r>
      <w:r w:rsidR="0049596C" w:rsidRPr="0049596C">
        <w:rPr>
          <w:rFonts w:ascii="Verdana" w:hAnsi="Verdana"/>
          <w:b/>
          <w:sz w:val="22"/>
          <w:szCs w:val="22"/>
          <w:lang w:val="es-MX"/>
        </w:rPr>
        <w:t>14</w:t>
      </w:r>
      <w:r w:rsidRPr="0049596C">
        <w:rPr>
          <w:rFonts w:ascii="Verdana" w:hAnsi="Verdana"/>
          <w:sz w:val="22"/>
          <w:szCs w:val="22"/>
          <w:lang w:val="es-MX"/>
        </w:rPr>
        <w:t xml:space="preserve"> meses</w:t>
      </w:r>
    </w:p>
    <w:p w14:paraId="47FA109D" w14:textId="68559C2A" w:rsidR="001360D2" w:rsidRPr="0049596C" w:rsidRDefault="001360D2" w:rsidP="001360D2">
      <w:pPr>
        <w:ind w:left="66"/>
        <w:jc w:val="both"/>
        <w:rPr>
          <w:rFonts w:ascii="Verdana" w:hAnsi="Verdana"/>
          <w:b/>
          <w:sz w:val="22"/>
          <w:szCs w:val="22"/>
          <w:lang w:val="es-MX"/>
        </w:rPr>
      </w:pPr>
      <w:r w:rsidRPr="0049596C">
        <w:rPr>
          <w:rFonts w:ascii="Verdana" w:hAnsi="Verdana"/>
          <w:b/>
          <w:sz w:val="22"/>
          <w:szCs w:val="22"/>
          <w:lang w:val="es-MX"/>
        </w:rPr>
        <w:t xml:space="preserve">Anticipo/Pago anticipado: </w:t>
      </w:r>
      <w:r w:rsidRPr="0049596C">
        <w:rPr>
          <w:rFonts w:ascii="Verdana" w:hAnsi="Verdana"/>
          <w:sz w:val="22"/>
          <w:szCs w:val="22"/>
          <w:lang w:val="es-MX"/>
        </w:rPr>
        <w:t>0%</w:t>
      </w:r>
    </w:p>
    <w:p w14:paraId="5F5C26FB" w14:textId="53D3FACC" w:rsidR="001360D2" w:rsidRPr="0049596C" w:rsidRDefault="001360D2" w:rsidP="001360D2">
      <w:pPr>
        <w:ind w:left="66"/>
        <w:jc w:val="both"/>
        <w:rPr>
          <w:rFonts w:ascii="Verdana" w:hAnsi="Verdana"/>
          <w:b/>
          <w:sz w:val="22"/>
          <w:szCs w:val="22"/>
          <w:lang w:val="en-US"/>
        </w:rPr>
      </w:pPr>
      <w:r w:rsidRPr="0049596C">
        <w:rPr>
          <w:rFonts w:ascii="Verdana" w:hAnsi="Verdana"/>
          <w:b/>
          <w:sz w:val="22"/>
          <w:szCs w:val="22"/>
          <w:lang w:val="en-US"/>
        </w:rPr>
        <w:t xml:space="preserve">Link: </w:t>
      </w:r>
      <w:hyperlink r:id="rId54" w:history="1">
        <w:r w:rsidR="0049596C" w:rsidRPr="0049596C">
          <w:rPr>
            <w:rStyle w:val="Hipervnculo"/>
            <w:rFonts w:ascii="Verdana" w:hAnsi="Verdana"/>
            <w:bCs/>
            <w:sz w:val="22"/>
            <w:szCs w:val="22"/>
            <w:lang w:val="en-US"/>
          </w:rPr>
          <w:t>https://community.secop.gov.co/Public/Tendering/OpportunityDetail/Index?noticeUID=CO1.NTC.956139&amp;isFromPublicArea=True&amp;isModal=true&amp;asPopupView=true</w:t>
        </w:r>
      </w:hyperlink>
      <w:r w:rsidR="0049596C" w:rsidRPr="0049596C">
        <w:rPr>
          <w:rFonts w:ascii="Verdana" w:hAnsi="Verdana"/>
          <w:b/>
          <w:sz w:val="22"/>
          <w:szCs w:val="22"/>
          <w:lang w:val="en-US"/>
        </w:rPr>
        <w:t xml:space="preserve"> </w:t>
      </w:r>
    </w:p>
    <w:p w14:paraId="40561169" w14:textId="77777777" w:rsidR="00A077C1" w:rsidRPr="00611315" w:rsidRDefault="00A077C1" w:rsidP="001360D2">
      <w:pPr>
        <w:ind w:left="66"/>
        <w:jc w:val="both"/>
        <w:rPr>
          <w:rFonts w:ascii="Verdana" w:hAnsi="Verdana"/>
          <w:b/>
          <w:sz w:val="22"/>
          <w:szCs w:val="22"/>
          <w:highlight w:val="yellow"/>
          <w:lang w:val="en-US"/>
        </w:rPr>
      </w:pPr>
    </w:p>
    <w:p w14:paraId="6D354D59" w14:textId="77777777" w:rsidR="00A077C1" w:rsidRPr="00611315" w:rsidRDefault="00A077C1" w:rsidP="00A077C1">
      <w:pPr>
        <w:ind w:left="66"/>
        <w:jc w:val="center"/>
        <w:rPr>
          <w:rFonts w:ascii="Verdana" w:hAnsi="Verdana"/>
          <w:b/>
          <w:highlight w:val="yellow"/>
          <w:lang w:val="en-US"/>
        </w:rPr>
      </w:pPr>
    </w:p>
    <w:p w14:paraId="6842EB46" w14:textId="0BE62276" w:rsidR="00A077C1" w:rsidRPr="003E1CB2" w:rsidRDefault="00A077C1" w:rsidP="00A077C1">
      <w:pPr>
        <w:pStyle w:val="Descripcin"/>
        <w:jc w:val="center"/>
        <w:rPr>
          <w:rFonts w:ascii="Verdana" w:hAnsi="Verdana"/>
          <w:bCs w:val="0"/>
          <w:sz w:val="24"/>
          <w:szCs w:val="24"/>
          <w:lang w:val="en-US"/>
        </w:rPr>
      </w:pPr>
      <w:bookmarkStart w:id="455" w:name="_Toc231368687"/>
      <w:r w:rsidRPr="003E1CB2">
        <w:rPr>
          <w:rFonts w:ascii="Verdana" w:hAnsi="Verdana"/>
          <w:sz w:val="22"/>
          <w:szCs w:val="22"/>
        </w:rPr>
        <w:t xml:space="preserve">Tabla </w:t>
      </w:r>
      <w:r w:rsidRPr="003E1CB2">
        <w:rPr>
          <w:rFonts w:ascii="Verdana" w:hAnsi="Verdana"/>
          <w:sz w:val="22"/>
          <w:szCs w:val="22"/>
        </w:rPr>
        <w:fldChar w:fldCharType="begin"/>
      </w:r>
      <w:r w:rsidRPr="003E1CB2">
        <w:rPr>
          <w:rFonts w:ascii="Verdana" w:hAnsi="Verdana"/>
          <w:sz w:val="22"/>
          <w:szCs w:val="22"/>
        </w:rPr>
        <w:instrText xml:space="preserve"> SEQ Tabla \* ARABIC </w:instrText>
      </w:r>
      <w:r w:rsidRPr="003E1CB2">
        <w:rPr>
          <w:rFonts w:ascii="Verdana" w:hAnsi="Verdana"/>
          <w:sz w:val="22"/>
          <w:szCs w:val="22"/>
        </w:rPr>
        <w:fldChar w:fldCharType="separate"/>
      </w:r>
      <w:r w:rsidR="0049596C" w:rsidRPr="003E1CB2">
        <w:rPr>
          <w:rFonts w:ascii="Verdana" w:hAnsi="Verdana"/>
          <w:noProof/>
          <w:sz w:val="22"/>
          <w:szCs w:val="22"/>
        </w:rPr>
        <w:t>20</w:t>
      </w:r>
      <w:r w:rsidRPr="003E1CB2">
        <w:rPr>
          <w:rFonts w:ascii="Verdana" w:hAnsi="Verdana"/>
          <w:sz w:val="22"/>
          <w:szCs w:val="22"/>
        </w:rPr>
        <w:fldChar w:fldCharType="end"/>
      </w:r>
      <w:r w:rsidRPr="003E1CB2">
        <w:rPr>
          <w:rFonts w:ascii="Verdana" w:hAnsi="Verdana"/>
          <w:sz w:val="22"/>
          <w:szCs w:val="22"/>
        </w:rPr>
        <w:t>. Requisitos escenario 4</w:t>
      </w:r>
      <w:bookmarkEnd w:id="455"/>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3E1CB2" w14:paraId="335628BD" w14:textId="77777777" w:rsidTr="00921546">
        <w:trPr>
          <w:trHeight w:val="315"/>
          <w:jc w:val="center"/>
        </w:trPr>
        <w:tc>
          <w:tcPr>
            <w:tcW w:w="3220" w:type="dxa"/>
            <w:tcBorders>
              <w:top w:val="nil"/>
              <w:left w:val="nil"/>
              <w:bottom w:val="nil"/>
              <w:right w:val="single" w:sz="4" w:space="0" w:color="auto"/>
            </w:tcBorders>
            <w:noWrap/>
            <w:vAlign w:val="bottom"/>
            <w:hideMark/>
          </w:tcPr>
          <w:p w14:paraId="7520E1BF" w14:textId="77777777" w:rsidR="001360D2" w:rsidRPr="003E1CB2" w:rsidRDefault="001360D2" w:rsidP="00921546">
            <w:pPr>
              <w:rPr>
                <w:rFonts w:ascii="Verdana" w:hAnsi="Verdana"/>
                <w:sz w:val="22"/>
                <w:szCs w:val="22"/>
                <w:lang w:val="en-US" w:eastAsia="es-CO"/>
              </w:rPr>
            </w:pPr>
          </w:p>
          <w:p w14:paraId="6D50641E" w14:textId="77777777" w:rsidR="00A077C1" w:rsidRPr="003E1CB2" w:rsidRDefault="00A077C1" w:rsidP="00921546">
            <w:pPr>
              <w:rPr>
                <w:rFonts w:ascii="Verdana" w:hAnsi="Verdana"/>
                <w:sz w:val="22"/>
                <w:szCs w:val="22"/>
                <w:lang w:val="en-US"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401DB32E" w14:textId="61C80779" w:rsidR="001360D2" w:rsidRPr="003E1CB2" w:rsidRDefault="001360D2" w:rsidP="00921546">
            <w:pPr>
              <w:jc w:val="center"/>
              <w:rPr>
                <w:rFonts w:ascii="Verdana" w:hAnsi="Verdana"/>
                <w:b/>
                <w:color w:val="000000"/>
                <w:sz w:val="22"/>
                <w:szCs w:val="22"/>
                <w:lang w:eastAsia="es-CO"/>
              </w:rPr>
            </w:pPr>
            <w:r w:rsidRPr="003E1CB2">
              <w:rPr>
                <w:rFonts w:ascii="Verdana" w:hAnsi="Verdana"/>
                <w:b/>
                <w:color w:val="000000" w:themeColor="text1"/>
                <w:sz w:val="22"/>
                <w:szCs w:val="22"/>
              </w:rPr>
              <w:t xml:space="preserve">No </w:t>
            </w:r>
            <w:r w:rsidR="00B02C5B" w:rsidRPr="003E1CB2">
              <w:rPr>
                <w:rFonts w:ascii="Verdana" w:hAnsi="Verdana"/>
                <w:b/>
                <w:color w:val="000000" w:themeColor="text1"/>
                <w:sz w:val="22"/>
                <w:szCs w:val="22"/>
              </w:rPr>
              <w:t>MiPymes</w:t>
            </w:r>
            <w:r w:rsidRPr="003E1CB2">
              <w:rPr>
                <w:rFonts w:ascii="Verdana" w:hAnsi="Verdana"/>
                <w:b/>
                <w:color w:val="000000" w:themeColor="text1"/>
                <w:sz w:val="22"/>
                <w:szCs w:val="22"/>
              </w:rPr>
              <w:t xml:space="preserve"> </w:t>
            </w:r>
            <w:r w:rsidR="003E1CB2" w:rsidRPr="003E1CB2">
              <w:rPr>
                <w:rFonts w:ascii="Verdana" w:hAnsi="Verdana"/>
                <w:b/>
                <w:color w:val="000000" w:themeColor="text1"/>
                <w:sz w:val="22"/>
                <w:szCs w:val="22"/>
              </w:rPr>
              <w:t>(&lt;</w:t>
            </w:r>
            <w:r w:rsidR="00B85D54">
              <w:rPr>
                <w:rFonts w:ascii="Verdana" w:hAnsi="Verdana"/>
                <w:b/>
                <w:color w:val="000000" w:themeColor="text1"/>
                <w:sz w:val="22"/>
                <w:szCs w:val="22"/>
              </w:rPr>
              <w:t>13</w:t>
            </w:r>
            <w:r w:rsidRPr="003E1CB2">
              <w:rPr>
                <w:rFonts w:ascii="Verdana" w:hAnsi="Verdana"/>
                <w:b/>
                <w:color w:val="000000" w:themeColor="text1"/>
                <w:sz w:val="22"/>
                <w:szCs w:val="22"/>
              </w:rPr>
              <w:t xml:space="preserve">.000 </w:t>
            </w:r>
            <w:proofErr w:type="spellStart"/>
            <w:r w:rsidRPr="003E1CB2">
              <w:rPr>
                <w:rFonts w:ascii="Verdana" w:hAnsi="Verdana"/>
                <w:b/>
                <w:color w:val="000000" w:themeColor="text1"/>
                <w:sz w:val="22"/>
                <w:szCs w:val="22"/>
              </w:rPr>
              <w:t>Smmlv</w:t>
            </w:r>
            <w:proofErr w:type="spellEnd"/>
            <w:r w:rsidRPr="003E1CB2">
              <w:rPr>
                <w:rFonts w:ascii="Verdana" w:hAnsi="Verdana"/>
                <w:b/>
                <w:color w:val="000000" w:themeColor="text1"/>
                <w:sz w:val="22"/>
                <w:szCs w:val="22"/>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4E6FD549" w14:textId="77777777" w:rsidR="001360D2" w:rsidRPr="003E1CB2" w:rsidRDefault="001360D2" w:rsidP="00921546">
            <w:pPr>
              <w:jc w:val="center"/>
              <w:rPr>
                <w:rFonts w:ascii="Verdana" w:hAnsi="Verdana"/>
                <w:b/>
                <w:color w:val="000000"/>
                <w:sz w:val="22"/>
                <w:szCs w:val="22"/>
                <w:lang w:eastAsia="es-CO"/>
              </w:rPr>
            </w:pPr>
            <w:r w:rsidRPr="003E1CB2">
              <w:rPr>
                <w:rFonts w:ascii="Verdana" w:hAnsi="Verdana"/>
                <w:b/>
                <w:color w:val="000000" w:themeColor="text1"/>
                <w:sz w:val="22"/>
                <w:szCs w:val="22"/>
                <w:lang w:eastAsia="es-CO"/>
              </w:rPr>
              <w:t>Nivel de cumplimiento</w:t>
            </w:r>
          </w:p>
        </w:tc>
      </w:tr>
      <w:tr w:rsidR="003E1CB2" w:rsidRPr="003E1CB2" w14:paraId="4E3E7BA5" w14:textId="77777777" w:rsidTr="00E27DFB">
        <w:trPr>
          <w:trHeight w:val="315"/>
          <w:jc w:val="center"/>
        </w:trPr>
        <w:tc>
          <w:tcPr>
            <w:tcW w:w="3220" w:type="dxa"/>
            <w:tcBorders>
              <w:top w:val="nil"/>
              <w:left w:val="nil"/>
              <w:bottom w:val="nil"/>
              <w:right w:val="single" w:sz="4" w:space="0" w:color="auto"/>
            </w:tcBorders>
            <w:noWrap/>
            <w:vAlign w:val="bottom"/>
            <w:hideMark/>
          </w:tcPr>
          <w:p w14:paraId="0B659EA0"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Liquidez</w:t>
            </w:r>
          </w:p>
        </w:tc>
        <w:tc>
          <w:tcPr>
            <w:tcW w:w="2296" w:type="dxa"/>
            <w:tcBorders>
              <w:top w:val="single" w:sz="4" w:space="0" w:color="auto"/>
              <w:left w:val="single" w:sz="4" w:space="0" w:color="auto"/>
              <w:bottom w:val="single" w:sz="4" w:space="0" w:color="auto"/>
              <w:right w:val="single" w:sz="4" w:space="0" w:color="auto"/>
            </w:tcBorders>
            <w:noWrap/>
            <w:vAlign w:val="center"/>
          </w:tcPr>
          <w:p w14:paraId="548309EF" w14:textId="233902AD"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1,3</w:t>
            </w:r>
          </w:p>
        </w:tc>
        <w:tc>
          <w:tcPr>
            <w:tcW w:w="1835" w:type="dxa"/>
            <w:tcBorders>
              <w:top w:val="single" w:sz="4" w:space="0" w:color="auto"/>
              <w:left w:val="nil"/>
              <w:bottom w:val="single" w:sz="4" w:space="0" w:color="auto"/>
              <w:right w:val="single" w:sz="4" w:space="0" w:color="auto"/>
            </w:tcBorders>
            <w:vAlign w:val="center"/>
          </w:tcPr>
          <w:p w14:paraId="4220FD4D" w14:textId="7522DA03"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98,47%</w:t>
            </w:r>
          </w:p>
        </w:tc>
        <w:tc>
          <w:tcPr>
            <w:tcW w:w="1487" w:type="dxa"/>
            <w:vMerge w:val="restart"/>
            <w:tcBorders>
              <w:top w:val="single" w:sz="4" w:space="0" w:color="auto"/>
              <w:left w:val="single" w:sz="4" w:space="0" w:color="auto"/>
              <w:right w:val="single" w:sz="4" w:space="0" w:color="auto"/>
            </w:tcBorders>
            <w:vAlign w:val="center"/>
          </w:tcPr>
          <w:p w14:paraId="06A246E5" w14:textId="77777777" w:rsidR="003E1CB2" w:rsidRPr="003E1CB2" w:rsidRDefault="003E1CB2" w:rsidP="003E1CB2">
            <w:pPr>
              <w:jc w:val="center"/>
              <w:rPr>
                <w:rFonts w:ascii="Verdana" w:hAnsi="Verdana"/>
                <w:color w:val="000000"/>
                <w:sz w:val="22"/>
                <w:szCs w:val="22"/>
                <w:lang w:eastAsia="es-CO"/>
              </w:rPr>
            </w:pPr>
          </w:p>
          <w:p w14:paraId="1A868374" w14:textId="2144DC9E" w:rsidR="003E1CB2" w:rsidRPr="003E1CB2" w:rsidRDefault="00E27DFB" w:rsidP="003E1CB2">
            <w:pPr>
              <w:jc w:val="center"/>
              <w:rPr>
                <w:rFonts w:ascii="Verdana" w:hAnsi="Verdana"/>
                <w:color w:val="000000"/>
                <w:sz w:val="22"/>
                <w:szCs w:val="22"/>
                <w:lang w:eastAsia="es-CO"/>
              </w:rPr>
            </w:pPr>
            <w:r>
              <w:rPr>
                <w:rFonts w:ascii="Verdana" w:hAnsi="Verdana"/>
                <w:color w:val="000000" w:themeColor="text1"/>
                <w:sz w:val="22"/>
                <w:szCs w:val="22"/>
                <w:lang w:eastAsia="es-CO"/>
              </w:rPr>
              <w:t>42</w:t>
            </w:r>
            <w:r w:rsidR="003E1CB2" w:rsidRPr="003E1CB2">
              <w:rPr>
                <w:rFonts w:ascii="Verdana" w:hAnsi="Verdana"/>
                <w:color w:val="000000" w:themeColor="text1"/>
                <w:sz w:val="22"/>
                <w:szCs w:val="22"/>
                <w:lang w:eastAsia="es-CO"/>
              </w:rPr>
              <w:t>,</w:t>
            </w:r>
            <w:r>
              <w:rPr>
                <w:rFonts w:ascii="Verdana" w:hAnsi="Verdana"/>
                <w:color w:val="000000" w:themeColor="text1"/>
                <w:sz w:val="22"/>
                <w:szCs w:val="22"/>
                <w:lang w:eastAsia="es-CO"/>
              </w:rPr>
              <w:t>6</w:t>
            </w:r>
            <w:r w:rsidR="003E1CB2" w:rsidRPr="003E1CB2">
              <w:rPr>
                <w:rFonts w:ascii="Verdana" w:hAnsi="Verdana"/>
                <w:color w:val="000000" w:themeColor="text1"/>
                <w:sz w:val="22"/>
                <w:szCs w:val="22"/>
                <w:lang w:eastAsia="es-CO"/>
              </w:rPr>
              <w:t>1%</w:t>
            </w:r>
          </w:p>
          <w:p w14:paraId="356DBED3" w14:textId="308CAD08" w:rsidR="003E1CB2" w:rsidRPr="003E1CB2" w:rsidRDefault="003E1CB2" w:rsidP="003E1CB2">
            <w:pPr>
              <w:jc w:val="center"/>
              <w:rPr>
                <w:rFonts w:ascii="Verdana" w:hAnsi="Verdana"/>
                <w:color w:val="000000"/>
                <w:sz w:val="22"/>
                <w:szCs w:val="22"/>
                <w:lang w:eastAsia="es-CO"/>
              </w:rPr>
            </w:pPr>
            <w:r w:rsidRPr="003E1CB2">
              <w:rPr>
                <w:rFonts w:ascii="Verdana" w:hAnsi="Verdana"/>
                <w:color w:val="000000" w:themeColor="text1"/>
                <w:sz w:val="22"/>
                <w:szCs w:val="22"/>
                <w:lang w:eastAsia="es-CO"/>
              </w:rPr>
              <w:t>(</w:t>
            </w:r>
            <w:r w:rsidR="00E27DFB">
              <w:rPr>
                <w:rFonts w:ascii="Verdana" w:hAnsi="Verdana"/>
                <w:color w:val="000000" w:themeColor="text1"/>
                <w:sz w:val="22"/>
                <w:szCs w:val="22"/>
                <w:lang w:eastAsia="es-CO"/>
              </w:rPr>
              <w:t>251</w:t>
            </w:r>
            <w:r w:rsidRPr="003E1CB2">
              <w:rPr>
                <w:rFonts w:ascii="Verdana" w:hAnsi="Verdana"/>
                <w:color w:val="000000" w:themeColor="text1"/>
                <w:sz w:val="22"/>
                <w:szCs w:val="22"/>
                <w:lang w:eastAsia="es-CO"/>
              </w:rPr>
              <w:t xml:space="preserve"> empresas)</w:t>
            </w:r>
          </w:p>
        </w:tc>
      </w:tr>
      <w:tr w:rsidR="003E1CB2" w:rsidRPr="003E1CB2" w14:paraId="6A91A935" w14:textId="77777777" w:rsidTr="00E27DFB">
        <w:trPr>
          <w:trHeight w:val="315"/>
          <w:jc w:val="center"/>
        </w:trPr>
        <w:tc>
          <w:tcPr>
            <w:tcW w:w="3220" w:type="dxa"/>
            <w:tcBorders>
              <w:top w:val="nil"/>
              <w:left w:val="nil"/>
              <w:bottom w:val="nil"/>
              <w:right w:val="single" w:sz="4" w:space="0" w:color="auto"/>
            </w:tcBorders>
            <w:noWrap/>
            <w:vAlign w:val="bottom"/>
            <w:hideMark/>
          </w:tcPr>
          <w:p w14:paraId="4E1A3E5C"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Endeudamiento</w:t>
            </w:r>
          </w:p>
        </w:tc>
        <w:tc>
          <w:tcPr>
            <w:tcW w:w="2296" w:type="dxa"/>
            <w:tcBorders>
              <w:top w:val="single" w:sz="4" w:space="0" w:color="auto"/>
              <w:left w:val="single" w:sz="4" w:space="0" w:color="auto"/>
              <w:bottom w:val="single" w:sz="4" w:space="0" w:color="auto"/>
              <w:right w:val="single" w:sz="4" w:space="0" w:color="auto"/>
            </w:tcBorders>
            <w:noWrap/>
            <w:vAlign w:val="center"/>
          </w:tcPr>
          <w:p w14:paraId="5FD72BF5" w14:textId="4730E1DC"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0,7</w:t>
            </w:r>
          </w:p>
        </w:tc>
        <w:tc>
          <w:tcPr>
            <w:tcW w:w="1835" w:type="dxa"/>
            <w:tcBorders>
              <w:top w:val="single" w:sz="4" w:space="0" w:color="auto"/>
              <w:left w:val="nil"/>
              <w:bottom w:val="single" w:sz="4" w:space="0" w:color="auto"/>
              <w:right w:val="single" w:sz="4" w:space="0" w:color="auto"/>
            </w:tcBorders>
            <w:vAlign w:val="center"/>
          </w:tcPr>
          <w:p w14:paraId="5CBE3C5B" w14:textId="20055B07"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96,10%</w:t>
            </w:r>
          </w:p>
        </w:tc>
        <w:tc>
          <w:tcPr>
            <w:tcW w:w="1487" w:type="dxa"/>
            <w:vMerge/>
            <w:tcBorders>
              <w:left w:val="single" w:sz="4" w:space="0" w:color="auto"/>
              <w:right w:val="single" w:sz="4" w:space="0" w:color="auto"/>
            </w:tcBorders>
          </w:tcPr>
          <w:p w14:paraId="091E4D8C" w14:textId="77777777" w:rsidR="003E1CB2" w:rsidRPr="003E1CB2" w:rsidRDefault="003E1CB2" w:rsidP="003E1CB2">
            <w:pPr>
              <w:jc w:val="center"/>
              <w:rPr>
                <w:rFonts w:ascii="Verdana" w:hAnsi="Verdana"/>
                <w:color w:val="000000"/>
                <w:lang w:eastAsia="es-CO"/>
              </w:rPr>
            </w:pPr>
          </w:p>
        </w:tc>
      </w:tr>
      <w:tr w:rsidR="003E1CB2" w:rsidRPr="003E1CB2" w14:paraId="7E146436" w14:textId="77777777" w:rsidTr="00E27DFB">
        <w:trPr>
          <w:trHeight w:val="315"/>
          <w:jc w:val="center"/>
        </w:trPr>
        <w:tc>
          <w:tcPr>
            <w:tcW w:w="3220" w:type="dxa"/>
            <w:tcBorders>
              <w:top w:val="nil"/>
              <w:left w:val="nil"/>
              <w:bottom w:val="nil"/>
              <w:right w:val="single" w:sz="4" w:space="0" w:color="auto"/>
            </w:tcBorders>
            <w:noWrap/>
            <w:vAlign w:val="bottom"/>
            <w:hideMark/>
          </w:tcPr>
          <w:p w14:paraId="71153CAE"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Razón de cobertura de interés</w:t>
            </w:r>
          </w:p>
        </w:tc>
        <w:tc>
          <w:tcPr>
            <w:tcW w:w="2296" w:type="dxa"/>
            <w:tcBorders>
              <w:top w:val="single" w:sz="4" w:space="0" w:color="auto"/>
              <w:left w:val="single" w:sz="4" w:space="0" w:color="auto"/>
              <w:bottom w:val="single" w:sz="4" w:space="0" w:color="auto"/>
              <w:right w:val="single" w:sz="4" w:space="0" w:color="auto"/>
            </w:tcBorders>
            <w:noWrap/>
            <w:vAlign w:val="center"/>
          </w:tcPr>
          <w:p w14:paraId="56C5C4AA" w14:textId="76FE23D7"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1</w:t>
            </w:r>
          </w:p>
        </w:tc>
        <w:tc>
          <w:tcPr>
            <w:tcW w:w="1835" w:type="dxa"/>
            <w:tcBorders>
              <w:top w:val="single" w:sz="4" w:space="0" w:color="auto"/>
              <w:left w:val="nil"/>
              <w:bottom w:val="single" w:sz="4" w:space="0" w:color="auto"/>
              <w:right w:val="single" w:sz="4" w:space="0" w:color="auto"/>
            </w:tcBorders>
            <w:vAlign w:val="center"/>
          </w:tcPr>
          <w:p w14:paraId="7C16857F" w14:textId="580EBFDC"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98,30%</w:t>
            </w:r>
          </w:p>
        </w:tc>
        <w:tc>
          <w:tcPr>
            <w:tcW w:w="1487" w:type="dxa"/>
            <w:vMerge/>
            <w:tcBorders>
              <w:left w:val="single" w:sz="4" w:space="0" w:color="auto"/>
              <w:right w:val="single" w:sz="4" w:space="0" w:color="auto"/>
            </w:tcBorders>
          </w:tcPr>
          <w:p w14:paraId="070C4DE1" w14:textId="77777777" w:rsidR="003E1CB2" w:rsidRPr="003E1CB2" w:rsidRDefault="003E1CB2" w:rsidP="003E1CB2">
            <w:pPr>
              <w:jc w:val="center"/>
              <w:rPr>
                <w:rFonts w:ascii="Verdana" w:hAnsi="Verdana"/>
                <w:color w:val="000000"/>
                <w:lang w:eastAsia="es-CO"/>
              </w:rPr>
            </w:pPr>
          </w:p>
        </w:tc>
      </w:tr>
      <w:tr w:rsidR="003E1CB2" w:rsidRPr="003E1CB2" w14:paraId="19162A39" w14:textId="77777777" w:rsidTr="00E27DFB">
        <w:trPr>
          <w:trHeight w:val="315"/>
          <w:jc w:val="center"/>
        </w:trPr>
        <w:tc>
          <w:tcPr>
            <w:tcW w:w="3220" w:type="dxa"/>
            <w:tcBorders>
              <w:top w:val="nil"/>
              <w:left w:val="nil"/>
              <w:bottom w:val="nil"/>
              <w:right w:val="single" w:sz="4" w:space="0" w:color="auto"/>
            </w:tcBorders>
            <w:noWrap/>
            <w:vAlign w:val="bottom"/>
            <w:hideMark/>
          </w:tcPr>
          <w:p w14:paraId="6F5563A6"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Rentabilidad sobre Patrimonio</w:t>
            </w:r>
          </w:p>
        </w:tc>
        <w:tc>
          <w:tcPr>
            <w:tcW w:w="2296" w:type="dxa"/>
            <w:tcBorders>
              <w:top w:val="single" w:sz="4" w:space="0" w:color="auto"/>
              <w:left w:val="single" w:sz="4" w:space="0" w:color="auto"/>
              <w:bottom w:val="single" w:sz="4" w:space="0" w:color="auto"/>
              <w:right w:val="single" w:sz="4" w:space="0" w:color="auto"/>
            </w:tcBorders>
            <w:noWrap/>
            <w:vAlign w:val="center"/>
          </w:tcPr>
          <w:p w14:paraId="39DCD735" w14:textId="52826AF2"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0,04</w:t>
            </w:r>
          </w:p>
        </w:tc>
        <w:tc>
          <w:tcPr>
            <w:tcW w:w="1835" w:type="dxa"/>
            <w:tcBorders>
              <w:top w:val="single" w:sz="4" w:space="0" w:color="auto"/>
              <w:left w:val="nil"/>
              <w:bottom w:val="single" w:sz="4" w:space="0" w:color="auto"/>
              <w:right w:val="single" w:sz="4" w:space="0" w:color="auto"/>
            </w:tcBorders>
            <w:vAlign w:val="center"/>
          </w:tcPr>
          <w:p w14:paraId="6838E87D" w14:textId="6F88C32B"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92,53%</w:t>
            </w:r>
          </w:p>
        </w:tc>
        <w:tc>
          <w:tcPr>
            <w:tcW w:w="1487" w:type="dxa"/>
            <w:vMerge/>
            <w:tcBorders>
              <w:left w:val="single" w:sz="4" w:space="0" w:color="auto"/>
              <w:right w:val="single" w:sz="4" w:space="0" w:color="auto"/>
            </w:tcBorders>
          </w:tcPr>
          <w:p w14:paraId="6A3BF440" w14:textId="77777777" w:rsidR="003E1CB2" w:rsidRPr="003E1CB2" w:rsidRDefault="003E1CB2" w:rsidP="003E1CB2">
            <w:pPr>
              <w:jc w:val="center"/>
              <w:rPr>
                <w:rFonts w:ascii="Verdana" w:hAnsi="Verdana"/>
                <w:color w:val="000000"/>
                <w:lang w:eastAsia="es-CO"/>
              </w:rPr>
            </w:pPr>
          </w:p>
        </w:tc>
      </w:tr>
      <w:tr w:rsidR="003E1CB2" w:rsidRPr="003E1CB2" w14:paraId="3F076B15" w14:textId="77777777" w:rsidTr="00E27DFB">
        <w:trPr>
          <w:trHeight w:val="315"/>
          <w:jc w:val="center"/>
        </w:trPr>
        <w:tc>
          <w:tcPr>
            <w:tcW w:w="3220" w:type="dxa"/>
            <w:tcBorders>
              <w:top w:val="nil"/>
              <w:left w:val="nil"/>
              <w:bottom w:val="nil"/>
              <w:right w:val="single" w:sz="4" w:space="0" w:color="auto"/>
            </w:tcBorders>
            <w:noWrap/>
            <w:vAlign w:val="bottom"/>
            <w:hideMark/>
          </w:tcPr>
          <w:p w14:paraId="025E8090"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Rentabilidad sobre Activo</w:t>
            </w:r>
          </w:p>
        </w:tc>
        <w:tc>
          <w:tcPr>
            <w:tcW w:w="2296" w:type="dxa"/>
            <w:tcBorders>
              <w:top w:val="single" w:sz="4" w:space="0" w:color="auto"/>
              <w:left w:val="single" w:sz="4" w:space="0" w:color="auto"/>
              <w:bottom w:val="single" w:sz="4" w:space="0" w:color="auto"/>
              <w:right w:val="single" w:sz="4" w:space="0" w:color="auto"/>
            </w:tcBorders>
            <w:noWrap/>
            <w:vAlign w:val="center"/>
          </w:tcPr>
          <w:p w14:paraId="7E76BC19" w14:textId="57D9C0BF"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0,02</w:t>
            </w:r>
          </w:p>
        </w:tc>
        <w:tc>
          <w:tcPr>
            <w:tcW w:w="1835" w:type="dxa"/>
            <w:tcBorders>
              <w:top w:val="single" w:sz="4" w:space="0" w:color="auto"/>
              <w:left w:val="nil"/>
              <w:bottom w:val="single" w:sz="4" w:space="0" w:color="auto"/>
              <w:right w:val="single" w:sz="4" w:space="0" w:color="auto"/>
            </w:tcBorders>
            <w:vAlign w:val="center"/>
          </w:tcPr>
          <w:p w14:paraId="2C1AF63C" w14:textId="21C80A39"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94,23%</w:t>
            </w:r>
          </w:p>
        </w:tc>
        <w:tc>
          <w:tcPr>
            <w:tcW w:w="1487" w:type="dxa"/>
            <w:vMerge/>
            <w:tcBorders>
              <w:left w:val="single" w:sz="4" w:space="0" w:color="auto"/>
              <w:right w:val="single" w:sz="4" w:space="0" w:color="auto"/>
            </w:tcBorders>
          </w:tcPr>
          <w:p w14:paraId="21651C9D" w14:textId="77777777" w:rsidR="003E1CB2" w:rsidRPr="003E1CB2" w:rsidRDefault="003E1CB2" w:rsidP="003E1CB2">
            <w:pPr>
              <w:jc w:val="center"/>
              <w:rPr>
                <w:rFonts w:ascii="Verdana" w:hAnsi="Verdana"/>
                <w:color w:val="000000"/>
                <w:lang w:eastAsia="es-CO"/>
              </w:rPr>
            </w:pPr>
          </w:p>
        </w:tc>
      </w:tr>
      <w:tr w:rsidR="003E1CB2" w:rsidRPr="003E1CB2" w14:paraId="56E60193" w14:textId="77777777" w:rsidTr="00E27DFB">
        <w:trPr>
          <w:trHeight w:val="315"/>
          <w:jc w:val="center"/>
        </w:trPr>
        <w:tc>
          <w:tcPr>
            <w:tcW w:w="3220" w:type="dxa"/>
            <w:tcBorders>
              <w:top w:val="nil"/>
              <w:left w:val="nil"/>
              <w:bottom w:val="nil"/>
              <w:right w:val="single" w:sz="4" w:space="0" w:color="auto"/>
            </w:tcBorders>
            <w:noWrap/>
            <w:vAlign w:val="bottom"/>
          </w:tcPr>
          <w:p w14:paraId="1AA3D960" w14:textId="77777777" w:rsidR="003E1CB2" w:rsidRPr="003E1CB2" w:rsidRDefault="003E1CB2" w:rsidP="003E1CB2">
            <w:pPr>
              <w:rPr>
                <w:rFonts w:ascii="Verdana" w:hAnsi="Verdana"/>
                <w:color w:val="000000"/>
                <w:sz w:val="22"/>
                <w:szCs w:val="22"/>
                <w:lang w:eastAsia="es-CO"/>
              </w:rPr>
            </w:pPr>
            <w:r w:rsidRPr="003E1CB2">
              <w:rPr>
                <w:rFonts w:ascii="Verdana" w:hAnsi="Verdana"/>
                <w:color w:val="000000" w:themeColor="text1"/>
                <w:sz w:val="22"/>
                <w:szCs w:val="22"/>
                <w:lang w:eastAsia="es-CO"/>
              </w:rPr>
              <w:t>Capital de trabajo</w:t>
            </w:r>
          </w:p>
        </w:tc>
        <w:tc>
          <w:tcPr>
            <w:tcW w:w="2296" w:type="dxa"/>
            <w:tcBorders>
              <w:top w:val="single" w:sz="4" w:space="0" w:color="auto"/>
              <w:left w:val="nil"/>
              <w:bottom w:val="single" w:sz="4" w:space="0" w:color="auto"/>
              <w:right w:val="nil"/>
            </w:tcBorders>
            <w:noWrap/>
            <w:vAlign w:val="center"/>
          </w:tcPr>
          <w:p w14:paraId="1AD6FC10" w14:textId="6F66B0BA" w:rsidR="003E1CB2" w:rsidRPr="003E1CB2" w:rsidRDefault="00E27DFB" w:rsidP="003E1CB2">
            <w:pPr>
              <w:jc w:val="center"/>
              <w:rPr>
                <w:rFonts w:ascii="Verdana" w:hAnsi="Verdana"/>
                <w:color w:val="000000"/>
                <w:sz w:val="22"/>
                <w:szCs w:val="22"/>
              </w:rPr>
            </w:pPr>
            <w:r>
              <w:rPr>
                <w:rFonts w:ascii="Verdana" w:hAnsi="Verdana"/>
                <w:color w:val="000000"/>
                <w:sz w:val="22"/>
                <w:szCs w:val="22"/>
              </w:rPr>
              <w:t>$ 2.255.939.500</w:t>
            </w:r>
          </w:p>
        </w:tc>
        <w:tc>
          <w:tcPr>
            <w:tcW w:w="1835" w:type="dxa"/>
            <w:tcBorders>
              <w:top w:val="single" w:sz="4" w:space="0" w:color="auto"/>
              <w:left w:val="single" w:sz="4" w:space="0" w:color="auto"/>
              <w:bottom w:val="single" w:sz="4" w:space="0" w:color="auto"/>
              <w:right w:val="single" w:sz="4" w:space="0" w:color="auto"/>
            </w:tcBorders>
            <w:vAlign w:val="center"/>
          </w:tcPr>
          <w:p w14:paraId="4490B087" w14:textId="0BF57EF0" w:rsidR="003E1CB2" w:rsidRPr="003E1CB2" w:rsidRDefault="003E1CB2" w:rsidP="003E1CB2">
            <w:pPr>
              <w:jc w:val="center"/>
              <w:rPr>
                <w:rFonts w:ascii="Verdana" w:hAnsi="Verdana"/>
                <w:color w:val="000000"/>
                <w:sz w:val="22"/>
                <w:szCs w:val="22"/>
              </w:rPr>
            </w:pPr>
            <w:r w:rsidRPr="00E27DFB">
              <w:rPr>
                <w:rFonts w:ascii="Verdana" w:hAnsi="Verdana"/>
                <w:color w:val="000000"/>
                <w:sz w:val="22"/>
                <w:szCs w:val="22"/>
              </w:rPr>
              <w:t>48,05%</w:t>
            </w:r>
          </w:p>
        </w:tc>
        <w:tc>
          <w:tcPr>
            <w:tcW w:w="1487" w:type="dxa"/>
            <w:vMerge/>
            <w:tcBorders>
              <w:left w:val="single" w:sz="4" w:space="0" w:color="auto"/>
              <w:bottom w:val="single" w:sz="4" w:space="0" w:color="auto"/>
              <w:right w:val="single" w:sz="4" w:space="0" w:color="auto"/>
            </w:tcBorders>
          </w:tcPr>
          <w:p w14:paraId="7DD10627" w14:textId="77777777" w:rsidR="003E1CB2" w:rsidRPr="003E1CB2" w:rsidRDefault="003E1CB2" w:rsidP="003E1CB2">
            <w:pPr>
              <w:jc w:val="center"/>
              <w:rPr>
                <w:rFonts w:ascii="Verdana" w:hAnsi="Verdana"/>
                <w:color w:val="000000"/>
                <w:sz w:val="22"/>
                <w:szCs w:val="22"/>
                <w:lang w:eastAsia="es-CO"/>
              </w:rPr>
            </w:pPr>
          </w:p>
        </w:tc>
      </w:tr>
    </w:tbl>
    <w:p w14:paraId="50D74489" w14:textId="77777777" w:rsidR="001360D2" w:rsidRPr="003E1CB2" w:rsidRDefault="001360D2" w:rsidP="001360D2">
      <w:pPr>
        <w:ind w:left="66"/>
        <w:jc w:val="both"/>
        <w:rPr>
          <w:rFonts w:ascii="Verdana" w:hAnsi="Verdana"/>
          <w:sz w:val="22"/>
          <w:szCs w:val="22"/>
          <w:lang w:val="en-US"/>
        </w:rPr>
      </w:pPr>
    </w:p>
    <w:p w14:paraId="6D6D1754" w14:textId="7883E65C" w:rsidR="001360D2" w:rsidRDefault="00451EBC" w:rsidP="00451EBC">
      <w:pPr>
        <w:ind w:left="66"/>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077DF924" w14:textId="77777777" w:rsidR="00451EBC" w:rsidRDefault="00451EBC" w:rsidP="00451EBC">
      <w:pPr>
        <w:ind w:left="66"/>
        <w:jc w:val="center"/>
        <w:rPr>
          <w:rFonts w:ascii="Verdana" w:hAnsi="Verdana"/>
          <w:sz w:val="16"/>
          <w:szCs w:val="16"/>
          <w:lang w:val="en-US"/>
        </w:rPr>
      </w:pPr>
    </w:p>
    <w:p w14:paraId="4A20293B" w14:textId="77777777" w:rsidR="00451EBC" w:rsidRPr="00A63597" w:rsidRDefault="00451EBC" w:rsidP="00451EBC">
      <w:pPr>
        <w:autoSpaceDE w:val="0"/>
        <w:autoSpaceDN w:val="0"/>
        <w:ind w:left="360"/>
        <w:jc w:val="both"/>
        <w:rPr>
          <w:rFonts w:ascii="Verdana" w:hAnsi="Verdana" w:cs="Arial"/>
          <w:b/>
          <w:bCs/>
          <w:i/>
          <w:iCs/>
          <w:color w:val="000000"/>
          <w:sz w:val="22"/>
          <w:szCs w:val="22"/>
          <w:u w:val="single"/>
        </w:rPr>
      </w:pPr>
    </w:p>
    <w:p w14:paraId="4EDA9D17" w14:textId="4E6D85A6" w:rsidR="00451EBC" w:rsidRPr="00870C64" w:rsidRDefault="00451EBC" w:rsidP="00451EBC">
      <w:pPr>
        <w:pBdr>
          <w:top w:val="dotted" w:sz="4" w:space="1" w:color="000000"/>
          <w:left w:val="dotted" w:sz="4" w:space="4" w:color="000000"/>
          <w:bottom w:val="dotted" w:sz="4" w:space="1" w:color="000000"/>
          <w:right w:val="dotted" w:sz="4" w:space="4" w:color="000000"/>
        </w:pBdr>
        <w:autoSpaceDE w:val="0"/>
        <w:autoSpaceDN w:val="0"/>
        <w:ind w:left="360"/>
        <w:jc w:val="both"/>
        <w:rPr>
          <w:rFonts w:ascii="Verdana" w:hAnsi="Verdana" w:cs="Arial"/>
          <w:color w:val="000000"/>
          <w:sz w:val="22"/>
          <w:szCs w:val="22"/>
          <w:highlight w:val="yellow"/>
        </w:rPr>
      </w:pPr>
      <w:r w:rsidRPr="00E33AF8">
        <w:rPr>
          <w:rFonts w:ascii="Verdana" w:hAnsi="Verdana" w:cs="Arial"/>
          <w:b/>
          <w:bCs/>
          <w:color w:val="000000"/>
          <w:sz w:val="22"/>
          <w:szCs w:val="22"/>
        </w:rPr>
        <w:t xml:space="preserve">Nota </w:t>
      </w:r>
      <w:r>
        <w:rPr>
          <w:rFonts w:ascii="Verdana" w:hAnsi="Verdana" w:cs="Arial"/>
          <w:b/>
          <w:bCs/>
          <w:color w:val="000000"/>
          <w:sz w:val="22"/>
          <w:szCs w:val="22"/>
        </w:rPr>
        <w:t>2</w:t>
      </w:r>
      <w:r w:rsidRPr="00E33AF8">
        <w:rPr>
          <w:rFonts w:ascii="Verdana" w:hAnsi="Verdana" w:cs="Arial"/>
          <w:b/>
          <w:bCs/>
          <w:color w:val="000000"/>
          <w:sz w:val="22"/>
          <w:szCs w:val="22"/>
        </w:rPr>
        <w:t>:</w:t>
      </w:r>
      <w:r w:rsidRPr="00E33AF8">
        <w:rPr>
          <w:rFonts w:ascii="Verdana" w:hAnsi="Verdana" w:cs="Arial"/>
          <w:color w:val="000000"/>
          <w:sz w:val="22"/>
          <w:szCs w:val="22"/>
        </w:rPr>
        <w:t xml:space="preserve"> </w:t>
      </w:r>
      <w:r w:rsidRPr="00451EBC">
        <w:rPr>
          <w:rFonts w:ascii="Verdana" w:hAnsi="Verdana"/>
          <w:sz w:val="22"/>
          <w:szCs w:val="22"/>
        </w:rPr>
        <w:t xml:space="preserve">Es importante resaltar que los niveles de cumplimiento se están realizando contra empresas de forma individual, sin embargo, al revisar el proceso utilizado de ejemplo se logró establecer que se presentaron 2 ofertas, (todas a través de estructuras plurales). Lo anterior permite evidenciar, </w:t>
      </w:r>
      <w:proofErr w:type="gramStart"/>
      <w:r w:rsidRPr="00451EBC">
        <w:rPr>
          <w:rFonts w:ascii="Verdana" w:hAnsi="Verdana"/>
          <w:sz w:val="22"/>
          <w:szCs w:val="22"/>
        </w:rPr>
        <w:t>que</w:t>
      </w:r>
      <w:proofErr w:type="gramEnd"/>
      <w:r w:rsidRPr="00451EBC">
        <w:rPr>
          <w:rFonts w:ascii="Verdana" w:hAnsi="Verdana"/>
          <w:sz w:val="22"/>
          <w:szCs w:val="22"/>
        </w:rPr>
        <w:t xml:space="preserve"> pese a que el porcentaje de cumplimiento esté por debajo del 50% de forma general, debido a las exigencias de capital de trabajo demandado debido a las características del proyecto, la cantidad de empresas individuales que cumplirían con los requisitos se encuentran por encima de los proponentes que presentaron propuesta en el proceso referenciado.</w:t>
      </w:r>
    </w:p>
    <w:p w14:paraId="024E7A70" w14:textId="77777777" w:rsidR="001360D2" w:rsidRPr="009F2ACD" w:rsidRDefault="001360D2" w:rsidP="001360D2">
      <w:pPr>
        <w:ind w:left="66"/>
        <w:jc w:val="both"/>
        <w:rPr>
          <w:rFonts w:ascii="Verdana" w:hAnsi="Verdana"/>
          <w:b/>
          <w:sz w:val="22"/>
          <w:szCs w:val="22"/>
          <w:lang w:val="es-MX"/>
        </w:rPr>
      </w:pPr>
      <w:r w:rsidRPr="009F2ACD">
        <w:rPr>
          <w:rFonts w:ascii="Verdana" w:hAnsi="Verdana"/>
          <w:b/>
          <w:sz w:val="22"/>
          <w:szCs w:val="22"/>
          <w:lang w:val="es-MX"/>
        </w:rPr>
        <w:lastRenderedPageBreak/>
        <w:t>Escenario 5</w:t>
      </w:r>
    </w:p>
    <w:p w14:paraId="17BBD97B" w14:textId="77777777" w:rsidR="001360D2" w:rsidRPr="009F2ACD" w:rsidRDefault="001360D2" w:rsidP="001360D2">
      <w:pPr>
        <w:ind w:left="66"/>
        <w:jc w:val="both"/>
        <w:rPr>
          <w:rFonts w:ascii="Verdana" w:hAnsi="Verdana"/>
          <w:b/>
          <w:sz w:val="22"/>
          <w:szCs w:val="22"/>
          <w:lang w:val="es-MX"/>
        </w:rPr>
      </w:pPr>
    </w:p>
    <w:p w14:paraId="1C92FF68" w14:textId="7C7033A1" w:rsidR="001360D2" w:rsidRPr="009F2ACD" w:rsidRDefault="001360D2" w:rsidP="001360D2">
      <w:pPr>
        <w:ind w:left="66"/>
        <w:jc w:val="both"/>
        <w:rPr>
          <w:rFonts w:ascii="Verdana" w:hAnsi="Verdana"/>
          <w:b/>
          <w:sz w:val="22"/>
          <w:szCs w:val="22"/>
          <w:lang w:val="es-MX"/>
        </w:rPr>
      </w:pPr>
      <w:r w:rsidRPr="009F2ACD">
        <w:rPr>
          <w:rFonts w:ascii="Verdana" w:hAnsi="Verdana"/>
          <w:b/>
          <w:sz w:val="22"/>
          <w:szCs w:val="22"/>
          <w:lang w:val="es-MX"/>
        </w:rPr>
        <w:t xml:space="preserve">Objeto: </w:t>
      </w:r>
      <w:r w:rsidR="00F53818" w:rsidRPr="009F2ACD">
        <w:rPr>
          <w:rFonts w:ascii="Verdana" w:hAnsi="Verdana"/>
          <w:sz w:val="22"/>
          <w:szCs w:val="22"/>
          <w:lang w:val="es-MX"/>
        </w:rPr>
        <w:t>ACTUALIZACIÓN Y COMPLEMENTACIÓN DE LOS ESTUDIOS, DISEÑOS Y AMPLIACION DEL ACUEDUCTO REGIONAL COSTANERO PARA LAS ZONAS URBANAS DE LOS MUNICIPIOS DE CANALETE, LOS CÓRDOBAS, PUERTO ESCONDIDO E INICIO DE COBERTURA RURAL DEL MUNICIPIO DE MONTERIA – FASE I.</w:t>
      </w:r>
    </w:p>
    <w:p w14:paraId="4E5CFA58" w14:textId="42AD4386" w:rsidR="001360D2" w:rsidRPr="009F2ACD" w:rsidRDefault="001360D2" w:rsidP="001360D2">
      <w:pPr>
        <w:ind w:left="66"/>
        <w:jc w:val="both"/>
        <w:rPr>
          <w:rFonts w:ascii="Verdana" w:hAnsi="Verdana"/>
          <w:b/>
          <w:sz w:val="22"/>
          <w:szCs w:val="22"/>
          <w:lang w:val="es-MX"/>
        </w:rPr>
      </w:pPr>
      <w:r w:rsidRPr="009F2ACD">
        <w:rPr>
          <w:rFonts w:ascii="Verdana" w:hAnsi="Verdana"/>
          <w:b/>
          <w:sz w:val="22"/>
          <w:szCs w:val="22"/>
          <w:lang w:val="es-MX"/>
        </w:rPr>
        <w:t xml:space="preserve">Presupuesto oficial: </w:t>
      </w:r>
      <w:r w:rsidRPr="009F2ACD">
        <w:rPr>
          <w:rFonts w:ascii="Verdana" w:hAnsi="Verdana"/>
          <w:sz w:val="22"/>
          <w:szCs w:val="22"/>
          <w:lang w:val="es-MX"/>
        </w:rPr>
        <w:t>$</w:t>
      </w:r>
      <w:r w:rsidRPr="009F2ACD">
        <w:rPr>
          <w:rFonts w:ascii="Verdana" w:hAnsi="Verdana"/>
          <w:sz w:val="22"/>
          <w:szCs w:val="22"/>
        </w:rPr>
        <w:t xml:space="preserve"> </w:t>
      </w:r>
      <w:r w:rsidR="009F2ACD" w:rsidRPr="009F2ACD">
        <w:rPr>
          <w:rFonts w:ascii="Verdana" w:hAnsi="Verdana"/>
          <w:sz w:val="22"/>
          <w:szCs w:val="22"/>
          <w:lang w:val="es-MX"/>
        </w:rPr>
        <w:t>28.543.644.812</w:t>
      </w:r>
    </w:p>
    <w:p w14:paraId="5FFCD955" w14:textId="1BA98875" w:rsidR="001360D2" w:rsidRPr="009F2ACD" w:rsidRDefault="001360D2" w:rsidP="001360D2">
      <w:pPr>
        <w:ind w:left="66"/>
        <w:jc w:val="both"/>
        <w:rPr>
          <w:rFonts w:ascii="Verdana" w:hAnsi="Verdana"/>
          <w:b/>
          <w:sz w:val="22"/>
          <w:szCs w:val="22"/>
          <w:lang w:val="es-MX"/>
        </w:rPr>
      </w:pPr>
      <w:r w:rsidRPr="009F2ACD">
        <w:rPr>
          <w:rFonts w:ascii="Verdana" w:hAnsi="Verdana"/>
          <w:b/>
          <w:sz w:val="22"/>
          <w:szCs w:val="22"/>
          <w:lang w:val="es-MX"/>
        </w:rPr>
        <w:t xml:space="preserve">Plazo: </w:t>
      </w:r>
      <w:r w:rsidRPr="009F2ACD">
        <w:rPr>
          <w:rFonts w:ascii="Verdana" w:hAnsi="Verdana"/>
          <w:sz w:val="22"/>
          <w:szCs w:val="22"/>
          <w:lang w:val="es-MX"/>
        </w:rPr>
        <w:t>2</w:t>
      </w:r>
      <w:r w:rsidR="009F2ACD" w:rsidRPr="009F2ACD">
        <w:rPr>
          <w:rFonts w:ascii="Verdana" w:hAnsi="Verdana"/>
          <w:sz w:val="22"/>
          <w:szCs w:val="22"/>
          <w:lang w:val="es-MX"/>
        </w:rPr>
        <w:t>3</w:t>
      </w:r>
      <w:r w:rsidRPr="009F2ACD">
        <w:rPr>
          <w:rFonts w:ascii="Verdana" w:hAnsi="Verdana"/>
          <w:sz w:val="22"/>
          <w:szCs w:val="22"/>
          <w:lang w:val="es-MX"/>
        </w:rPr>
        <w:t xml:space="preserve"> meses</w:t>
      </w:r>
    </w:p>
    <w:p w14:paraId="022A8A25" w14:textId="262C6C6E" w:rsidR="001360D2" w:rsidRPr="009F2ACD" w:rsidRDefault="001360D2" w:rsidP="001360D2">
      <w:pPr>
        <w:ind w:left="66"/>
        <w:jc w:val="both"/>
        <w:rPr>
          <w:rFonts w:ascii="Verdana" w:hAnsi="Verdana"/>
          <w:b/>
          <w:sz w:val="22"/>
          <w:szCs w:val="22"/>
          <w:lang w:val="es-MX"/>
        </w:rPr>
      </w:pPr>
      <w:r w:rsidRPr="009F2ACD">
        <w:rPr>
          <w:rFonts w:ascii="Verdana" w:hAnsi="Verdana"/>
          <w:b/>
          <w:sz w:val="22"/>
          <w:szCs w:val="22"/>
          <w:lang w:val="es-MX"/>
        </w:rPr>
        <w:t xml:space="preserve">Anticipo/Pago anticipado: </w:t>
      </w:r>
      <w:r w:rsidRPr="009F2ACD">
        <w:rPr>
          <w:rFonts w:ascii="Verdana" w:hAnsi="Verdana"/>
          <w:sz w:val="22"/>
          <w:szCs w:val="22"/>
          <w:lang w:val="es-MX"/>
        </w:rPr>
        <w:t>2</w:t>
      </w:r>
      <w:r w:rsidR="009F2ACD" w:rsidRPr="009F2ACD">
        <w:rPr>
          <w:rFonts w:ascii="Verdana" w:hAnsi="Verdana"/>
          <w:sz w:val="22"/>
          <w:szCs w:val="22"/>
          <w:lang w:val="es-MX"/>
        </w:rPr>
        <w:t>0</w:t>
      </w:r>
      <w:r w:rsidRPr="009F2ACD">
        <w:rPr>
          <w:rFonts w:ascii="Verdana" w:hAnsi="Verdana"/>
          <w:sz w:val="22"/>
          <w:szCs w:val="22"/>
          <w:lang w:val="es-MX"/>
        </w:rPr>
        <w:t>%</w:t>
      </w:r>
    </w:p>
    <w:p w14:paraId="35024F03" w14:textId="775F8FC8" w:rsidR="001360D2" w:rsidRPr="00611315" w:rsidRDefault="001360D2" w:rsidP="001360D2">
      <w:pPr>
        <w:ind w:left="66"/>
        <w:jc w:val="both"/>
        <w:rPr>
          <w:rFonts w:ascii="Verdana" w:hAnsi="Verdana"/>
          <w:b/>
          <w:sz w:val="22"/>
          <w:szCs w:val="22"/>
          <w:highlight w:val="yellow"/>
          <w:lang w:val="en-US"/>
        </w:rPr>
      </w:pPr>
      <w:r w:rsidRPr="009F2ACD">
        <w:rPr>
          <w:rFonts w:ascii="Verdana" w:hAnsi="Verdana"/>
          <w:b/>
          <w:sz w:val="22"/>
          <w:szCs w:val="22"/>
          <w:lang w:val="en-US"/>
        </w:rPr>
        <w:t xml:space="preserve">Link: </w:t>
      </w:r>
      <w:hyperlink r:id="rId55" w:history="1">
        <w:r w:rsidR="00F4679D" w:rsidRPr="00F4679D">
          <w:rPr>
            <w:rStyle w:val="Hipervnculo"/>
            <w:rFonts w:ascii="Verdana" w:hAnsi="Verdana"/>
            <w:bCs/>
            <w:sz w:val="22"/>
            <w:szCs w:val="22"/>
            <w:lang w:val="en-US"/>
          </w:rPr>
          <w:t>https://www.contratos.gov.co/consultas/detalleProceso.do?numConstancia=24-21-48767</w:t>
        </w:r>
      </w:hyperlink>
      <w:r w:rsidR="00F4679D">
        <w:rPr>
          <w:rFonts w:ascii="Verdana" w:hAnsi="Verdana"/>
          <w:b/>
          <w:sz w:val="22"/>
          <w:szCs w:val="22"/>
          <w:lang w:val="en-US"/>
        </w:rPr>
        <w:t xml:space="preserve"> </w:t>
      </w:r>
    </w:p>
    <w:p w14:paraId="3E52FBE3" w14:textId="77777777" w:rsidR="00A077C1" w:rsidRPr="00611315" w:rsidRDefault="00A077C1" w:rsidP="001360D2">
      <w:pPr>
        <w:ind w:left="66"/>
        <w:jc w:val="both"/>
        <w:rPr>
          <w:rFonts w:ascii="Verdana" w:hAnsi="Verdana"/>
          <w:b/>
          <w:sz w:val="22"/>
          <w:szCs w:val="22"/>
          <w:highlight w:val="yellow"/>
          <w:lang w:val="en-US"/>
        </w:rPr>
      </w:pPr>
    </w:p>
    <w:p w14:paraId="69946378" w14:textId="77777777" w:rsidR="00A077C1" w:rsidRPr="00CB11EB" w:rsidRDefault="00A077C1" w:rsidP="001360D2">
      <w:pPr>
        <w:ind w:left="66"/>
        <w:jc w:val="both"/>
        <w:rPr>
          <w:rFonts w:ascii="Verdana" w:hAnsi="Verdana"/>
          <w:b/>
          <w:sz w:val="22"/>
          <w:szCs w:val="22"/>
          <w:lang w:val="en-US"/>
        </w:rPr>
      </w:pPr>
    </w:p>
    <w:p w14:paraId="3BC8DEEE" w14:textId="1530395F" w:rsidR="00A077C1" w:rsidRPr="00CB11EB" w:rsidRDefault="00A077C1" w:rsidP="00A077C1">
      <w:pPr>
        <w:pStyle w:val="Descripcin"/>
        <w:jc w:val="center"/>
        <w:rPr>
          <w:rFonts w:ascii="Verdana" w:hAnsi="Verdana"/>
          <w:bCs w:val="0"/>
          <w:sz w:val="22"/>
          <w:szCs w:val="22"/>
          <w:lang w:val="en-US"/>
        </w:rPr>
      </w:pPr>
      <w:bookmarkStart w:id="456" w:name="_Toc231368688"/>
      <w:r w:rsidRPr="00CB11EB">
        <w:rPr>
          <w:rFonts w:ascii="Verdana" w:hAnsi="Verdana"/>
          <w:sz w:val="22"/>
          <w:szCs w:val="22"/>
        </w:rPr>
        <w:t xml:space="preserve">Tabla </w:t>
      </w:r>
      <w:r w:rsidRPr="00CB11EB">
        <w:rPr>
          <w:rFonts w:ascii="Verdana" w:hAnsi="Verdana"/>
          <w:sz w:val="22"/>
          <w:szCs w:val="22"/>
        </w:rPr>
        <w:fldChar w:fldCharType="begin"/>
      </w:r>
      <w:r w:rsidRPr="00CB11EB">
        <w:rPr>
          <w:rFonts w:ascii="Verdana" w:hAnsi="Verdana"/>
          <w:sz w:val="22"/>
          <w:szCs w:val="22"/>
        </w:rPr>
        <w:instrText xml:space="preserve"> SEQ Tabla \* ARABIC </w:instrText>
      </w:r>
      <w:r w:rsidRPr="00CB11EB">
        <w:rPr>
          <w:rFonts w:ascii="Verdana" w:hAnsi="Verdana"/>
          <w:sz w:val="22"/>
          <w:szCs w:val="22"/>
        </w:rPr>
        <w:fldChar w:fldCharType="separate"/>
      </w:r>
      <w:r w:rsidR="00051396">
        <w:rPr>
          <w:rFonts w:ascii="Verdana" w:hAnsi="Verdana"/>
          <w:noProof/>
          <w:sz w:val="22"/>
          <w:szCs w:val="22"/>
        </w:rPr>
        <w:t>21</w:t>
      </w:r>
      <w:r w:rsidRPr="00CB11EB">
        <w:rPr>
          <w:rFonts w:ascii="Verdana" w:hAnsi="Verdana"/>
          <w:sz w:val="22"/>
          <w:szCs w:val="22"/>
        </w:rPr>
        <w:fldChar w:fldCharType="end"/>
      </w:r>
      <w:r w:rsidRPr="00CB11EB">
        <w:rPr>
          <w:rFonts w:ascii="Verdana" w:hAnsi="Verdana"/>
          <w:sz w:val="22"/>
          <w:szCs w:val="22"/>
        </w:rPr>
        <w:t>.Requisitos escenario 5</w:t>
      </w:r>
      <w:bookmarkEnd w:id="456"/>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1360D2" w:rsidRPr="00CB11EB" w14:paraId="056BE6CD" w14:textId="77777777" w:rsidTr="00447A32">
        <w:trPr>
          <w:trHeight w:val="315"/>
          <w:tblHeader/>
          <w:jc w:val="center"/>
        </w:trPr>
        <w:tc>
          <w:tcPr>
            <w:tcW w:w="3220" w:type="dxa"/>
            <w:tcBorders>
              <w:top w:val="nil"/>
              <w:left w:val="nil"/>
              <w:bottom w:val="nil"/>
              <w:right w:val="single" w:sz="4" w:space="0" w:color="auto"/>
            </w:tcBorders>
            <w:noWrap/>
            <w:vAlign w:val="bottom"/>
            <w:hideMark/>
          </w:tcPr>
          <w:p w14:paraId="349DE7F5" w14:textId="77777777" w:rsidR="001360D2" w:rsidRPr="00CB11EB" w:rsidRDefault="001360D2" w:rsidP="00921546">
            <w:pPr>
              <w:rPr>
                <w:rFonts w:ascii="Verdana" w:hAnsi="Verdana"/>
                <w:sz w:val="22"/>
                <w:szCs w:val="22"/>
                <w:lang w:val="en-US"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28D85F86" w14:textId="442C6811" w:rsidR="001360D2" w:rsidRPr="00CB11EB" w:rsidRDefault="001360D2" w:rsidP="00921546">
            <w:pPr>
              <w:jc w:val="center"/>
              <w:rPr>
                <w:rFonts w:ascii="Verdana" w:hAnsi="Verdana"/>
                <w:b/>
                <w:color w:val="000000"/>
                <w:sz w:val="22"/>
                <w:szCs w:val="22"/>
                <w:lang w:eastAsia="es-CO"/>
              </w:rPr>
            </w:pPr>
            <w:r w:rsidRPr="00CB11EB">
              <w:rPr>
                <w:rFonts w:ascii="Verdana" w:hAnsi="Verdana"/>
                <w:b/>
                <w:color w:val="000000" w:themeColor="text1"/>
                <w:sz w:val="22"/>
                <w:szCs w:val="22"/>
              </w:rPr>
              <w:t xml:space="preserve">No </w:t>
            </w:r>
            <w:r w:rsidR="00B02C5B" w:rsidRPr="00CB11EB">
              <w:rPr>
                <w:rFonts w:ascii="Verdana" w:hAnsi="Verdana"/>
                <w:b/>
                <w:color w:val="000000" w:themeColor="text1"/>
                <w:sz w:val="22"/>
                <w:szCs w:val="22"/>
              </w:rPr>
              <w:t>MiPymes</w:t>
            </w:r>
            <w:r w:rsidRPr="00CB11EB">
              <w:rPr>
                <w:rFonts w:ascii="Verdana" w:hAnsi="Verdana"/>
                <w:b/>
                <w:color w:val="000000" w:themeColor="text1"/>
                <w:sz w:val="22"/>
                <w:szCs w:val="22"/>
              </w:rPr>
              <w:t xml:space="preserve"> (&gt;=</w:t>
            </w:r>
            <w:r w:rsidR="00CB11EB">
              <w:rPr>
                <w:rFonts w:ascii="Verdana" w:hAnsi="Verdana"/>
                <w:b/>
                <w:color w:val="000000" w:themeColor="text1"/>
                <w:sz w:val="22"/>
                <w:szCs w:val="22"/>
              </w:rPr>
              <w:t>13</w:t>
            </w:r>
            <w:r w:rsidRPr="00CB11EB">
              <w:rPr>
                <w:rFonts w:ascii="Verdana" w:hAnsi="Verdana"/>
                <w:b/>
                <w:color w:val="000000" w:themeColor="text1"/>
                <w:sz w:val="22"/>
                <w:szCs w:val="22"/>
              </w:rPr>
              <w:t xml:space="preserve">.000 </w:t>
            </w:r>
            <w:proofErr w:type="spellStart"/>
            <w:r w:rsidRPr="00CB11EB">
              <w:rPr>
                <w:rFonts w:ascii="Verdana" w:hAnsi="Verdana"/>
                <w:b/>
                <w:color w:val="000000" w:themeColor="text1"/>
                <w:sz w:val="22"/>
                <w:szCs w:val="22"/>
              </w:rPr>
              <w:t>Smmlv</w:t>
            </w:r>
            <w:proofErr w:type="spellEnd"/>
            <w:r w:rsidRPr="00CB11EB">
              <w:rPr>
                <w:rFonts w:ascii="Verdana" w:hAnsi="Verdana"/>
                <w:b/>
                <w:color w:val="000000" w:themeColor="text1"/>
                <w:sz w:val="22"/>
                <w:szCs w:val="22"/>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0FD55007" w14:textId="77777777" w:rsidR="001360D2" w:rsidRPr="00CB11EB" w:rsidRDefault="001360D2" w:rsidP="00921546">
            <w:pPr>
              <w:jc w:val="center"/>
              <w:rPr>
                <w:rFonts w:ascii="Verdana" w:hAnsi="Verdana"/>
                <w:b/>
                <w:color w:val="000000"/>
                <w:sz w:val="22"/>
                <w:szCs w:val="22"/>
                <w:lang w:eastAsia="es-CO"/>
              </w:rPr>
            </w:pPr>
            <w:r w:rsidRPr="00CB11EB">
              <w:rPr>
                <w:rFonts w:ascii="Verdana" w:hAnsi="Verdana"/>
                <w:b/>
                <w:color w:val="000000" w:themeColor="text1"/>
                <w:sz w:val="22"/>
                <w:szCs w:val="22"/>
                <w:lang w:eastAsia="es-CO"/>
              </w:rPr>
              <w:t>Nivel de cumplimiento</w:t>
            </w:r>
          </w:p>
        </w:tc>
      </w:tr>
      <w:tr w:rsidR="007455B4" w:rsidRPr="00CB11EB" w14:paraId="03172172" w14:textId="77777777" w:rsidTr="0040649E">
        <w:trPr>
          <w:trHeight w:val="315"/>
          <w:jc w:val="center"/>
        </w:trPr>
        <w:tc>
          <w:tcPr>
            <w:tcW w:w="3220" w:type="dxa"/>
            <w:tcBorders>
              <w:top w:val="nil"/>
              <w:left w:val="nil"/>
              <w:bottom w:val="nil"/>
              <w:right w:val="single" w:sz="4" w:space="0" w:color="auto"/>
            </w:tcBorders>
            <w:noWrap/>
            <w:vAlign w:val="bottom"/>
            <w:hideMark/>
          </w:tcPr>
          <w:p w14:paraId="1781FA2D"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Liquidez</w:t>
            </w:r>
          </w:p>
        </w:tc>
        <w:tc>
          <w:tcPr>
            <w:tcW w:w="2296" w:type="dxa"/>
            <w:tcBorders>
              <w:top w:val="single" w:sz="4" w:space="0" w:color="auto"/>
              <w:left w:val="single" w:sz="4" w:space="0" w:color="auto"/>
              <w:bottom w:val="single" w:sz="4" w:space="0" w:color="auto"/>
              <w:right w:val="single" w:sz="4" w:space="0" w:color="auto"/>
            </w:tcBorders>
            <w:noWrap/>
            <w:vAlign w:val="center"/>
          </w:tcPr>
          <w:p w14:paraId="7067508F" w14:textId="4FED2ADA"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1,4</w:t>
            </w:r>
          </w:p>
        </w:tc>
        <w:tc>
          <w:tcPr>
            <w:tcW w:w="1835" w:type="dxa"/>
            <w:tcBorders>
              <w:top w:val="single" w:sz="4" w:space="0" w:color="auto"/>
              <w:left w:val="nil"/>
              <w:bottom w:val="single" w:sz="4" w:space="0" w:color="auto"/>
              <w:right w:val="single" w:sz="4" w:space="0" w:color="auto"/>
            </w:tcBorders>
            <w:vAlign w:val="center"/>
          </w:tcPr>
          <w:p w14:paraId="468A7157" w14:textId="6F112D76"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97,79%</w:t>
            </w:r>
          </w:p>
        </w:tc>
        <w:tc>
          <w:tcPr>
            <w:tcW w:w="1487" w:type="dxa"/>
            <w:vMerge w:val="restart"/>
            <w:tcBorders>
              <w:top w:val="single" w:sz="4" w:space="0" w:color="auto"/>
              <w:left w:val="single" w:sz="4" w:space="0" w:color="auto"/>
              <w:right w:val="single" w:sz="4" w:space="0" w:color="auto"/>
            </w:tcBorders>
            <w:vAlign w:val="center"/>
          </w:tcPr>
          <w:p w14:paraId="482AE5F4" w14:textId="77777777" w:rsidR="007455B4" w:rsidRPr="00CB11EB" w:rsidRDefault="007455B4" w:rsidP="007455B4">
            <w:pPr>
              <w:jc w:val="center"/>
              <w:rPr>
                <w:rFonts w:ascii="Verdana" w:hAnsi="Verdana"/>
                <w:color w:val="000000"/>
                <w:sz w:val="22"/>
                <w:szCs w:val="22"/>
                <w:lang w:eastAsia="es-CO"/>
              </w:rPr>
            </w:pPr>
          </w:p>
          <w:p w14:paraId="30C4A931" w14:textId="1965DED0" w:rsidR="007455B4" w:rsidRPr="00CB11EB" w:rsidRDefault="0009360F" w:rsidP="007455B4">
            <w:pPr>
              <w:jc w:val="center"/>
              <w:rPr>
                <w:rFonts w:ascii="Verdana" w:hAnsi="Verdana"/>
                <w:color w:val="000000"/>
                <w:sz w:val="22"/>
                <w:szCs w:val="22"/>
                <w:lang w:eastAsia="es-CO"/>
              </w:rPr>
            </w:pPr>
            <w:r>
              <w:rPr>
                <w:rFonts w:ascii="Verdana" w:hAnsi="Verdana"/>
                <w:color w:val="000000" w:themeColor="text1"/>
                <w:sz w:val="22"/>
                <w:szCs w:val="22"/>
                <w:lang w:eastAsia="es-CO"/>
              </w:rPr>
              <w:t>23</w:t>
            </w:r>
            <w:r w:rsidR="007455B4" w:rsidRPr="00CB11EB">
              <w:rPr>
                <w:rFonts w:ascii="Verdana" w:hAnsi="Verdana"/>
                <w:color w:val="000000" w:themeColor="text1"/>
                <w:sz w:val="22"/>
                <w:szCs w:val="22"/>
                <w:lang w:eastAsia="es-CO"/>
              </w:rPr>
              <w:t>,</w:t>
            </w:r>
            <w:r>
              <w:rPr>
                <w:rFonts w:ascii="Verdana" w:hAnsi="Verdana"/>
                <w:color w:val="000000" w:themeColor="text1"/>
                <w:sz w:val="22"/>
                <w:szCs w:val="22"/>
                <w:lang w:eastAsia="es-CO"/>
              </w:rPr>
              <w:t>26</w:t>
            </w:r>
            <w:r w:rsidR="007455B4" w:rsidRPr="00CB11EB">
              <w:rPr>
                <w:rFonts w:ascii="Verdana" w:hAnsi="Verdana"/>
                <w:color w:val="000000" w:themeColor="text1"/>
                <w:sz w:val="22"/>
                <w:szCs w:val="22"/>
                <w:lang w:eastAsia="es-CO"/>
              </w:rPr>
              <w:t>%</w:t>
            </w:r>
          </w:p>
          <w:p w14:paraId="039B97B1" w14:textId="2BA83744" w:rsidR="007455B4" w:rsidRPr="00CB11EB" w:rsidRDefault="007455B4" w:rsidP="007455B4">
            <w:pPr>
              <w:jc w:val="center"/>
              <w:rPr>
                <w:rFonts w:ascii="Verdana" w:hAnsi="Verdana"/>
                <w:color w:val="000000"/>
                <w:sz w:val="22"/>
                <w:szCs w:val="22"/>
                <w:lang w:eastAsia="es-CO"/>
              </w:rPr>
            </w:pPr>
            <w:r w:rsidRPr="00CB11EB">
              <w:rPr>
                <w:rFonts w:ascii="Verdana" w:hAnsi="Verdana"/>
                <w:color w:val="000000" w:themeColor="text1"/>
                <w:sz w:val="22"/>
                <w:szCs w:val="22"/>
                <w:lang w:eastAsia="es-CO"/>
              </w:rPr>
              <w:t>(1</w:t>
            </w:r>
            <w:r w:rsidR="0009360F">
              <w:rPr>
                <w:rFonts w:ascii="Verdana" w:hAnsi="Verdana"/>
                <w:color w:val="000000" w:themeColor="text1"/>
                <w:sz w:val="22"/>
                <w:szCs w:val="22"/>
                <w:lang w:eastAsia="es-CO"/>
              </w:rPr>
              <w:t>37</w:t>
            </w:r>
            <w:r w:rsidRPr="00CB11EB">
              <w:rPr>
                <w:rFonts w:ascii="Verdana" w:hAnsi="Verdana"/>
                <w:color w:val="000000" w:themeColor="text1"/>
                <w:sz w:val="22"/>
                <w:szCs w:val="22"/>
                <w:lang w:eastAsia="es-CO"/>
              </w:rPr>
              <w:t xml:space="preserve"> empresas)</w:t>
            </w:r>
          </w:p>
        </w:tc>
      </w:tr>
      <w:tr w:rsidR="007455B4" w:rsidRPr="00CB11EB" w14:paraId="5D317CDB" w14:textId="77777777" w:rsidTr="00CB11EB">
        <w:trPr>
          <w:trHeight w:val="315"/>
          <w:jc w:val="center"/>
        </w:trPr>
        <w:tc>
          <w:tcPr>
            <w:tcW w:w="3220" w:type="dxa"/>
            <w:tcBorders>
              <w:top w:val="nil"/>
              <w:left w:val="nil"/>
              <w:bottom w:val="nil"/>
              <w:right w:val="single" w:sz="4" w:space="0" w:color="auto"/>
            </w:tcBorders>
            <w:noWrap/>
            <w:vAlign w:val="bottom"/>
            <w:hideMark/>
          </w:tcPr>
          <w:p w14:paraId="296AB21C"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Endeudamiento</w:t>
            </w:r>
          </w:p>
        </w:tc>
        <w:tc>
          <w:tcPr>
            <w:tcW w:w="2296" w:type="dxa"/>
            <w:tcBorders>
              <w:top w:val="nil"/>
              <w:left w:val="single" w:sz="4" w:space="0" w:color="auto"/>
              <w:bottom w:val="single" w:sz="4" w:space="0" w:color="auto"/>
              <w:right w:val="single" w:sz="4" w:space="0" w:color="auto"/>
            </w:tcBorders>
            <w:noWrap/>
            <w:vAlign w:val="center"/>
          </w:tcPr>
          <w:p w14:paraId="7D3FAFA4" w14:textId="753E3664"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0,75</w:t>
            </w:r>
          </w:p>
        </w:tc>
        <w:tc>
          <w:tcPr>
            <w:tcW w:w="1835" w:type="dxa"/>
            <w:tcBorders>
              <w:top w:val="nil"/>
              <w:left w:val="nil"/>
              <w:bottom w:val="single" w:sz="4" w:space="0" w:color="auto"/>
              <w:right w:val="single" w:sz="4" w:space="0" w:color="auto"/>
            </w:tcBorders>
            <w:vAlign w:val="center"/>
          </w:tcPr>
          <w:p w14:paraId="0F4224C3" w14:textId="5D2E815F"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97,45%</w:t>
            </w:r>
          </w:p>
        </w:tc>
        <w:tc>
          <w:tcPr>
            <w:tcW w:w="1487" w:type="dxa"/>
            <w:vMerge/>
            <w:tcBorders>
              <w:left w:val="single" w:sz="4" w:space="0" w:color="auto"/>
              <w:right w:val="single" w:sz="4" w:space="0" w:color="auto"/>
            </w:tcBorders>
          </w:tcPr>
          <w:p w14:paraId="7788FBD1" w14:textId="77777777" w:rsidR="007455B4" w:rsidRPr="00CB11EB" w:rsidRDefault="007455B4" w:rsidP="007455B4">
            <w:pPr>
              <w:jc w:val="center"/>
              <w:rPr>
                <w:rFonts w:ascii="Verdana" w:hAnsi="Verdana"/>
                <w:color w:val="000000"/>
                <w:lang w:eastAsia="es-CO"/>
              </w:rPr>
            </w:pPr>
          </w:p>
        </w:tc>
      </w:tr>
      <w:tr w:rsidR="007455B4" w:rsidRPr="00CB11EB" w14:paraId="12F26593" w14:textId="77777777" w:rsidTr="00CB11EB">
        <w:trPr>
          <w:trHeight w:val="315"/>
          <w:jc w:val="center"/>
        </w:trPr>
        <w:tc>
          <w:tcPr>
            <w:tcW w:w="3220" w:type="dxa"/>
            <w:tcBorders>
              <w:top w:val="nil"/>
              <w:left w:val="nil"/>
              <w:bottom w:val="nil"/>
              <w:right w:val="single" w:sz="4" w:space="0" w:color="auto"/>
            </w:tcBorders>
            <w:noWrap/>
            <w:vAlign w:val="bottom"/>
            <w:hideMark/>
          </w:tcPr>
          <w:p w14:paraId="4E8FC82E"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Razón de cobertura de interés</w:t>
            </w:r>
          </w:p>
        </w:tc>
        <w:tc>
          <w:tcPr>
            <w:tcW w:w="2296" w:type="dxa"/>
            <w:tcBorders>
              <w:top w:val="nil"/>
              <w:left w:val="single" w:sz="4" w:space="0" w:color="auto"/>
              <w:bottom w:val="single" w:sz="4" w:space="0" w:color="auto"/>
              <w:right w:val="single" w:sz="4" w:space="0" w:color="auto"/>
            </w:tcBorders>
            <w:noWrap/>
            <w:vAlign w:val="center"/>
          </w:tcPr>
          <w:p w14:paraId="7CFF78C1" w14:textId="399BF6D9"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1</w:t>
            </w:r>
          </w:p>
        </w:tc>
        <w:tc>
          <w:tcPr>
            <w:tcW w:w="1835" w:type="dxa"/>
            <w:tcBorders>
              <w:top w:val="nil"/>
              <w:left w:val="nil"/>
              <w:bottom w:val="single" w:sz="4" w:space="0" w:color="auto"/>
              <w:right w:val="single" w:sz="4" w:space="0" w:color="auto"/>
            </w:tcBorders>
            <w:vAlign w:val="center"/>
          </w:tcPr>
          <w:p w14:paraId="6FC88177" w14:textId="1E913C37"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98,30%</w:t>
            </w:r>
          </w:p>
        </w:tc>
        <w:tc>
          <w:tcPr>
            <w:tcW w:w="1487" w:type="dxa"/>
            <w:vMerge/>
            <w:tcBorders>
              <w:left w:val="single" w:sz="4" w:space="0" w:color="auto"/>
              <w:right w:val="single" w:sz="4" w:space="0" w:color="auto"/>
            </w:tcBorders>
          </w:tcPr>
          <w:p w14:paraId="7A1BAE15" w14:textId="77777777" w:rsidR="007455B4" w:rsidRPr="00CB11EB" w:rsidRDefault="007455B4" w:rsidP="007455B4">
            <w:pPr>
              <w:jc w:val="center"/>
              <w:rPr>
                <w:rFonts w:ascii="Verdana" w:hAnsi="Verdana"/>
                <w:color w:val="000000"/>
                <w:lang w:eastAsia="es-CO"/>
              </w:rPr>
            </w:pPr>
          </w:p>
        </w:tc>
      </w:tr>
      <w:tr w:rsidR="007455B4" w:rsidRPr="00CB11EB" w14:paraId="2D803667" w14:textId="77777777" w:rsidTr="00CB11EB">
        <w:trPr>
          <w:trHeight w:val="315"/>
          <w:jc w:val="center"/>
        </w:trPr>
        <w:tc>
          <w:tcPr>
            <w:tcW w:w="3220" w:type="dxa"/>
            <w:tcBorders>
              <w:top w:val="nil"/>
              <w:left w:val="nil"/>
              <w:bottom w:val="nil"/>
              <w:right w:val="single" w:sz="4" w:space="0" w:color="auto"/>
            </w:tcBorders>
            <w:noWrap/>
            <w:vAlign w:val="bottom"/>
            <w:hideMark/>
          </w:tcPr>
          <w:p w14:paraId="782F7B4F"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Rentabilidad sobre Patrimonio</w:t>
            </w:r>
          </w:p>
        </w:tc>
        <w:tc>
          <w:tcPr>
            <w:tcW w:w="2296" w:type="dxa"/>
            <w:tcBorders>
              <w:top w:val="nil"/>
              <w:left w:val="single" w:sz="4" w:space="0" w:color="auto"/>
              <w:bottom w:val="single" w:sz="4" w:space="0" w:color="auto"/>
              <w:right w:val="single" w:sz="4" w:space="0" w:color="auto"/>
            </w:tcBorders>
            <w:noWrap/>
            <w:vAlign w:val="center"/>
          </w:tcPr>
          <w:p w14:paraId="509A8DC5" w14:textId="0AA60540"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0,05</w:t>
            </w:r>
          </w:p>
        </w:tc>
        <w:tc>
          <w:tcPr>
            <w:tcW w:w="1835" w:type="dxa"/>
            <w:tcBorders>
              <w:top w:val="nil"/>
              <w:left w:val="nil"/>
              <w:bottom w:val="single" w:sz="4" w:space="0" w:color="auto"/>
              <w:right w:val="single" w:sz="4" w:space="0" w:color="auto"/>
            </w:tcBorders>
            <w:vAlign w:val="center"/>
          </w:tcPr>
          <w:p w14:paraId="543D9302" w14:textId="689953A4"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89,81%</w:t>
            </w:r>
          </w:p>
        </w:tc>
        <w:tc>
          <w:tcPr>
            <w:tcW w:w="1487" w:type="dxa"/>
            <w:vMerge/>
            <w:tcBorders>
              <w:left w:val="single" w:sz="4" w:space="0" w:color="auto"/>
              <w:right w:val="single" w:sz="4" w:space="0" w:color="auto"/>
            </w:tcBorders>
          </w:tcPr>
          <w:p w14:paraId="593DA8C3" w14:textId="77777777" w:rsidR="007455B4" w:rsidRPr="00CB11EB" w:rsidRDefault="007455B4" w:rsidP="007455B4">
            <w:pPr>
              <w:jc w:val="center"/>
              <w:rPr>
                <w:rFonts w:ascii="Verdana" w:hAnsi="Verdana"/>
                <w:color w:val="000000"/>
                <w:lang w:eastAsia="es-CO"/>
              </w:rPr>
            </w:pPr>
          </w:p>
        </w:tc>
      </w:tr>
      <w:tr w:rsidR="007455B4" w:rsidRPr="00CB11EB" w14:paraId="049D237A" w14:textId="77777777" w:rsidTr="00CB11EB">
        <w:trPr>
          <w:trHeight w:val="315"/>
          <w:jc w:val="center"/>
        </w:trPr>
        <w:tc>
          <w:tcPr>
            <w:tcW w:w="3220" w:type="dxa"/>
            <w:tcBorders>
              <w:top w:val="nil"/>
              <w:left w:val="nil"/>
              <w:bottom w:val="nil"/>
              <w:right w:val="single" w:sz="4" w:space="0" w:color="auto"/>
            </w:tcBorders>
            <w:noWrap/>
            <w:vAlign w:val="bottom"/>
            <w:hideMark/>
          </w:tcPr>
          <w:p w14:paraId="2AB3E709"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Rentabilidad sobre Activo</w:t>
            </w:r>
          </w:p>
        </w:tc>
        <w:tc>
          <w:tcPr>
            <w:tcW w:w="2296" w:type="dxa"/>
            <w:tcBorders>
              <w:top w:val="nil"/>
              <w:left w:val="single" w:sz="4" w:space="0" w:color="auto"/>
              <w:bottom w:val="single" w:sz="4" w:space="0" w:color="auto"/>
              <w:right w:val="single" w:sz="4" w:space="0" w:color="auto"/>
            </w:tcBorders>
            <w:noWrap/>
            <w:vAlign w:val="center"/>
          </w:tcPr>
          <w:p w14:paraId="52B30109" w14:textId="462217D1"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0,03</w:t>
            </w:r>
          </w:p>
        </w:tc>
        <w:tc>
          <w:tcPr>
            <w:tcW w:w="1835" w:type="dxa"/>
            <w:tcBorders>
              <w:top w:val="nil"/>
              <w:left w:val="nil"/>
              <w:bottom w:val="single" w:sz="4" w:space="0" w:color="auto"/>
              <w:right w:val="single" w:sz="4" w:space="0" w:color="auto"/>
            </w:tcBorders>
            <w:vAlign w:val="center"/>
          </w:tcPr>
          <w:p w14:paraId="383B9C06" w14:textId="6FA7043B"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91,51%</w:t>
            </w:r>
          </w:p>
        </w:tc>
        <w:tc>
          <w:tcPr>
            <w:tcW w:w="1487" w:type="dxa"/>
            <w:vMerge/>
            <w:tcBorders>
              <w:left w:val="single" w:sz="4" w:space="0" w:color="auto"/>
              <w:right w:val="single" w:sz="4" w:space="0" w:color="auto"/>
            </w:tcBorders>
          </w:tcPr>
          <w:p w14:paraId="61DD5F47" w14:textId="77777777" w:rsidR="007455B4" w:rsidRPr="00CB11EB" w:rsidRDefault="007455B4" w:rsidP="007455B4">
            <w:pPr>
              <w:jc w:val="center"/>
              <w:rPr>
                <w:rFonts w:ascii="Verdana" w:hAnsi="Verdana"/>
                <w:color w:val="000000"/>
                <w:lang w:eastAsia="es-CO"/>
              </w:rPr>
            </w:pPr>
          </w:p>
        </w:tc>
      </w:tr>
      <w:tr w:rsidR="007455B4" w:rsidRPr="00CB11EB" w14:paraId="01080A7B" w14:textId="77777777" w:rsidTr="0040649E">
        <w:trPr>
          <w:trHeight w:val="315"/>
          <w:jc w:val="center"/>
        </w:trPr>
        <w:tc>
          <w:tcPr>
            <w:tcW w:w="3220" w:type="dxa"/>
            <w:tcBorders>
              <w:top w:val="nil"/>
              <w:left w:val="nil"/>
              <w:bottom w:val="nil"/>
              <w:right w:val="single" w:sz="4" w:space="0" w:color="auto"/>
            </w:tcBorders>
            <w:noWrap/>
            <w:vAlign w:val="bottom"/>
          </w:tcPr>
          <w:p w14:paraId="1B66BC64" w14:textId="77777777" w:rsidR="007455B4" w:rsidRPr="00CB11EB" w:rsidRDefault="007455B4" w:rsidP="007455B4">
            <w:pPr>
              <w:rPr>
                <w:rFonts w:ascii="Verdana" w:hAnsi="Verdana"/>
                <w:color w:val="000000"/>
                <w:sz w:val="22"/>
                <w:szCs w:val="22"/>
                <w:lang w:eastAsia="es-CO"/>
              </w:rPr>
            </w:pPr>
            <w:r w:rsidRPr="00CB11EB">
              <w:rPr>
                <w:rFonts w:ascii="Verdana" w:hAnsi="Verdana"/>
                <w:color w:val="000000" w:themeColor="text1"/>
                <w:sz w:val="22"/>
                <w:szCs w:val="22"/>
                <w:lang w:eastAsia="es-CO"/>
              </w:rPr>
              <w:t>Capital de trabajo</w:t>
            </w:r>
          </w:p>
        </w:tc>
        <w:tc>
          <w:tcPr>
            <w:tcW w:w="2296" w:type="dxa"/>
            <w:tcBorders>
              <w:top w:val="single" w:sz="4" w:space="0" w:color="auto"/>
              <w:left w:val="nil"/>
              <w:bottom w:val="single" w:sz="4" w:space="0" w:color="auto"/>
              <w:right w:val="nil"/>
            </w:tcBorders>
            <w:noWrap/>
            <w:vAlign w:val="center"/>
          </w:tcPr>
          <w:p w14:paraId="4F55FD3A" w14:textId="50F04517" w:rsidR="007455B4" w:rsidRPr="00CB11EB" w:rsidRDefault="00CB11EB" w:rsidP="007455B4">
            <w:pPr>
              <w:jc w:val="center"/>
              <w:rPr>
                <w:rFonts w:ascii="Verdana" w:hAnsi="Verdana"/>
                <w:color w:val="000000"/>
                <w:sz w:val="22"/>
                <w:szCs w:val="22"/>
              </w:rPr>
            </w:pPr>
            <w:r w:rsidRPr="00CB11EB">
              <w:rPr>
                <w:rFonts w:ascii="Verdana" w:hAnsi="Verdana"/>
                <w:color w:val="000000"/>
                <w:sz w:val="22"/>
                <w:szCs w:val="22"/>
              </w:rPr>
              <w:t>$ 5.708.728.962</w:t>
            </w:r>
          </w:p>
        </w:tc>
        <w:tc>
          <w:tcPr>
            <w:tcW w:w="1835" w:type="dxa"/>
            <w:tcBorders>
              <w:top w:val="nil"/>
              <w:left w:val="single" w:sz="4" w:space="0" w:color="auto"/>
              <w:bottom w:val="single" w:sz="4" w:space="0" w:color="auto"/>
              <w:right w:val="single" w:sz="4" w:space="0" w:color="auto"/>
            </w:tcBorders>
            <w:vAlign w:val="center"/>
          </w:tcPr>
          <w:p w14:paraId="30E07D0D" w14:textId="3D635EAC" w:rsidR="007455B4" w:rsidRPr="00CB11EB" w:rsidRDefault="007455B4" w:rsidP="007455B4">
            <w:pPr>
              <w:jc w:val="center"/>
              <w:rPr>
                <w:rFonts w:ascii="Verdana" w:hAnsi="Verdana"/>
                <w:color w:val="000000"/>
                <w:sz w:val="22"/>
                <w:szCs w:val="22"/>
              </w:rPr>
            </w:pPr>
            <w:r w:rsidRPr="00CB11EB">
              <w:rPr>
                <w:rFonts w:ascii="Verdana" w:hAnsi="Verdana"/>
                <w:color w:val="000000"/>
                <w:sz w:val="22"/>
                <w:szCs w:val="22"/>
              </w:rPr>
              <w:t>27,67%</w:t>
            </w:r>
          </w:p>
        </w:tc>
        <w:tc>
          <w:tcPr>
            <w:tcW w:w="1487" w:type="dxa"/>
            <w:vMerge/>
            <w:tcBorders>
              <w:left w:val="single" w:sz="4" w:space="0" w:color="auto"/>
              <w:bottom w:val="single" w:sz="4" w:space="0" w:color="auto"/>
              <w:right w:val="single" w:sz="4" w:space="0" w:color="auto"/>
            </w:tcBorders>
          </w:tcPr>
          <w:p w14:paraId="2F2A338A" w14:textId="77777777" w:rsidR="007455B4" w:rsidRPr="00CB11EB" w:rsidRDefault="007455B4" w:rsidP="007455B4">
            <w:pPr>
              <w:jc w:val="center"/>
              <w:rPr>
                <w:rFonts w:ascii="Verdana" w:hAnsi="Verdana"/>
                <w:color w:val="000000"/>
                <w:sz w:val="22"/>
                <w:szCs w:val="22"/>
                <w:lang w:eastAsia="es-CO"/>
              </w:rPr>
            </w:pPr>
          </w:p>
        </w:tc>
      </w:tr>
    </w:tbl>
    <w:p w14:paraId="2C86BFE4" w14:textId="77777777" w:rsidR="001360D2" w:rsidRPr="00CB11EB" w:rsidRDefault="001360D2" w:rsidP="001360D2">
      <w:pPr>
        <w:ind w:left="66"/>
        <w:jc w:val="both"/>
        <w:rPr>
          <w:rFonts w:ascii="Verdana" w:hAnsi="Verdana"/>
          <w:sz w:val="22"/>
          <w:szCs w:val="22"/>
          <w:lang w:val="en-US"/>
        </w:rPr>
      </w:pPr>
    </w:p>
    <w:p w14:paraId="5C573B4C" w14:textId="77777777" w:rsidR="00051396" w:rsidRDefault="00051396" w:rsidP="00051396">
      <w:pPr>
        <w:ind w:left="66"/>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487C51F0" w14:textId="77777777" w:rsidR="001360D2" w:rsidRPr="00611315" w:rsidRDefault="001360D2" w:rsidP="001360D2">
      <w:pPr>
        <w:jc w:val="both"/>
        <w:rPr>
          <w:rFonts w:ascii="Verdana" w:hAnsi="Verdana" w:cs="Arial"/>
          <w:sz w:val="22"/>
          <w:szCs w:val="22"/>
          <w:highlight w:val="yellow"/>
        </w:rPr>
      </w:pPr>
    </w:p>
    <w:p w14:paraId="6A16B038" w14:textId="5A8DCBAF" w:rsidR="00451EBC" w:rsidRPr="00870C64" w:rsidRDefault="00451EBC" w:rsidP="00451EBC">
      <w:pPr>
        <w:pBdr>
          <w:top w:val="dotted" w:sz="4" w:space="1" w:color="000000"/>
          <w:left w:val="dotted" w:sz="4" w:space="4" w:color="000000"/>
          <w:bottom w:val="dotted" w:sz="4" w:space="1" w:color="000000"/>
          <w:right w:val="dotted" w:sz="4" w:space="4" w:color="000000"/>
        </w:pBdr>
        <w:autoSpaceDE w:val="0"/>
        <w:autoSpaceDN w:val="0"/>
        <w:ind w:left="360"/>
        <w:jc w:val="both"/>
        <w:rPr>
          <w:rFonts w:ascii="Verdana" w:hAnsi="Verdana" w:cs="Arial"/>
          <w:color w:val="000000"/>
          <w:sz w:val="22"/>
          <w:szCs w:val="22"/>
          <w:highlight w:val="yellow"/>
        </w:rPr>
      </w:pPr>
      <w:r w:rsidRPr="00E33AF8">
        <w:rPr>
          <w:rFonts w:ascii="Verdana" w:hAnsi="Verdana" w:cs="Arial"/>
          <w:b/>
          <w:bCs/>
          <w:color w:val="000000"/>
          <w:sz w:val="22"/>
          <w:szCs w:val="22"/>
        </w:rPr>
        <w:t xml:space="preserve">Nota </w:t>
      </w:r>
      <w:r>
        <w:rPr>
          <w:rFonts w:ascii="Verdana" w:hAnsi="Verdana" w:cs="Arial"/>
          <w:b/>
          <w:bCs/>
          <w:color w:val="000000"/>
          <w:sz w:val="22"/>
          <w:szCs w:val="22"/>
        </w:rPr>
        <w:t>3</w:t>
      </w:r>
      <w:r w:rsidRPr="00E33AF8">
        <w:rPr>
          <w:rFonts w:ascii="Verdana" w:hAnsi="Verdana" w:cs="Arial"/>
          <w:b/>
          <w:bCs/>
          <w:color w:val="000000"/>
          <w:sz w:val="22"/>
          <w:szCs w:val="22"/>
        </w:rPr>
        <w:t>:</w:t>
      </w:r>
      <w:r w:rsidRPr="00E33AF8">
        <w:rPr>
          <w:rFonts w:ascii="Verdana" w:hAnsi="Verdana" w:cs="Arial"/>
          <w:color w:val="000000"/>
          <w:sz w:val="22"/>
          <w:szCs w:val="22"/>
        </w:rPr>
        <w:t xml:space="preserve"> </w:t>
      </w:r>
      <w:r w:rsidRPr="00451EBC">
        <w:rPr>
          <w:rFonts w:ascii="Verdana" w:hAnsi="Verdana"/>
          <w:sz w:val="22"/>
          <w:szCs w:val="22"/>
        </w:rPr>
        <w:t xml:space="preserve">Es importante resaltar que los niveles de cumplimiento se están realizando contra empresas de forma individual, sin embargo, al revisar el proceso utilizado de ejemplo se logró establecer que se presentaron 4 ofertas, (todas a través de estructuras plurales). Lo anterior permite evidenciar, </w:t>
      </w:r>
      <w:proofErr w:type="gramStart"/>
      <w:r w:rsidRPr="00451EBC">
        <w:rPr>
          <w:rFonts w:ascii="Verdana" w:hAnsi="Verdana"/>
          <w:sz w:val="22"/>
          <w:szCs w:val="22"/>
        </w:rPr>
        <w:t>que</w:t>
      </w:r>
      <w:proofErr w:type="gramEnd"/>
      <w:r w:rsidRPr="00451EBC">
        <w:rPr>
          <w:rFonts w:ascii="Verdana" w:hAnsi="Verdana"/>
          <w:sz w:val="22"/>
          <w:szCs w:val="22"/>
        </w:rPr>
        <w:t xml:space="preserve"> pese a que el porcentaje de cumplimiento esté por debajo del 50% de forma general, debido a las exigencias de capital de trabajo demandado debido a las características del proyecto, la cantidad de empresas individuales que cumplirían con los requisitos se encuentran por encima de los proponentes que presentaron propuesta en el proceso referenciado.</w:t>
      </w:r>
    </w:p>
    <w:p w14:paraId="2F65A77A" w14:textId="77777777" w:rsidR="001360D2" w:rsidRPr="00986DC1" w:rsidRDefault="001360D2" w:rsidP="001360D2">
      <w:pPr>
        <w:ind w:left="66"/>
        <w:jc w:val="both"/>
        <w:rPr>
          <w:rFonts w:ascii="Verdana" w:hAnsi="Verdana"/>
          <w:b/>
          <w:sz w:val="22"/>
          <w:szCs w:val="22"/>
          <w:lang w:val="es-MX"/>
        </w:rPr>
      </w:pPr>
      <w:r w:rsidRPr="00986DC1">
        <w:rPr>
          <w:rFonts w:ascii="Verdana" w:hAnsi="Verdana"/>
          <w:b/>
          <w:sz w:val="22"/>
          <w:szCs w:val="22"/>
          <w:lang w:val="es-MX"/>
        </w:rPr>
        <w:lastRenderedPageBreak/>
        <w:t>Escenario 6</w:t>
      </w:r>
    </w:p>
    <w:p w14:paraId="69D6B27C" w14:textId="77777777" w:rsidR="001360D2" w:rsidRPr="00986DC1" w:rsidRDefault="001360D2" w:rsidP="001360D2">
      <w:pPr>
        <w:ind w:left="66"/>
        <w:jc w:val="both"/>
        <w:rPr>
          <w:rFonts w:ascii="Verdana" w:hAnsi="Verdana"/>
          <w:b/>
          <w:sz w:val="22"/>
          <w:szCs w:val="22"/>
          <w:lang w:val="es-MX"/>
        </w:rPr>
      </w:pPr>
    </w:p>
    <w:p w14:paraId="6C8A1D9B" w14:textId="6B0E43D0" w:rsidR="001360D2" w:rsidRPr="00986DC1" w:rsidRDefault="001360D2" w:rsidP="001360D2">
      <w:pPr>
        <w:ind w:left="66"/>
        <w:jc w:val="both"/>
        <w:rPr>
          <w:rFonts w:ascii="Verdana" w:hAnsi="Verdana"/>
          <w:b/>
          <w:sz w:val="22"/>
          <w:szCs w:val="22"/>
          <w:lang w:val="es-MX"/>
        </w:rPr>
      </w:pPr>
      <w:r w:rsidRPr="00986DC1">
        <w:rPr>
          <w:rFonts w:ascii="Verdana" w:hAnsi="Verdana"/>
          <w:b/>
          <w:sz w:val="22"/>
          <w:szCs w:val="22"/>
          <w:lang w:val="es-MX"/>
        </w:rPr>
        <w:t xml:space="preserve">Objeto: </w:t>
      </w:r>
      <w:r w:rsidR="00E23DFC" w:rsidRPr="00986DC1">
        <w:rPr>
          <w:rFonts w:ascii="Verdana" w:hAnsi="Verdana"/>
          <w:sz w:val="22"/>
          <w:szCs w:val="22"/>
          <w:lang w:val="es-MX"/>
        </w:rPr>
        <w:t>OPTIMIZACIÓN DEL SISTEMA DE ACUEDUCTO URBANO DE LOS MUNICIPIOS DE SANTA ROSA, VILLANUEVA Y PLANTA DE TRATAMIENTO DE SAN ESTANISLAO DE KOSTKA DEL REGIONAL LA LÍNEA EN EL DEPARTAMENTO DE BOLÍVAR</w:t>
      </w:r>
      <w:r w:rsidRPr="00986DC1">
        <w:rPr>
          <w:rFonts w:ascii="Verdana" w:hAnsi="Verdana"/>
          <w:sz w:val="22"/>
          <w:szCs w:val="22"/>
          <w:lang w:val="es-MX"/>
        </w:rPr>
        <w:t>.</w:t>
      </w:r>
    </w:p>
    <w:p w14:paraId="099EA5FE" w14:textId="4015EE0D" w:rsidR="001360D2" w:rsidRPr="00986DC1" w:rsidRDefault="001360D2" w:rsidP="001360D2">
      <w:pPr>
        <w:ind w:left="66"/>
        <w:jc w:val="both"/>
        <w:rPr>
          <w:rFonts w:ascii="Verdana" w:hAnsi="Verdana"/>
          <w:b/>
          <w:sz w:val="22"/>
          <w:szCs w:val="22"/>
          <w:lang w:val="es-MX"/>
        </w:rPr>
      </w:pPr>
      <w:r w:rsidRPr="00986DC1">
        <w:rPr>
          <w:rFonts w:ascii="Verdana" w:hAnsi="Verdana"/>
          <w:b/>
          <w:sz w:val="22"/>
          <w:szCs w:val="22"/>
          <w:lang w:val="es-MX"/>
        </w:rPr>
        <w:t xml:space="preserve">Presupuesto oficial: </w:t>
      </w:r>
      <w:r w:rsidRPr="00986DC1">
        <w:rPr>
          <w:rFonts w:ascii="Verdana" w:hAnsi="Verdana"/>
          <w:sz w:val="22"/>
          <w:szCs w:val="22"/>
          <w:lang w:val="es-MX"/>
        </w:rPr>
        <w:t>$</w:t>
      </w:r>
      <w:r w:rsidRPr="00986DC1">
        <w:rPr>
          <w:rFonts w:ascii="Verdana" w:hAnsi="Verdana"/>
          <w:sz w:val="22"/>
          <w:szCs w:val="22"/>
        </w:rPr>
        <w:t xml:space="preserve"> </w:t>
      </w:r>
      <w:r w:rsidR="00A10FED" w:rsidRPr="00986DC1">
        <w:rPr>
          <w:rFonts w:ascii="Verdana" w:hAnsi="Verdana"/>
          <w:sz w:val="22"/>
          <w:szCs w:val="22"/>
          <w:lang w:val="es-MX"/>
        </w:rPr>
        <w:t>61.894.960.517</w:t>
      </w:r>
    </w:p>
    <w:p w14:paraId="2652BD4B" w14:textId="19775F1B" w:rsidR="001360D2" w:rsidRPr="00986DC1" w:rsidRDefault="001360D2" w:rsidP="001360D2">
      <w:pPr>
        <w:ind w:left="66"/>
        <w:jc w:val="both"/>
        <w:rPr>
          <w:rFonts w:ascii="Verdana" w:hAnsi="Verdana"/>
          <w:b/>
          <w:sz w:val="22"/>
          <w:szCs w:val="22"/>
          <w:lang w:val="es-MX"/>
        </w:rPr>
      </w:pPr>
      <w:r w:rsidRPr="00986DC1">
        <w:rPr>
          <w:rFonts w:ascii="Verdana" w:hAnsi="Verdana"/>
          <w:b/>
          <w:sz w:val="22"/>
          <w:szCs w:val="22"/>
          <w:lang w:val="es-MX"/>
        </w:rPr>
        <w:t xml:space="preserve">Plazo: </w:t>
      </w:r>
      <w:r w:rsidRPr="00986DC1">
        <w:rPr>
          <w:rFonts w:ascii="Verdana" w:hAnsi="Verdana"/>
          <w:sz w:val="22"/>
          <w:szCs w:val="22"/>
          <w:lang w:val="es-MX"/>
        </w:rPr>
        <w:t>2</w:t>
      </w:r>
      <w:r w:rsidR="00A10FED" w:rsidRPr="00986DC1">
        <w:rPr>
          <w:rFonts w:ascii="Verdana" w:hAnsi="Verdana"/>
          <w:sz w:val="22"/>
          <w:szCs w:val="22"/>
          <w:lang w:val="es-MX"/>
        </w:rPr>
        <w:t>4</w:t>
      </w:r>
      <w:r w:rsidRPr="00986DC1">
        <w:rPr>
          <w:rFonts w:ascii="Verdana" w:hAnsi="Verdana"/>
          <w:sz w:val="22"/>
          <w:szCs w:val="22"/>
          <w:lang w:val="es-MX"/>
        </w:rPr>
        <w:t xml:space="preserve"> mese</w:t>
      </w:r>
      <w:r w:rsidR="00A10FED" w:rsidRPr="00986DC1">
        <w:rPr>
          <w:rFonts w:ascii="Verdana" w:hAnsi="Verdana"/>
          <w:sz w:val="22"/>
          <w:szCs w:val="22"/>
          <w:lang w:val="es-MX"/>
        </w:rPr>
        <w:t>s</w:t>
      </w:r>
    </w:p>
    <w:p w14:paraId="4F34ACAE" w14:textId="3275355B" w:rsidR="001360D2" w:rsidRPr="00986DC1" w:rsidRDefault="001360D2" w:rsidP="001360D2">
      <w:pPr>
        <w:ind w:left="66"/>
        <w:jc w:val="both"/>
        <w:rPr>
          <w:rFonts w:ascii="Verdana" w:hAnsi="Verdana"/>
          <w:b/>
          <w:sz w:val="22"/>
          <w:szCs w:val="22"/>
          <w:lang w:val="es-MX"/>
        </w:rPr>
      </w:pPr>
      <w:r w:rsidRPr="00986DC1">
        <w:rPr>
          <w:rFonts w:ascii="Verdana" w:hAnsi="Verdana"/>
          <w:b/>
          <w:sz w:val="22"/>
          <w:szCs w:val="22"/>
          <w:lang w:val="es-MX"/>
        </w:rPr>
        <w:t xml:space="preserve">Anticipo/Pago anticipado: </w:t>
      </w:r>
      <w:r w:rsidRPr="00986DC1">
        <w:rPr>
          <w:rFonts w:ascii="Verdana" w:hAnsi="Verdana"/>
          <w:sz w:val="22"/>
          <w:szCs w:val="22"/>
          <w:lang w:val="es-MX"/>
        </w:rPr>
        <w:t>0%</w:t>
      </w:r>
    </w:p>
    <w:p w14:paraId="32D15F29" w14:textId="74BD2A34" w:rsidR="001360D2" w:rsidRPr="00986DC1" w:rsidRDefault="001360D2" w:rsidP="001360D2">
      <w:pPr>
        <w:ind w:left="66"/>
        <w:jc w:val="both"/>
        <w:rPr>
          <w:rFonts w:ascii="Verdana" w:hAnsi="Verdana"/>
          <w:b/>
          <w:sz w:val="22"/>
          <w:szCs w:val="22"/>
          <w:lang w:val="en-US"/>
        </w:rPr>
      </w:pPr>
      <w:r w:rsidRPr="00986DC1">
        <w:rPr>
          <w:rFonts w:ascii="Verdana" w:hAnsi="Verdana"/>
          <w:b/>
          <w:sz w:val="22"/>
          <w:szCs w:val="22"/>
          <w:lang w:val="en-US"/>
        </w:rPr>
        <w:t xml:space="preserve">Link: </w:t>
      </w:r>
      <w:hyperlink r:id="rId56" w:history="1">
        <w:r w:rsidR="00986DC1" w:rsidRPr="00986DC1">
          <w:rPr>
            <w:rStyle w:val="Hipervnculo"/>
            <w:rFonts w:ascii="Verdana" w:hAnsi="Verdana"/>
            <w:bCs/>
            <w:sz w:val="22"/>
            <w:szCs w:val="22"/>
            <w:lang w:val="en-US"/>
          </w:rPr>
          <w:t>https://www.contratos.gov.co/consultas/detalleProceso.do?numConstancia=25-21-50283</w:t>
        </w:r>
      </w:hyperlink>
      <w:r w:rsidR="00986DC1" w:rsidRPr="00986DC1">
        <w:rPr>
          <w:rFonts w:ascii="Verdana" w:hAnsi="Verdana"/>
          <w:b/>
          <w:sz w:val="22"/>
          <w:szCs w:val="22"/>
          <w:lang w:val="en-US"/>
        </w:rPr>
        <w:t xml:space="preserve"> </w:t>
      </w:r>
    </w:p>
    <w:p w14:paraId="683F8639" w14:textId="77777777" w:rsidR="00A077C1" w:rsidRPr="00611315" w:rsidRDefault="00A077C1" w:rsidP="001360D2">
      <w:pPr>
        <w:ind w:left="66"/>
        <w:jc w:val="both"/>
        <w:rPr>
          <w:rFonts w:ascii="Verdana" w:hAnsi="Verdana"/>
          <w:b/>
          <w:sz w:val="22"/>
          <w:szCs w:val="22"/>
          <w:highlight w:val="yellow"/>
          <w:lang w:val="en-US"/>
        </w:rPr>
      </w:pPr>
    </w:p>
    <w:p w14:paraId="6E99BEEA" w14:textId="593F6AC9" w:rsidR="00A077C1" w:rsidRPr="00986DC1" w:rsidRDefault="00A077C1" w:rsidP="00A077C1">
      <w:pPr>
        <w:pStyle w:val="Descripcin"/>
        <w:jc w:val="center"/>
        <w:rPr>
          <w:rFonts w:ascii="Verdana" w:hAnsi="Verdana"/>
          <w:bCs w:val="0"/>
          <w:sz w:val="22"/>
          <w:szCs w:val="22"/>
          <w:lang w:val="en-US"/>
        </w:rPr>
      </w:pPr>
      <w:bookmarkStart w:id="457" w:name="_Toc231368689"/>
      <w:r w:rsidRPr="00986DC1">
        <w:rPr>
          <w:rFonts w:ascii="Verdana" w:hAnsi="Verdana"/>
          <w:sz w:val="22"/>
          <w:szCs w:val="22"/>
        </w:rPr>
        <w:t xml:space="preserve">Tabla </w:t>
      </w:r>
      <w:r w:rsidRPr="00986DC1">
        <w:rPr>
          <w:rFonts w:ascii="Verdana" w:hAnsi="Verdana"/>
          <w:sz w:val="22"/>
          <w:szCs w:val="22"/>
        </w:rPr>
        <w:fldChar w:fldCharType="begin"/>
      </w:r>
      <w:r w:rsidRPr="00986DC1">
        <w:rPr>
          <w:rFonts w:ascii="Verdana" w:hAnsi="Verdana"/>
          <w:sz w:val="22"/>
          <w:szCs w:val="22"/>
        </w:rPr>
        <w:instrText xml:space="preserve"> SEQ Tabla \* ARABIC </w:instrText>
      </w:r>
      <w:r w:rsidRPr="00986DC1">
        <w:rPr>
          <w:rFonts w:ascii="Verdana" w:hAnsi="Verdana"/>
          <w:sz w:val="22"/>
          <w:szCs w:val="22"/>
        </w:rPr>
        <w:fldChar w:fldCharType="separate"/>
      </w:r>
      <w:r w:rsidR="00986DC1" w:rsidRPr="00986DC1">
        <w:rPr>
          <w:rFonts w:ascii="Verdana" w:hAnsi="Verdana"/>
          <w:noProof/>
          <w:sz w:val="22"/>
          <w:szCs w:val="22"/>
        </w:rPr>
        <w:t>22</w:t>
      </w:r>
      <w:r w:rsidRPr="00986DC1">
        <w:rPr>
          <w:rFonts w:ascii="Verdana" w:hAnsi="Verdana"/>
          <w:sz w:val="22"/>
          <w:szCs w:val="22"/>
        </w:rPr>
        <w:fldChar w:fldCharType="end"/>
      </w:r>
      <w:r w:rsidRPr="00986DC1">
        <w:rPr>
          <w:rFonts w:ascii="Verdana" w:hAnsi="Verdana"/>
          <w:sz w:val="22"/>
          <w:szCs w:val="22"/>
        </w:rPr>
        <w:t>. Requisitos escenario 6</w:t>
      </w:r>
      <w:bookmarkEnd w:id="457"/>
    </w:p>
    <w:tbl>
      <w:tblPr>
        <w:tblW w:w="9687" w:type="dxa"/>
        <w:jc w:val="center"/>
        <w:tblCellMar>
          <w:left w:w="70" w:type="dxa"/>
          <w:right w:w="70" w:type="dxa"/>
        </w:tblCellMar>
        <w:tblLook w:val="04A0" w:firstRow="1" w:lastRow="0" w:firstColumn="1" w:lastColumn="0" w:noHBand="0" w:noVBand="1"/>
      </w:tblPr>
      <w:tblGrid>
        <w:gridCol w:w="3220"/>
        <w:gridCol w:w="3145"/>
        <w:gridCol w:w="1835"/>
        <w:gridCol w:w="1487"/>
      </w:tblGrid>
      <w:tr w:rsidR="001360D2" w:rsidRPr="00986DC1" w14:paraId="53C0409A" w14:textId="77777777" w:rsidTr="00761D9C">
        <w:trPr>
          <w:trHeight w:val="315"/>
          <w:jc w:val="center"/>
        </w:trPr>
        <w:tc>
          <w:tcPr>
            <w:tcW w:w="3220" w:type="dxa"/>
            <w:tcBorders>
              <w:top w:val="nil"/>
              <w:left w:val="nil"/>
              <w:bottom w:val="nil"/>
              <w:right w:val="single" w:sz="4" w:space="0" w:color="auto"/>
            </w:tcBorders>
            <w:noWrap/>
            <w:vAlign w:val="bottom"/>
            <w:hideMark/>
          </w:tcPr>
          <w:p w14:paraId="253C7A78" w14:textId="77777777" w:rsidR="001360D2" w:rsidRPr="00986DC1" w:rsidRDefault="001360D2" w:rsidP="00921546">
            <w:pPr>
              <w:rPr>
                <w:rFonts w:ascii="Verdana" w:hAnsi="Verdana"/>
                <w:lang w:val="en-US" w:eastAsia="es-CO"/>
              </w:rPr>
            </w:pPr>
          </w:p>
        </w:tc>
        <w:tc>
          <w:tcPr>
            <w:tcW w:w="3145" w:type="dxa"/>
            <w:tcBorders>
              <w:top w:val="single" w:sz="4" w:space="0" w:color="auto"/>
              <w:left w:val="single" w:sz="4" w:space="0" w:color="auto"/>
              <w:bottom w:val="single" w:sz="4" w:space="0" w:color="auto"/>
              <w:right w:val="single" w:sz="4" w:space="0" w:color="auto"/>
            </w:tcBorders>
            <w:noWrap/>
            <w:vAlign w:val="center"/>
            <w:hideMark/>
          </w:tcPr>
          <w:p w14:paraId="1C330784" w14:textId="1E8C36DB" w:rsidR="001360D2" w:rsidRPr="00986DC1" w:rsidRDefault="001360D2" w:rsidP="00921546">
            <w:pPr>
              <w:jc w:val="center"/>
              <w:rPr>
                <w:rFonts w:ascii="Verdana" w:hAnsi="Verdana"/>
                <w:b/>
                <w:bCs/>
                <w:color w:val="000000"/>
                <w:sz w:val="16"/>
                <w:szCs w:val="16"/>
                <w:lang w:eastAsia="es-CO"/>
              </w:rPr>
            </w:pPr>
            <w:r w:rsidRPr="00986DC1">
              <w:rPr>
                <w:rFonts w:ascii="Verdana" w:hAnsi="Verdana"/>
                <w:b/>
                <w:bCs/>
                <w:color w:val="000000"/>
                <w:sz w:val="16"/>
                <w:szCs w:val="16"/>
              </w:rPr>
              <w:t xml:space="preserve">No </w:t>
            </w:r>
            <w:r w:rsidR="00B02C5B" w:rsidRPr="00986DC1">
              <w:rPr>
                <w:rFonts w:ascii="Verdana" w:hAnsi="Verdana"/>
                <w:b/>
                <w:bCs/>
                <w:color w:val="000000"/>
                <w:sz w:val="16"/>
                <w:szCs w:val="16"/>
              </w:rPr>
              <w:t>MiPymes</w:t>
            </w:r>
            <w:r w:rsidRPr="00986DC1">
              <w:rPr>
                <w:rFonts w:ascii="Verdana" w:hAnsi="Verdana"/>
                <w:b/>
                <w:bCs/>
                <w:color w:val="000000"/>
                <w:sz w:val="16"/>
                <w:szCs w:val="16"/>
              </w:rPr>
              <w:t xml:space="preserve"> (&gt;=</w:t>
            </w:r>
            <w:r w:rsidR="00986DC1" w:rsidRPr="00986DC1">
              <w:rPr>
                <w:rFonts w:ascii="Verdana" w:hAnsi="Verdana"/>
                <w:b/>
                <w:bCs/>
                <w:color w:val="000000"/>
                <w:sz w:val="16"/>
                <w:szCs w:val="16"/>
              </w:rPr>
              <w:t>13</w:t>
            </w:r>
            <w:r w:rsidRPr="00986DC1">
              <w:rPr>
                <w:rFonts w:ascii="Verdana" w:hAnsi="Verdana"/>
                <w:b/>
                <w:bCs/>
                <w:color w:val="000000"/>
                <w:sz w:val="16"/>
                <w:szCs w:val="16"/>
              </w:rPr>
              <w:t xml:space="preserve">.000 </w:t>
            </w:r>
            <w:proofErr w:type="spellStart"/>
            <w:r w:rsidRPr="00986DC1">
              <w:rPr>
                <w:rFonts w:ascii="Verdana" w:hAnsi="Verdana"/>
                <w:b/>
                <w:bCs/>
                <w:color w:val="000000"/>
                <w:sz w:val="16"/>
                <w:szCs w:val="16"/>
              </w:rPr>
              <w:t>Smmlv</w:t>
            </w:r>
            <w:proofErr w:type="spellEnd"/>
            <w:r w:rsidRPr="00986DC1">
              <w:rPr>
                <w:rFonts w:ascii="Verdana" w:hAnsi="Verdana"/>
                <w:b/>
                <w:bCs/>
                <w:color w:val="000000"/>
                <w:sz w:val="16"/>
                <w:szCs w:val="16"/>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6CB41616" w14:textId="77777777" w:rsidR="001360D2" w:rsidRPr="00986DC1" w:rsidRDefault="001360D2" w:rsidP="00921546">
            <w:pPr>
              <w:jc w:val="center"/>
              <w:rPr>
                <w:rFonts w:ascii="Verdana" w:hAnsi="Verdana"/>
                <w:b/>
                <w:bCs/>
                <w:color w:val="000000"/>
                <w:sz w:val="16"/>
                <w:szCs w:val="16"/>
                <w:lang w:eastAsia="es-CO"/>
              </w:rPr>
            </w:pPr>
            <w:r w:rsidRPr="00986DC1">
              <w:rPr>
                <w:rFonts w:ascii="Verdana" w:hAnsi="Verdana"/>
                <w:b/>
                <w:bCs/>
                <w:color w:val="000000"/>
                <w:sz w:val="16"/>
                <w:szCs w:val="16"/>
                <w:lang w:eastAsia="es-CO"/>
              </w:rPr>
              <w:t>Nivel de cumplimiento</w:t>
            </w:r>
          </w:p>
        </w:tc>
      </w:tr>
      <w:tr w:rsidR="00DE1D93" w:rsidRPr="00986DC1" w14:paraId="4E9264AC" w14:textId="77777777" w:rsidTr="009D03EB">
        <w:trPr>
          <w:trHeight w:val="315"/>
          <w:jc w:val="center"/>
        </w:trPr>
        <w:tc>
          <w:tcPr>
            <w:tcW w:w="3220" w:type="dxa"/>
            <w:tcBorders>
              <w:top w:val="nil"/>
              <w:left w:val="nil"/>
              <w:bottom w:val="nil"/>
              <w:right w:val="single" w:sz="4" w:space="0" w:color="auto"/>
            </w:tcBorders>
            <w:noWrap/>
            <w:vAlign w:val="bottom"/>
            <w:hideMark/>
          </w:tcPr>
          <w:p w14:paraId="117B4278"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Liquidez</w:t>
            </w:r>
          </w:p>
        </w:tc>
        <w:tc>
          <w:tcPr>
            <w:tcW w:w="3145" w:type="dxa"/>
            <w:tcBorders>
              <w:top w:val="single" w:sz="4" w:space="0" w:color="auto"/>
              <w:left w:val="single" w:sz="4" w:space="0" w:color="auto"/>
              <w:bottom w:val="single" w:sz="4" w:space="0" w:color="auto"/>
              <w:right w:val="single" w:sz="4" w:space="0" w:color="auto"/>
            </w:tcBorders>
            <w:noWrap/>
            <w:vAlign w:val="center"/>
          </w:tcPr>
          <w:p w14:paraId="40B1A5FF" w14:textId="4617FE8B" w:rsidR="00DE1D93" w:rsidRPr="00BA7ABE" w:rsidRDefault="00DE1D93" w:rsidP="009D03EB">
            <w:pPr>
              <w:jc w:val="center"/>
              <w:rPr>
                <w:rFonts w:ascii="Verdana" w:hAnsi="Verdana"/>
                <w:color w:val="000000"/>
              </w:rPr>
            </w:pPr>
            <w:r w:rsidRPr="00761D9C">
              <w:rPr>
                <w:rFonts w:ascii="Verdana" w:hAnsi="Verdana"/>
                <w:color w:val="000000"/>
              </w:rPr>
              <w:t>1,4</w:t>
            </w:r>
          </w:p>
        </w:tc>
        <w:tc>
          <w:tcPr>
            <w:tcW w:w="1835" w:type="dxa"/>
            <w:tcBorders>
              <w:top w:val="single" w:sz="4" w:space="0" w:color="auto"/>
              <w:left w:val="single" w:sz="4" w:space="0" w:color="auto"/>
              <w:bottom w:val="single" w:sz="4" w:space="0" w:color="auto"/>
              <w:right w:val="single" w:sz="4" w:space="0" w:color="auto"/>
            </w:tcBorders>
            <w:vAlign w:val="center"/>
          </w:tcPr>
          <w:p w14:paraId="7A3A0E83" w14:textId="2E80CB1E" w:rsidR="00DE1D93" w:rsidRPr="00BA7ABE" w:rsidRDefault="00DE1D93" w:rsidP="009D03EB">
            <w:pPr>
              <w:jc w:val="center"/>
              <w:rPr>
                <w:rFonts w:ascii="Verdana" w:hAnsi="Verdana"/>
                <w:color w:val="000000"/>
              </w:rPr>
            </w:pPr>
            <w:r w:rsidRPr="009D03EB">
              <w:rPr>
                <w:rFonts w:ascii="Verdana" w:hAnsi="Verdana"/>
                <w:color w:val="000000"/>
              </w:rPr>
              <w:t>97,79%</w:t>
            </w:r>
          </w:p>
        </w:tc>
        <w:tc>
          <w:tcPr>
            <w:tcW w:w="1487" w:type="dxa"/>
            <w:vMerge w:val="restart"/>
            <w:tcBorders>
              <w:top w:val="single" w:sz="4" w:space="0" w:color="auto"/>
              <w:left w:val="single" w:sz="4" w:space="0" w:color="auto"/>
              <w:right w:val="single" w:sz="4" w:space="0" w:color="auto"/>
            </w:tcBorders>
            <w:vAlign w:val="center"/>
          </w:tcPr>
          <w:p w14:paraId="204BA07E" w14:textId="77777777" w:rsidR="00DE1D93" w:rsidRPr="00BA7ABE" w:rsidRDefault="00DE1D93" w:rsidP="009D03EB">
            <w:pPr>
              <w:jc w:val="center"/>
              <w:rPr>
                <w:rFonts w:ascii="Verdana" w:hAnsi="Verdana"/>
                <w:color w:val="000000"/>
                <w:lang w:eastAsia="es-CO"/>
              </w:rPr>
            </w:pPr>
          </w:p>
          <w:p w14:paraId="1058C0A4" w14:textId="77777777" w:rsidR="00DE1D93" w:rsidRPr="00BA7ABE" w:rsidRDefault="00DE1D93" w:rsidP="009D03EB">
            <w:pPr>
              <w:jc w:val="center"/>
              <w:rPr>
                <w:rFonts w:ascii="Verdana" w:hAnsi="Verdana"/>
                <w:color w:val="000000"/>
                <w:lang w:eastAsia="es-CO"/>
              </w:rPr>
            </w:pPr>
          </w:p>
          <w:p w14:paraId="37E31644" w14:textId="56B70CE6" w:rsidR="00DE1D93" w:rsidRPr="00BA7ABE" w:rsidRDefault="00DE1D93" w:rsidP="009D03EB">
            <w:pPr>
              <w:jc w:val="center"/>
              <w:rPr>
                <w:rFonts w:ascii="Verdana" w:hAnsi="Verdana"/>
                <w:color w:val="000000"/>
                <w:lang w:eastAsia="es-CO"/>
              </w:rPr>
            </w:pPr>
            <w:r>
              <w:rPr>
                <w:rFonts w:ascii="Verdana" w:hAnsi="Verdana"/>
                <w:color w:val="000000"/>
                <w:lang w:eastAsia="es-CO"/>
              </w:rPr>
              <w:t>9</w:t>
            </w:r>
            <w:r w:rsidRPr="00BA7ABE">
              <w:rPr>
                <w:rFonts w:ascii="Verdana" w:hAnsi="Verdana"/>
                <w:color w:val="000000"/>
                <w:lang w:eastAsia="es-CO"/>
              </w:rPr>
              <w:t>,</w:t>
            </w:r>
            <w:r>
              <w:rPr>
                <w:rFonts w:ascii="Verdana" w:hAnsi="Verdana"/>
                <w:color w:val="000000"/>
                <w:lang w:eastAsia="es-CO"/>
              </w:rPr>
              <w:t>51</w:t>
            </w:r>
            <w:r w:rsidRPr="00BA7ABE">
              <w:rPr>
                <w:rFonts w:ascii="Verdana" w:hAnsi="Verdana"/>
                <w:color w:val="000000"/>
                <w:lang w:eastAsia="es-CO"/>
              </w:rPr>
              <w:t>%</w:t>
            </w:r>
          </w:p>
          <w:p w14:paraId="1DD9FB82" w14:textId="15E8365F" w:rsidR="00DE1D93" w:rsidRPr="00BA7ABE" w:rsidRDefault="00DE1D93" w:rsidP="009D03EB">
            <w:pPr>
              <w:jc w:val="center"/>
              <w:rPr>
                <w:rFonts w:ascii="Verdana" w:hAnsi="Verdana"/>
                <w:color w:val="000000"/>
                <w:lang w:eastAsia="es-CO"/>
              </w:rPr>
            </w:pPr>
            <w:r w:rsidRPr="00BA7ABE">
              <w:rPr>
                <w:rFonts w:ascii="Verdana" w:hAnsi="Verdana"/>
                <w:color w:val="000000"/>
                <w:sz w:val="16"/>
                <w:szCs w:val="16"/>
                <w:lang w:eastAsia="es-CO"/>
              </w:rPr>
              <w:t>(</w:t>
            </w:r>
            <w:r>
              <w:rPr>
                <w:rFonts w:ascii="Verdana" w:hAnsi="Verdana"/>
                <w:color w:val="000000"/>
                <w:sz w:val="16"/>
                <w:szCs w:val="16"/>
                <w:lang w:eastAsia="es-CO"/>
              </w:rPr>
              <w:t>56</w:t>
            </w:r>
            <w:r w:rsidRPr="00BA7ABE">
              <w:rPr>
                <w:rFonts w:ascii="Verdana" w:hAnsi="Verdana"/>
                <w:color w:val="000000"/>
                <w:sz w:val="16"/>
                <w:szCs w:val="16"/>
                <w:lang w:eastAsia="es-CO"/>
              </w:rPr>
              <w:t xml:space="preserve"> empresas)</w:t>
            </w:r>
          </w:p>
        </w:tc>
      </w:tr>
      <w:tr w:rsidR="00DE1D93" w:rsidRPr="00986DC1" w14:paraId="492B32F2" w14:textId="77777777" w:rsidTr="009D03EB">
        <w:trPr>
          <w:trHeight w:val="315"/>
          <w:jc w:val="center"/>
        </w:trPr>
        <w:tc>
          <w:tcPr>
            <w:tcW w:w="3220" w:type="dxa"/>
            <w:tcBorders>
              <w:top w:val="nil"/>
              <w:left w:val="nil"/>
              <w:bottom w:val="nil"/>
              <w:right w:val="single" w:sz="4" w:space="0" w:color="auto"/>
            </w:tcBorders>
            <w:noWrap/>
            <w:vAlign w:val="bottom"/>
            <w:hideMark/>
          </w:tcPr>
          <w:p w14:paraId="612CE809"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Endeudamiento</w:t>
            </w:r>
          </w:p>
        </w:tc>
        <w:tc>
          <w:tcPr>
            <w:tcW w:w="3145" w:type="dxa"/>
            <w:tcBorders>
              <w:top w:val="nil"/>
              <w:left w:val="single" w:sz="4" w:space="0" w:color="auto"/>
              <w:bottom w:val="single" w:sz="4" w:space="0" w:color="auto"/>
              <w:right w:val="single" w:sz="4" w:space="0" w:color="auto"/>
            </w:tcBorders>
            <w:noWrap/>
            <w:vAlign w:val="center"/>
          </w:tcPr>
          <w:p w14:paraId="12CE7B09" w14:textId="3A047C34" w:rsidR="00DE1D93" w:rsidRPr="00BA7ABE" w:rsidRDefault="00DE1D93" w:rsidP="009D03EB">
            <w:pPr>
              <w:jc w:val="center"/>
              <w:rPr>
                <w:rFonts w:ascii="Verdana" w:hAnsi="Verdana"/>
                <w:color w:val="000000"/>
              </w:rPr>
            </w:pPr>
            <w:r w:rsidRPr="00761D9C">
              <w:rPr>
                <w:rFonts w:ascii="Verdana" w:hAnsi="Verdana"/>
                <w:color w:val="000000"/>
              </w:rPr>
              <w:t>0,75</w:t>
            </w:r>
          </w:p>
        </w:tc>
        <w:tc>
          <w:tcPr>
            <w:tcW w:w="1835" w:type="dxa"/>
            <w:tcBorders>
              <w:top w:val="nil"/>
              <w:left w:val="single" w:sz="4" w:space="0" w:color="auto"/>
              <w:bottom w:val="single" w:sz="4" w:space="0" w:color="auto"/>
              <w:right w:val="single" w:sz="4" w:space="0" w:color="auto"/>
            </w:tcBorders>
            <w:vAlign w:val="center"/>
          </w:tcPr>
          <w:p w14:paraId="1652D2FA" w14:textId="123F56EE" w:rsidR="00DE1D93" w:rsidRPr="00BA7ABE" w:rsidRDefault="00DE1D93" w:rsidP="009D03EB">
            <w:pPr>
              <w:jc w:val="center"/>
              <w:rPr>
                <w:rFonts w:ascii="Verdana" w:hAnsi="Verdana"/>
                <w:color w:val="000000"/>
              </w:rPr>
            </w:pPr>
            <w:r w:rsidRPr="009D03EB">
              <w:rPr>
                <w:rFonts w:ascii="Verdana" w:hAnsi="Verdana"/>
                <w:color w:val="000000"/>
              </w:rPr>
              <w:t>97,45%</w:t>
            </w:r>
          </w:p>
        </w:tc>
        <w:tc>
          <w:tcPr>
            <w:tcW w:w="1487" w:type="dxa"/>
            <w:vMerge/>
            <w:tcBorders>
              <w:left w:val="single" w:sz="4" w:space="0" w:color="auto"/>
              <w:right w:val="single" w:sz="4" w:space="0" w:color="auto"/>
            </w:tcBorders>
          </w:tcPr>
          <w:p w14:paraId="027477F9" w14:textId="77777777" w:rsidR="00DE1D93" w:rsidRPr="00BA7ABE" w:rsidRDefault="00DE1D93" w:rsidP="009D03EB">
            <w:pPr>
              <w:jc w:val="center"/>
              <w:rPr>
                <w:rFonts w:ascii="Verdana" w:hAnsi="Verdana"/>
                <w:color w:val="000000"/>
                <w:lang w:eastAsia="es-CO"/>
              </w:rPr>
            </w:pPr>
          </w:p>
        </w:tc>
      </w:tr>
      <w:tr w:rsidR="00DE1D93" w:rsidRPr="00986DC1" w14:paraId="06A9197D" w14:textId="77777777" w:rsidTr="009D03EB">
        <w:trPr>
          <w:trHeight w:val="315"/>
          <w:jc w:val="center"/>
        </w:trPr>
        <w:tc>
          <w:tcPr>
            <w:tcW w:w="3220" w:type="dxa"/>
            <w:tcBorders>
              <w:top w:val="nil"/>
              <w:left w:val="nil"/>
              <w:bottom w:val="nil"/>
              <w:right w:val="single" w:sz="4" w:space="0" w:color="auto"/>
            </w:tcBorders>
            <w:noWrap/>
            <w:vAlign w:val="bottom"/>
            <w:hideMark/>
          </w:tcPr>
          <w:p w14:paraId="194E3D31"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Razón de cobertura de interés</w:t>
            </w:r>
          </w:p>
        </w:tc>
        <w:tc>
          <w:tcPr>
            <w:tcW w:w="3145" w:type="dxa"/>
            <w:tcBorders>
              <w:top w:val="nil"/>
              <w:left w:val="single" w:sz="4" w:space="0" w:color="auto"/>
              <w:bottom w:val="single" w:sz="4" w:space="0" w:color="auto"/>
              <w:right w:val="single" w:sz="4" w:space="0" w:color="auto"/>
            </w:tcBorders>
            <w:noWrap/>
            <w:vAlign w:val="center"/>
          </w:tcPr>
          <w:p w14:paraId="698E5205" w14:textId="63E0BE4B" w:rsidR="00DE1D93" w:rsidRPr="00BA7ABE" w:rsidRDefault="00DE1D93" w:rsidP="009D03EB">
            <w:pPr>
              <w:jc w:val="center"/>
              <w:rPr>
                <w:rFonts w:ascii="Verdana" w:hAnsi="Verdana"/>
                <w:color w:val="000000"/>
              </w:rPr>
            </w:pPr>
            <w:r w:rsidRPr="00761D9C">
              <w:rPr>
                <w:rFonts w:ascii="Verdana" w:hAnsi="Verdana"/>
                <w:color w:val="000000"/>
              </w:rPr>
              <w:t>1</w:t>
            </w:r>
          </w:p>
        </w:tc>
        <w:tc>
          <w:tcPr>
            <w:tcW w:w="1835" w:type="dxa"/>
            <w:tcBorders>
              <w:top w:val="nil"/>
              <w:left w:val="single" w:sz="4" w:space="0" w:color="auto"/>
              <w:bottom w:val="single" w:sz="4" w:space="0" w:color="auto"/>
              <w:right w:val="single" w:sz="4" w:space="0" w:color="auto"/>
            </w:tcBorders>
            <w:vAlign w:val="center"/>
          </w:tcPr>
          <w:p w14:paraId="13ED8620" w14:textId="69D1B778" w:rsidR="00DE1D93" w:rsidRPr="00BA7ABE" w:rsidRDefault="00DE1D93" w:rsidP="009D03EB">
            <w:pPr>
              <w:jc w:val="center"/>
              <w:rPr>
                <w:rFonts w:ascii="Verdana" w:hAnsi="Verdana"/>
                <w:color w:val="000000"/>
              </w:rPr>
            </w:pPr>
            <w:r w:rsidRPr="009D03EB">
              <w:rPr>
                <w:rFonts w:ascii="Verdana" w:hAnsi="Verdana"/>
                <w:color w:val="000000"/>
              </w:rPr>
              <w:t>98,30%</w:t>
            </w:r>
          </w:p>
        </w:tc>
        <w:tc>
          <w:tcPr>
            <w:tcW w:w="1487" w:type="dxa"/>
            <w:vMerge/>
            <w:tcBorders>
              <w:left w:val="single" w:sz="4" w:space="0" w:color="auto"/>
              <w:right w:val="single" w:sz="4" w:space="0" w:color="auto"/>
            </w:tcBorders>
          </w:tcPr>
          <w:p w14:paraId="1A3F3A37" w14:textId="77777777" w:rsidR="00DE1D93" w:rsidRPr="00BA7ABE" w:rsidRDefault="00DE1D93" w:rsidP="009D03EB">
            <w:pPr>
              <w:jc w:val="center"/>
              <w:rPr>
                <w:rFonts w:ascii="Verdana" w:hAnsi="Verdana"/>
                <w:color w:val="000000"/>
                <w:lang w:eastAsia="es-CO"/>
              </w:rPr>
            </w:pPr>
          </w:p>
        </w:tc>
      </w:tr>
      <w:tr w:rsidR="00DE1D93" w:rsidRPr="00986DC1" w14:paraId="5A54EAD0" w14:textId="77777777" w:rsidTr="009D03EB">
        <w:trPr>
          <w:trHeight w:val="315"/>
          <w:jc w:val="center"/>
        </w:trPr>
        <w:tc>
          <w:tcPr>
            <w:tcW w:w="3220" w:type="dxa"/>
            <w:tcBorders>
              <w:top w:val="nil"/>
              <w:left w:val="nil"/>
              <w:bottom w:val="nil"/>
              <w:right w:val="single" w:sz="4" w:space="0" w:color="auto"/>
            </w:tcBorders>
            <w:noWrap/>
            <w:vAlign w:val="bottom"/>
            <w:hideMark/>
          </w:tcPr>
          <w:p w14:paraId="20438B28"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Rentabilidad sobre Patrimonio</w:t>
            </w:r>
          </w:p>
        </w:tc>
        <w:tc>
          <w:tcPr>
            <w:tcW w:w="3145" w:type="dxa"/>
            <w:tcBorders>
              <w:top w:val="nil"/>
              <w:left w:val="single" w:sz="4" w:space="0" w:color="auto"/>
              <w:bottom w:val="single" w:sz="4" w:space="0" w:color="auto"/>
              <w:right w:val="single" w:sz="4" w:space="0" w:color="auto"/>
            </w:tcBorders>
            <w:noWrap/>
            <w:vAlign w:val="center"/>
          </w:tcPr>
          <w:p w14:paraId="5A3E4097" w14:textId="216B55DB" w:rsidR="00DE1D93" w:rsidRPr="00BA7ABE" w:rsidRDefault="00DE1D93" w:rsidP="009D03EB">
            <w:pPr>
              <w:jc w:val="center"/>
              <w:rPr>
                <w:rFonts w:ascii="Verdana" w:hAnsi="Verdana"/>
                <w:color w:val="000000"/>
              </w:rPr>
            </w:pPr>
            <w:r w:rsidRPr="00761D9C">
              <w:rPr>
                <w:rFonts w:ascii="Verdana" w:hAnsi="Verdana"/>
                <w:color w:val="000000"/>
              </w:rPr>
              <w:t>0,05</w:t>
            </w:r>
          </w:p>
        </w:tc>
        <w:tc>
          <w:tcPr>
            <w:tcW w:w="1835" w:type="dxa"/>
            <w:tcBorders>
              <w:top w:val="nil"/>
              <w:left w:val="single" w:sz="4" w:space="0" w:color="auto"/>
              <w:bottom w:val="single" w:sz="4" w:space="0" w:color="auto"/>
              <w:right w:val="single" w:sz="4" w:space="0" w:color="auto"/>
            </w:tcBorders>
            <w:vAlign w:val="center"/>
          </w:tcPr>
          <w:p w14:paraId="2140D080" w14:textId="7F86B7E4" w:rsidR="00DE1D93" w:rsidRPr="00BA7ABE" w:rsidRDefault="00DE1D93" w:rsidP="009D03EB">
            <w:pPr>
              <w:jc w:val="center"/>
              <w:rPr>
                <w:rFonts w:ascii="Verdana" w:hAnsi="Verdana"/>
                <w:color w:val="000000"/>
              </w:rPr>
            </w:pPr>
            <w:r w:rsidRPr="009D03EB">
              <w:rPr>
                <w:rFonts w:ascii="Verdana" w:hAnsi="Verdana"/>
                <w:color w:val="000000"/>
              </w:rPr>
              <w:t>89,81%</w:t>
            </w:r>
          </w:p>
        </w:tc>
        <w:tc>
          <w:tcPr>
            <w:tcW w:w="1487" w:type="dxa"/>
            <w:vMerge/>
            <w:tcBorders>
              <w:left w:val="single" w:sz="4" w:space="0" w:color="auto"/>
              <w:right w:val="single" w:sz="4" w:space="0" w:color="auto"/>
            </w:tcBorders>
          </w:tcPr>
          <w:p w14:paraId="4E8B8AB4" w14:textId="77777777" w:rsidR="00DE1D93" w:rsidRPr="00BA7ABE" w:rsidRDefault="00DE1D93" w:rsidP="009D03EB">
            <w:pPr>
              <w:jc w:val="center"/>
              <w:rPr>
                <w:rFonts w:ascii="Verdana" w:hAnsi="Verdana"/>
                <w:color w:val="000000"/>
                <w:lang w:eastAsia="es-CO"/>
              </w:rPr>
            </w:pPr>
          </w:p>
        </w:tc>
      </w:tr>
      <w:tr w:rsidR="00DE1D93" w:rsidRPr="00986DC1" w14:paraId="3BADFCA2" w14:textId="77777777" w:rsidTr="009D03EB">
        <w:trPr>
          <w:trHeight w:val="315"/>
          <w:jc w:val="center"/>
        </w:trPr>
        <w:tc>
          <w:tcPr>
            <w:tcW w:w="3220" w:type="dxa"/>
            <w:tcBorders>
              <w:top w:val="nil"/>
              <w:left w:val="nil"/>
              <w:bottom w:val="nil"/>
              <w:right w:val="single" w:sz="4" w:space="0" w:color="auto"/>
            </w:tcBorders>
            <w:noWrap/>
            <w:vAlign w:val="bottom"/>
            <w:hideMark/>
          </w:tcPr>
          <w:p w14:paraId="06C11C16"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Rentabilidad sobre Activo</w:t>
            </w:r>
          </w:p>
        </w:tc>
        <w:tc>
          <w:tcPr>
            <w:tcW w:w="3145" w:type="dxa"/>
            <w:tcBorders>
              <w:top w:val="nil"/>
              <w:left w:val="single" w:sz="4" w:space="0" w:color="auto"/>
              <w:bottom w:val="single" w:sz="4" w:space="0" w:color="auto"/>
              <w:right w:val="single" w:sz="4" w:space="0" w:color="auto"/>
            </w:tcBorders>
            <w:noWrap/>
            <w:vAlign w:val="center"/>
          </w:tcPr>
          <w:p w14:paraId="395F2866" w14:textId="227EB764" w:rsidR="00DE1D93" w:rsidRPr="00BA7ABE" w:rsidRDefault="00DE1D93" w:rsidP="009D03EB">
            <w:pPr>
              <w:jc w:val="center"/>
              <w:rPr>
                <w:rFonts w:ascii="Verdana" w:hAnsi="Verdana"/>
                <w:color w:val="000000"/>
              </w:rPr>
            </w:pPr>
            <w:r w:rsidRPr="00761D9C">
              <w:rPr>
                <w:rFonts w:ascii="Verdana" w:hAnsi="Verdana"/>
                <w:color w:val="000000"/>
              </w:rPr>
              <w:t>0,03</w:t>
            </w:r>
          </w:p>
        </w:tc>
        <w:tc>
          <w:tcPr>
            <w:tcW w:w="1835" w:type="dxa"/>
            <w:tcBorders>
              <w:top w:val="nil"/>
              <w:left w:val="single" w:sz="4" w:space="0" w:color="auto"/>
              <w:bottom w:val="single" w:sz="4" w:space="0" w:color="auto"/>
              <w:right w:val="single" w:sz="4" w:space="0" w:color="auto"/>
            </w:tcBorders>
            <w:vAlign w:val="center"/>
          </w:tcPr>
          <w:p w14:paraId="129D9192" w14:textId="1C815B10" w:rsidR="00DE1D93" w:rsidRPr="00BA7ABE" w:rsidRDefault="00DE1D93" w:rsidP="009D03EB">
            <w:pPr>
              <w:jc w:val="center"/>
              <w:rPr>
                <w:rFonts w:ascii="Verdana" w:hAnsi="Verdana"/>
                <w:color w:val="000000"/>
              </w:rPr>
            </w:pPr>
            <w:r w:rsidRPr="009D03EB">
              <w:rPr>
                <w:rFonts w:ascii="Verdana" w:hAnsi="Verdana"/>
                <w:color w:val="000000"/>
              </w:rPr>
              <w:t>91,51%</w:t>
            </w:r>
          </w:p>
        </w:tc>
        <w:tc>
          <w:tcPr>
            <w:tcW w:w="1487" w:type="dxa"/>
            <w:vMerge/>
            <w:tcBorders>
              <w:left w:val="single" w:sz="4" w:space="0" w:color="auto"/>
              <w:right w:val="single" w:sz="4" w:space="0" w:color="auto"/>
            </w:tcBorders>
          </w:tcPr>
          <w:p w14:paraId="41E65093" w14:textId="77777777" w:rsidR="00DE1D93" w:rsidRPr="00BA7ABE" w:rsidRDefault="00DE1D93" w:rsidP="009D03EB">
            <w:pPr>
              <w:jc w:val="center"/>
              <w:rPr>
                <w:rFonts w:ascii="Verdana" w:hAnsi="Verdana"/>
                <w:color w:val="000000"/>
                <w:lang w:eastAsia="es-CO"/>
              </w:rPr>
            </w:pPr>
          </w:p>
        </w:tc>
      </w:tr>
      <w:tr w:rsidR="00DE1D93" w:rsidRPr="00986DC1" w14:paraId="0D698D2F" w14:textId="77777777" w:rsidTr="009D03EB">
        <w:trPr>
          <w:trHeight w:val="315"/>
          <w:jc w:val="center"/>
        </w:trPr>
        <w:tc>
          <w:tcPr>
            <w:tcW w:w="3220" w:type="dxa"/>
            <w:tcBorders>
              <w:top w:val="nil"/>
              <w:left w:val="nil"/>
              <w:bottom w:val="nil"/>
              <w:right w:val="single" w:sz="4" w:space="0" w:color="auto"/>
            </w:tcBorders>
            <w:noWrap/>
            <w:vAlign w:val="bottom"/>
          </w:tcPr>
          <w:p w14:paraId="1CC1958A" w14:textId="77777777" w:rsidR="00DE1D93" w:rsidRPr="00986DC1" w:rsidRDefault="00DE1D93" w:rsidP="009D03EB">
            <w:pPr>
              <w:rPr>
                <w:rFonts w:ascii="Verdana" w:hAnsi="Verdana"/>
                <w:color w:val="000000"/>
                <w:lang w:eastAsia="es-CO"/>
              </w:rPr>
            </w:pPr>
            <w:r w:rsidRPr="00986DC1">
              <w:rPr>
                <w:rFonts w:ascii="Verdana" w:hAnsi="Verdana"/>
                <w:color w:val="000000"/>
                <w:lang w:eastAsia="es-CO"/>
              </w:rPr>
              <w:t>Capital de trabajo</w:t>
            </w:r>
          </w:p>
        </w:tc>
        <w:tc>
          <w:tcPr>
            <w:tcW w:w="3145" w:type="dxa"/>
            <w:tcBorders>
              <w:top w:val="nil"/>
              <w:left w:val="nil"/>
              <w:bottom w:val="nil"/>
              <w:right w:val="nil"/>
            </w:tcBorders>
            <w:noWrap/>
            <w:vAlign w:val="center"/>
          </w:tcPr>
          <w:p w14:paraId="49929BEF" w14:textId="14740AC9" w:rsidR="00DE1D93" w:rsidRPr="00BA7ABE" w:rsidRDefault="00DE1D93" w:rsidP="009D03EB">
            <w:pPr>
              <w:jc w:val="center"/>
              <w:rPr>
                <w:rFonts w:ascii="Verdana" w:hAnsi="Verdana"/>
                <w:color w:val="000000"/>
              </w:rPr>
            </w:pPr>
            <w:r>
              <w:rPr>
                <w:rFonts w:ascii="Verdana" w:hAnsi="Verdana"/>
                <w:color w:val="000000"/>
              </w:rPr>
              <w:t>$ 16.505.322.805</w:t>
            </w:r>
          </w:p>
        </w:tc>
        <w:tc>
          <w:tcPr>
            <w:tcW w:w="1835" w:type="dxa"/>
            <w:tcBorders>
              <w:top w:val="nil"/>
              <w:left w:val="single" w:sz="4" w:space="0" w:color="auto"/>
              <w:bottom w:val="single" w:sz="4" w:space="0" w:color="auto"/>
              <w:right w:val="single" w:sz="4" w:space="0" w:color="auto"/>
            </w:tcBorders>
            <w:vAlign w:val="center"/>
          </w:tcPr>
          <w:p w14:paraId="187500A2" w14:textId="7808C283" w:rsidR="00DE1D93" w:rsidRPr="00BA7ABE" w:rsidRDefault="00DE1D93" w:rsidP="009D03EB">
            <w:pPr>
              <w:jc w:val="center"/>
              <w:rPr>
                <w:rFonts w:ascii="Verdana" w:hAnsi="Verdana"/>
                <w:color w:val="000000"/>
              </w:rPr>
            </w:pPr>
            <w:r w:rsidRPr="009D03EB">
              <w:rPr>
                <w:rFonts w:ascii="Verdana" w:hAnsi="Verdana"/>
                <w:color w:val="000000"/>
              </w:rPr>
              <w:t>11,88%</w:t>
            </w:r>
          </w:p>
        </w:tc>
        <w:tc>
          <w:tcPr>
            <w:tcW w:w="1487" w:type="dxa"/>
            <w:vMerge/>
            <w:tcBorders>
              <w:left w:val="single" w:sz="4" w:space="0" w:color="auto"/>
              <w:right w:val="single" w:sz="4" w:space="0" w:color="auto"/>
            </w:tcBorders>
          </w:tcPr>
          <w:p w14:paraId="5BA61467" w14:textId="77777777" w:rsidR="00DE1D93" w:rsidRPr="00BA7ABE" w:rsidRDefault="00DE1D93" w:rsidP="009D03EB">
            <w:pPr>
              <w:jc w:val="center"/>
              <w:rPr>
                <w:rFonts w:ascii="Verdana" w:hAnsi="Verdana"/>
                <w:color w:val="000000"/>
                <w:lang w:eastAsia="es-CO"/>
              </w:rPr>
            </w:pPr>
          </w:p>
        </w:tc>
      </w:tr>
      <w:tr w:rsidR="00DE1D93" w:rsidRPr="00986DC1" w14:paraId="4845F033" w14:textId="77777777" w:rsidTr="009D03EB">
        <w:trPr>
          <w:trHeight w:val="315"/>
          <w:jc w:val="center"/>
        </w:trPr>
        <w:tc>
          <w:tcPr>
            <w:tcW w:w="3220" w:type="dxa"/>
            <w:tcBorders>
              <w:top w:val="nil"/>
              <w:left w:val="nil"/>
              <w:bottom w:val="nil"/>
              <w:right w:val="single" w:sz="4" w:space="0" w:color="auto"/>
            </w:tcBorders>
            <w:noWrap/>
            <w:vAlign w:val="bottom"/>
          </w:tcPr>
          <w:p w14:paraId="255A0EC8" w14:textId="77777777" w:rsidR="00DE1D93" w:rsidRPr="00986DC1" w:rsidRDefault="00DE1D93" w:rsidP="00BA7ABE">
            <w:pPr>
              <w:rPr>
                <w:rFonts w:ascii="Verdana" w:hAnsi="Verdana"/>
                <w:color w:val="000000"/>
                <w:lang w:eastAsia="es-CO"/>
              </w:rPr>
            </w:pPr>
            <w:r w:rsidRPr="00986DC1">
              <w:rPr>
                <w:rFonts w:ascii="Verdana" w:hAnsi="Verdana"/>
                <w:color w:val="000000"/>
                <w:lang w:eastAsia="es-CO"/>
              </w:rPr>
              <w:t>Patrimonio</w:t>
            </w:r>
          </w:p>
        </w:tc>
        <w:tc>
          <w:tcPr>
            <w:tcW w:w="3145" w:type="dxa"/>
            <w:tcBorders>
              <w:top w:val="single" w:sz="4" w:space="0" w:color="auto"/>
              <w:left w:val="single" w:sz="4" w:space="0" w:color="auto"/>
              <w:bottom w:val="single" w:sz="4" w:space="0" w:color="auto"/>
              <w:right w:val="single" w:sz="4" w:space="0" w:color="auto"/>
            </w:tcBorders>
            <w:noWrap/>
            <w:vAlign w:val="center"/>
          </w:tcPr>
          <w:p w14:paraId="0AF5C5CF" w14:textId="0E70D150" w:rsidR="00DE1D93" w:rsidRPr="00BA7ABE" w:rsidRDefault="00DE1D93" w:rsidP="00BA7ABE">
            <w:pPr>
              <w:jc w:val="center"/>
              <w:rPr>
                <w:rFonts w:ascii="Verdana" w:hAnsi="Verdana"/>
                <w:color w:val="000000"/>
              </w:rPr>
            </w:pPr>
            <w:r>
              <w:rPr>
                <w:rFonts w:ascii="Verdana" w:hAnsi="Verdana"/>
                <w:color w:val="000000"/>
              </w:rPr>
              <w:t>$ 15.473.740.129</w:t>
            </w:r>
          </w:p>
        </w:tc>
        <w:tc>
          <w:tcPr>
            <w:tcW w:w="1835" w:type="dxa"/>
            <w:tcBorders>
              <w:top w:val="single" w:sz="4" w:space="0" w:color="auto"/>
              <w:left w:val="single" w:sz="4" w:space="0" w:color="auto"/>
              <w:bottom w:val="single" w:sz="4" w:space="0" w:color="auto"/>
              <w:right w:val="single" w:sz="4" w:space="0" w:color="auto"/>
            </w:tcBorders>
            <w:vAlign w:val="center"/>
          </w:tcPr>
          <w:p w14:paraId="11B23DB1" w14:textId="6F95A6AD" w:rsidR="00DE1D93" w:rsidRPr="00BA7ABE" w:rsidRDefault="00DE1D93" w:rsidP="00BA7ABE">
            <w:pPr>
              <w:jc w:val="center"/>
              <w:rPr>
                <w:rFonts w:ascii="Verdana" w:hAnsi="Verdana"/>
                <w:color w:val="000000"/>
                <w:lang w:eastAsia="es-CO"/>
              </w:rPr>
            </w:pPr>
            <w:r>
              <w:rPr>
                <w:rFonts w:ascii="Verdana" w:hAnsi="Verdana"/>
                <w:color w:val="000000"/>
                <w:lang w:eastAsia="es-CO"/>
              </w:rPr>
              <w:t>13,41%</w:t>
            </w:r>
          </w:p>
        </w:tc>
        <w:tc>
          <w:tcPr>
            <w:tcW w:w="1487" w:type="dxa"/>
            <w:vMerge/>
            <w:tcBorders>
              <w:left w:val="single" w:sz="4" w:space="0" w:color="auto"/>
              <w:bottom w:val="single" w:sz="4" w:space="0" w:color="auto"/>
              <w:right w:val="single" w:sz="4" w:space="0" w:color="auto"/>
            </w:tcBorders>
            <w:shd w:val="clear" w:color="000000" w:fill="DAE9F8"/>
          </w:tcPr>
          <w:p w14:paraId="7DF55835" w14:textId="77777777" w:rsidR="00DE1D93" w:rsidRPr="00BA7ABE" w:rsidRDefault="00DE1D93" w:rsidP="00BA7ABE">
            <w:pPr>
              <w:jc w:val="center"/>
              <w:rPr>
                <w:rFonts w:ascii="Verdana" w:hAnsi="Verdana"/>
                <w:color w:val="000000"/>
                <w:lang w:eastAsia="es-CO"/>
              </w:rPr>
            </w:pPr>
          </w:p>
        </w:tc>
      </w:tr>
    </w:tbl>
    <w:p w14:paraId="3E1CB39D" w14:textId="77777777" w:rsidR="001360D2" w:rsidRPr="00986DC1" w:rsidRDefault="001360D2" w:rsidP="001360D2">
      <w:pPr>
        <w:ind w:left="66"/>
        <w:jc w:val="both"/>
        <w:rPr>
          <w:rFonts w:ascii="Verdana" w:hAnsi="Verdana"/>
          <w:sz w:val="16"/>
          <w:szCs w:val="16"/>
          <w:lang w:val="en-US"/>
        </w:rPr>
      </w:pPr>
    </w:p>
    <w:p w14:paraId="3EFF4673" w14:textId="77777777" w:rsidR="00051396" w:rsidRDefault="00051396" w:rsidP="00051396">
      <w:pPr>
        <w:ind w:left="66"/>
        <w:jc w:val="center"/>
        <w:rPr>
          <w:rFonts w:ascii="Verdana" w:hAnsi="Verdana" w:cs="Arial"/>
          <w:lang w:val="es-MX"/>
        </w:rPr>
      </w:pPr>
      <w:r w:rsidRPr="007A4815">
        <w:rPr>
          <w:rFonts w:ascii="Verdana" w:hAnsi="Verdana" w:cs="Arial"/>
          <w:b/>
          <w:bCs/>
          <w:lang w:val="es-MX"/>
        </w:rPr>
        <w:t>Fuente</w:t>
      </w:r>
      <w:r>
        <w:rPr>
          <w:rFonts w:ascii="Verdana" w:hAnsi="Verdana" w:cs="Arial"/>
          <w:lang w:val="es-MX"/>
        </w:rPr>
        <w:t xml:space="preserve">: </w:t>
      </w:r>
      <w:r w:rsidRPr="00E158AE">
        <w:rPr>
          <w:rFonts w:ascii="Verdana" w:hAnsi="Verdana" w:cs="Arial"/>
          <w:lang w:val="es-MX"/>
        </w:rPr>
        <w:t>Elaboración propia</w:t>
      </w:r>
    </w:p>
    <w:p w14:paraId="623E73CE" w14:textId="77777777" w:rsidR="00051396" w:rsidRPr="00611315" w:rsidRDefault="00051396" w:rsidP="00051396">
      <w:pPr>
        <w:jc w:val="both"/>
        <w:rPr>
          <w:rFonts w:ascii="Verdana" w:hAnsi="Verdana" w:cs="Arial"/>
          <w:sz w:val="22"/>
          <w:szCs w:val="22"/>
          <w:highlight w:val="yellow"/>
        </w:rPr>
      </w:pPr>
    </w:p>
    <w:p w14:paraId="10ED915C" w14:textId="236D40AF" w:rsidR="00051396" w:rsidRPr="00870C64" w:rsidRDefault="00051396" w:rsidP="00051396">
      <w:pPr>
        <w:pBdr>
          <w:top w:val="dotted" w:sz="4" w:space="1" w:color="000000"/>
          <w:left w:val="dotted" w:sz="4" w:space="4" w:color="000000"/>
          <w:bottom w:val="dotted" w:sz="4" w:space="1" w:color="000000"/>
          <w:right w:val="dotted" w:sz="4" w:space="4" w:color="000000"/>
        </w:pBdr>
        <w:autoSpaceDE w:val="0"/>
        <w:autoSpaceDN w:val="0"/>
        <w:ind w:left="360"/>
        <w:jc w:val="both"/>
        <w:rPr>
          <w:rFonts w:ascii="Verdana" w:hAnsi="Verdana" w:cs="Arial"/>
          <w:color w:val="000000"/>
          <w:sz w:val="22"/>
          <w:szCs w:val="22"/>
          <w:highlight w:val="yellow"/>
        </w:rPr>
      </w:pPr>
      <w:r w:rsidRPr="00E33AF8">
        <w:rPr>
          <w:rFonts w:ascii="Verdana" w:hAnsi="Verdana" w:cs="Arial"/>
          <w:b/>
          <w:bCs/>
          <w:color w:val="000000"/>
          <w:sz w:val="22"/>
          <w:szCs w:val="22"/>
        </w:rPr>
        <w:t xml:space="preserve">Nota </w:t>
      </w:r>
      <w:r>
        <w:rPr>
          <w:rFonts w:ascii="Verdana" w:hAnsi="Verdana" w:cs="Arial"/>
          <w:b/>
          <w:bCs/>
          <w:color w:val="000000"/>
          <w:sz w:val="22"/>
          <w:szCs w:val="22"/>
        </w:rPr>
        <w:t>4</w:t>
      </w:r>
      <w:r w:rsidRPr="00E33AF8">
        <w:rPr>
          <w:rFonts w:ascii="Verdana" w:hAnsi="Verdana" w:cs="Arial"/>
          <w:b/>
          <w:bCs/>
          <w:color w:val="000000"/>
          <w:sz w:val="22"/>
          <w:szCs w:val="22"/>
        </w:rPr>
        <w:t>:</w:t>
      </w:r>
      <w:r w:rsidRPr="00E33AF8">
        <w:rPr>
          <w:rFonts w:ascii="Verdana" w:hAnsi="Verdana" w:cs="Arial"/>
          <w:color w:val="000000"/>
          <w:sz w:val="22"/>
          <w:szCs w:val="22"/>
        </w:rPr>
        <w:t xml:space="preserve"> </w:t>
      </w:r>
      <w:r w:rsidRPr="00051396">
        <w:rPr>
          <w:rFonts w:ascii="Verdana" w:hAnsi="Verdana"/>
          <w:sz w:val="22"/>
          <w:szCs w:val="22"/>
        </w:rPr>
        <w:t xml:space="preserve">Es importante resaltar que los niveles de cumplimiento se están realizando contra empresas de forma individual, sin embargo, al revisar el proceso utilizado de ejemplo se logró establecer que se presentó 1 oferta, (a través de estructura plural). Lo anterior permite evidenciar, </w:t>
      </w:r>
      <w:proofErr w:type="gramStart"/>
      <w:r w:rsidRPr="00051396">
        <w:rPr>
          <w:rFonts w:ascii="Verdana" w:hAnsi="Verdana"/>
          <w:sz w:val="22"/>
          <w:szCs w:val="22"/>
        </w:rPr>
        <w:t>que</w:t>
      </w:r>
      <w:proofErr w:type="gramEnd"/>
      <w:r w:rsidRPr="00051396">
        <w:rPr>
          <w:rFonts w:ascii="Verdana" w:hAnsi="Verdana"/>
          <w:sz w:val="22"/>
          <w:szCs w:val="22"/>
        </w:rPr>
        <w:t xml:space="preserve"> pese a que el porcentaje de cumplimiento esté por debajo del 50% de forma general, debido a las exigencias de Capital de trabajo demandado y Patrimonio, debido a las características del proyecto, la cantidad de empresas individuales que cumplirían con los requisitos se encuentran por encima de los proponentes que presentaron propuesta en el proceso referenciado.</w:t>
      </w:r>
    </w:p>
    <w:p w14:paraId="5C77CF06" w14:textId="77777777" w:rsidR="001360D2" w:rsidRDefault="001360D2" w:rsidP="001360D2">
      <w:pPr>
        <w:ind w:left="66"/>
        <w:jc w:val="both"/>
        <w:rPr>
          <w:rFonts w:ascii="Verdana" w:hAnsi="Verdana"/>
          <w:sz w:val="22"/>
          <w:szCs w:val="22"/>
          <w:highlight w:val="yellow"/>
        </w:rPr>
      </w:pPr>
    </w:p>
    <w:p w14:paraId="6920196B" w14:textId="77777777" w:rsidR="00051396" w:rsidRPr="00611315" w:rsidRDefault="00051396" w:rsidP="001360D2">
      <w:pPr>
        <w:ind w:left="66"/>
        <w:jc w:val="both"/>
        <w:rPr>
          <w:rFonts w:ascii="Verdana" w:hAnsi="Verdana"/>
          <w:sz w:val="22"/>
          <w:szCs w:val="22"/>
          <w:highlight w:val="yellow"/>
        </w:rPr>
      </w:pPr>
    </w:p>
    <w:p w14:paraId="7B4E01B4" w14:textId="77777777" w:rsidR="001360D2" w:rsidRPr="00611315" w:rsidRDefault="001360D2" w:rsidP="001360D2">
      <w:pPr>
        <w:ind w:left="66"/>
        <w:jc w:val="both"/>
        <w:rPr>
          <w:rFonts w:ascii="Verdana" w:hAnsi="Verdana"/>
          <w:sz w:val="22"/>
          <w:szCs w:val="22"/>
          <w:highlight w:val="yellow"/>
        </w:rPr>
      </w:pPr>
    </w:p>
    <w:p w14:paraId="7AA43F23" w14:textId="5256EB7A" w:rsidR="001360D2" w:rsidRPr="00611315" w:rsidRDefault="001360D2" w:rsidP="001360D2">
      <w:pPr>
        <w:ind w:left="66"/>
        <w:jc w:val="both"/>
        <w:rPr>
          <w:rFonts w:ascii="Verdana" w:hAnsi="Verdana"/>
          <w:sz w:val="22"/>
          <w:szCs w:val="22"/>
        </w:rPr>
      </w:pPr>
      <w:r w:rsidRPr="00C463B0">
        <w:rPr>
          <w:rFonts w:ascii="Verdana" w:hAnsi="Verdana"/>
          <w:sz w:val="22"/>
          <w:szCs w:val="22"/>
        </w:rPr>
        <w:lastRenderedPageBreak/>
        <w:t xml:space="preserve">Cómo se evidencia, los indicadores propuestos para la actualización de los documentos tipo de infraestructura </w:t>
      </w:r>
      <w:r w:rsidR="00C463B0" w:rsidRPr="00C463B0">
        <w:rPr>
          <w:rFonts w:ascii="Verdana" w:hAnsi="Verdana"/>
          <w:sz w:val="22"/>
          <w:szCs w:val="22"/>
        </w:rPr>
        <w:t>de agua potable y saneamiento básico</w:t>
      </w:r>
      <w:r w:rsidRPr="00C463B0">
        <w:rPr>
          <w:rFonts w:ascii="Verdana" w:hAnsi="Verdana"/>
          <w:sz w:val="22"/>
          <w:szCs w:val="22"/>
        </w:rPr>
        <w:t>, son acordes con las particularidades del servicio a contratar y proporcionales a las condiciones del proceso (modalidad, presupuesto y plazo estimado de ejecución). Adicionalmente, se puede observar que los requisitos permiten la concurrencia de las empresas identificadas como potenciales proveedores, asegurando así la pluralidad de oferentes dentro de los procesos de selección, lo cual se evidencia en que se están incrementando la cantidad de proponentes que cumplirían con los requerimientos en comparación con aquellos que han participado en los procesos de selección utilizados de referencia en cada escenario analizado.</w:t>
      </w:r>
    </w:p>
    <w:p w14:paraId="6E15E3D7" w14:textId="54C3C120" w:rsidR="00E5392F" w:rsidRPr="00611315" w:rsidRDefault="00910B7A" w:rsidP="00E42FDE">
      <w:pPr>
        <w:pStyle w:val="Ttulo1"/>
        <w:numPr>
          <w:ilvl w:val="0"/>
          <w:numId w:val="44"/>
        </w:numPr>
        <w:jc w:val="both"/>
        <w:rPr>
          <w:rFonts w:ascii="Verdana" w:hAnsi="Verdana" w:cs="Arial"/>
          <w:color w:val="auto"/>
          <w:szCs w:val="22"/>
        </w:rPr>
      </w:pPr>
      <w:bookmarkStart w:id="458" w:name="_Toc231368616"/>
      <w:r w:rsidRPr="00611315">
        <w:rPr>
          <w:rFonts w:ascii="Verdana" w:hAnsi="Verdana" w:cs="Arial"/>
          <w:color w:val="auto"/>
          <w:szCs w:val="22"/>
        </w:rPr>
        <w:t>ANÁLISIS DE CRITERIOS DE EVALUACIÓN PONDERABLES SOLICITADOS EN</w:t>
      </w:r>
      <w:r w:rsidRPr="00611315">
        <w:rPr>
          <w:rFonts w:ascii="Verdana" w:eastAsia="Calibri" w:hAnsi="Verdana" w:cs="Arial"/>
          <w:color w:val="auto"/>
          <w:szCs w:val="22"/>
        </w:rPr>
        <w:t xml:space="preserve"> LOS </w:t>
      </w:r>
      <w:r w:rsidRPr="00611315">
        <w:rPr>
          <w:rFonts w:ascii="Verdana" w:hAnsi="Verdana" w:cs="Arial"/>
          <w:color w:val="auto"/>
          <w:szCs w:val="22"/>
        </w:rPr>
        <w:t>DOCUMENTOS TIPO DE OBRA PÚBLICA DE INFRAESTRUCTURA DE AGUA POTABLE Y SANEAMIENTO BÁSICO</w:t>
      </w:r>
      <w:bookmarkEnd w:id="458"/>
    </w:p>
    <w:p w14:paraId="133B6304" w14:textId="77777777" w:rsidR="008064EB" w:rsidRPr="00611315" w:rsidRDefault="008064EB" w:rsidP="008064EB">
      <w:pPr>
        <w:rPr>
          <w:rFonts w:ascii="Verdana" w:hAnsi="Verdana" w:cs="Arial"/>
          <w:sz w:val="22"/>
          <w:szCs w:val="22"/>
        </w:rPr>
      </w:pPr>
    </w:p>
    <w:p w14:paraId="53BA12C3" w14:textId="5EBC1B32" w:rsidR="00656205" w:rsidRPr="00611315" w:rsidRDefault="008E771B" w:rsidP="00656205">
      <w:pPr>
        <w:jc w:val="both"/>
        <w:rPr>
          <w:rFonts w:ascii="Verdana" w:hAnsi="Verdana" w:cs="Arial"/>
          <w:sz w:val="22"/>
          <w:szCs w:val="22"/>
        </w:rPr>
      </w:pPr>
      <w:r w:rsidRPr="00611315">
        <w:rPr>
          <w:rFonts w:ascii="Verdana" w:hAnsi="Verdana" w:cs="Arial"/>
          <w:sz w:val="22"/>
          <w:szCs w:val="22"/>
        </w:rPr>
        <w:t>En la presente modificación se ajusta e</w:t>
      </w:r>
      <w:r w:rsidR="00656205" w:rsidRPr="00611315">
        <w:rPr>
          <w:rFonts w:ascii="Verdana" w:hAnsi="Verdana" w:cs="Arial"/>
          <w:sz w:val="22"/>
          <w:szCs w:val="22"/>
        </w:rPr>
        <w:t xml:space="preserve">l capítulo IV del documento base </w:t>
      </w:r>
      <w:r w:rsidR="00284EDF" w:rsidRPr="00611315">
        <w:rPr>
          <w:rFonts w:ascii="Verdana" w:hAnsi="Verdana" w:cs="Arial"/>
          <w:sz w:val="22"/>
          <w:szCs w:val="22"/>
        </w:rPr>
        <w:t xml:space="preserve">que </w:t>
      </w:r>
      <w:r w:rsidR="00656205" w:rsidRPr="00611315">
        <w:rPr>
          <w:rFonts w:ascii="Verdana" w:hAnsi="Verdana" w:cs="Arial"/>
          <w:sz w:val="22"/>
          <w:szCs w:val="22"/>
        </w:rPr>
        <w:t>establece los “</w:t>
      </w:r>
      <w:r w:rsidR="00656205" w:rsidRPr="00954F93">
        <w:rPr>
          <w:rFonts w:ascii="Verdana" w:hAnsi="Verdana" w:cs="Arial"/>
          <w:b/>
          <w:bCs/>
          <w:sz w:val="22"/>
          <w:szCs w:val="22"/>
        </w:rPr>
        <w:t>Criterios de Evaluación, asignación de puntaje y criterios de desempate</w:t>
      </w:r>
      <w:r w:rsidR="00B558EC" w:rsidRPr="00954F93">
        <w:rPr>
          <w:rFonts w:ascii="Verdana" w:hAnsi="Verdana" w:cs="Arial"/>
          <w:b/>
          <w:bCs/>
          <w:sz w:val="22"/>
          <w:szCs w:val="22"/>
        </w:rPr>
        <w:t>”</w:t>
      </w:r>
      <w:r w:rsidR="00656205" w:rsidRPr="00611315">
        <w:rPr>
          <w:rFonts w:ascii="Verdana" w:hAnsi="Verdana" w:cs="Arial"/>
          <w:sz w:val="22"/>
          <w:szCs w:val="22"/>
        </w:rPr>
        <w:t xml:space="preserve"> </w:t>
      </w:r>
      <w:r w:rsidRPr="00611315">
        <w:rPr>
          <w:rFonts w:ascii="Verdana" w:hAnsi="Verdana" w:cs="Arial"/>
          <w:sz w:val="22"/>
          <w:szCs w:val="22"/>
        </w:rPr>
        <w:t xml:space="preserve">y se </w:t>
      </w:r>
      <w:r w:rsidR="00656205" w:rsidRPr="00611315">
        <w:rPr>
          <w:rFonts w:ascii="Verdana" w:hAnsi="Verdana" w:cs="Arial"/>
          <w:sz w:val="22"/>
          <w:szCs w:val="22"/>
        </w:rPr>
        <w:t>incluye</w:t>
      </w:r>
      <w:r w:rsidRPr="00611315">
        <w:rPr>
          <w:rFonts w:ascii="Verdana" w:hAnsi="Verdana" w:cs="Arial"/>
          <w:sz w:val="22"/>
          <w:szCs w:val="22"/>
        </w:rPr>
        <w:t>n</w:t>
      </w:r>
      <w:r w:rsidR="00E9612A" w:rsidRPr="00611315">
        <w:rPr>
          <w:rFonts w:ascii="Verdana" w:hAnsi="Verdana" w:cs="Arial"/>
          <w:sz w:val="22"/>
          <w:szCs w:val="22"/>
        </w:rPr>
        <w:t xml:space="preserve"> bajo estos criterios</w:t>
      </w:r>
      <w:r w:rsidRPr="00611315">
        <w:rPr>
          <w:rFonts w:ascii="Verdana" w:hAnsi="Verdana" w:cs="Arial"/>
          <w:sz w:val="22"/>
          <w:szCs w:val="22"/>
        </w:rPr>
        <w:t>, los siguientes</w:t>
      </w:r>
      <w:r w:rsidR="00656205" w:rsidRPr="00611315">
        <w:rPr>
          <w:rFonts w:ascii="Verdana" w:hAnsi="Verdana" w:cs="Arial"/>
          <w:sz w:val="22"/>
          <w:szCs w:val="22"/>
        </w:rPr>
        <w:t>: la Oferta Económica, el Factor de Calidad, el apoyo a la industria nacional</w:t>
      </w:r>
      <w:r w:rsidR="001F702A" w:rsidRPr="00611315">
        <w:rPr>
          <w:rFonts w:ascii="Verdana" w:hAnsi="Verdana" w:cs="Arial"/>
          <w:sz w:val="22"/>
          <w:szCs w:val="22"/>
        </w:rPr>
        <w:t xml:space="preserve">, </w:t>
      </w:r>
      <w:r w:rsidRPr="00611315">
        <w:rPr>
          <w:rFonts w:ascii="Verdana" w:hAnsi="Verdana" w:cs="Arial"/>
          <w:sz w:val="22"/>
          <w:szCs w:val="22"/>
        </w:rPr>
        <w:t xml:space="preserve">los </w:t>
      </w:r>
      <w:r w:rsidR="003E6115" w:rsidRPr="00611315">
        <w:rPr>
          <w:rFonts w:ascii="Verdana" w:hAnsi="Verdana" w:cs="Arial"/>
          <w:sz w:val="22"/>
          <w:szCs w:val="22"/>
        </w:rPr>
        <w:t xml:space="preserve">empleadores, emprendimientos y empresas de personas con </w:t>
      </w:r>
      <w:r w:rsidRPr="00611315">
        <w:rPr>
          <w:rFonts w:ascii="Verdana" w:hAnsi="Verdana" w:cs="Arial"/>
          <w:sz w:val="22"/>
          <w:szCs w:val="22"/>
        </w:rPr>
        <w:t>discapacidad</w:t>
      </w:r>
      <w:r w:rsidR="00656205" w:rsidRPr="00611315">
        <w:rPr>
          <w:rFonts w:ascii="Verdana" w:hAnsi="Verdana" w:cs="Arial"/>
          <w:sz w:val="22"/>
          <w:szCs w:val="22"/>
        </w:rPr>
        <w:t xml:space="preserve">, tarjeta OCCRE, Emprendimiento y Empresas de mujeres, </w:t>
      </w:r>
      <w:proofErr w:type="spellStart"/>
      <w:r w:rsidR="00656205" w:rsidRPr="00611315">
        <w:rPr>
          <w:rFonts w:ascii="Verdana" w:hAnsi="Verdana" w:cs="Arial"/>
          <w:sz w:val="22"/>
          <w:szCs w:val="22"/>
        </w:rPr>
        <w:t>Mipyme</w:t>
      </w:r>
      <w:proofErr w:type="spellEnd"/>
      <w:r w:rsidR="00656205" w:rsidRPr="00611315">
        <w:rPr>
          <w:rFonts w:ascii="Verdana" w:hAnsi="Verdana" w:cs="Arial"/>
          <w:sz w:val="22"/>
          <w:szCs w:val="22"/>
        </w:rPr>
        <w:t xml:space="preserve"> domiciliada en Colombia y los criterios de desempate</w:t>
      </w:r>
      <w:r w:rsidR="007A6A8C" w:rsidRPr="00611315">
        <w:rPr>
          <w:rFonts w:ascii="Verdana" w:hAnsi="Verdana" w:cs="Arial"/>
          <w:sz w:val="22"/>
          <w:szCs w:val="22"/>
        </w:rPr>
        <w:t>. Particularmente se</w:t>
      </w:r>
      <w:r w:rsidR="00656205" w:rsidRPr="00611315">
        <w:rPr>
          <w:rFonts w:ascii="Verdana" w:hAnsi="Verdana" w:cs="Arial"/>
          <w:sz w:val="22"/>
          <w:szCs w:val="22"/>
        </w:rPr>
        <w:t xml:space="preserve"> incluyó un ajuste al numeral 4.2. Factor de Calidad </w:t>
      </w:r>
      <w:r w:rsidR="007A6A8C" w:rsidRPr="00611315">
        <w:rPr>
          <w:rFonts w:ascii="Verdana" w:hAnsi="Verdana" w:cs="Arial"/>
          <w:sz w:val="22"/>
          <w:szCs w:val="22"/>
        </w:rPr>
        <w:t>que</w:t>
      </w:r>
      <w:r w:rsidR="00656205" w:rsidRPr="00611315">
        <w:rPr>
          <w:rFonts w:ascii="Verdana" w:hAnsi="Verdana" w:cs="Arial"/>
          <w:sz w:val="22"/>
          <w:szCs w:val="22"/>
        </w:rPr>
        <w:t xml:space="preserve"> incluyo en el numeral 4.2.4. la incorporación de los criterios ambientales y sociales, para lo cual se realizó el ajuste a las ponderaciones existentes.</w:t>
      </w:r>
    </w:p>
    <w:p w14:paraId="246EAAEB" w14:textId="77777777" w:rsidR="00656205" w:rsidRPr="00611315" w:rsidRDefault="00656205" w:rsidP="00656205">
      <w:pPr>
        <w:jc w:val="both"/>
        <w:rPr>
          <w:rFonts w:ascii="Verdana" w:hAnsi="Verdana" w:cs="Arial"/>
          <w:sz w:val="22"/>
          <w:szCs w:val="22"/>
        </w:rPr>
      </w:pPr>
    </w:p>
    <w:p w14:paraId="449FB850" w14:textId="556CEBFC" w:rsidR="00656205" w:rsidRDefault="00656205" w:rsidP="00656205">
      <w:pPr>
        <w:jc w:val="both"/>
        <w:rPr>
          <w:rFonts w:ascii="Verdana" w:hAnsi="Verdana" w:cs="Arial"/>
          <w:sz w:val="22"/>
          <w:szCs w:val="22"/>
        </w:rPr>
      </w:pPr>
      <w:r w:rsidRPr="00611315">
        <w:rPr>
          <w:rFonts w:ascii="Verdana" w:hAnsi="Verdana" w:cs="Arial"/>
          <w:sz w:val="22"/>
          <w:szCs w:val="22"/>
        </w:rPr>
        <w:t>A continuación</w:t>
      </w:r>
      <w:r w:rsidR="34D91D5F" w:rsidRPr="00611315">
        <w:rPr>
          <w:rFonts w:ascii="Verdana" w:hAnsi="Verdana" w:cs="Arial"/>
          <w:sz w:val="22"/>
          <w:szCs w:val="22"/>
        </w:rPr>
        <w:t>,</w:t>
      </w:r>
      <w:r w:rsidRPr="00611315">
        <w:rPr>
          <w:rFonts w:ascii="Verdana" w:hAnsi="Verdana" w:cs="Arial"/>
          <w:sz w:val="22"/>
          <w:szCs w:val="22"/>
        </w:rPr>
        <w:t xml:space="preserve"> se muestra un comparativo para la asignación de puntaje con la incorporación de los criterios socio ambientales en los factores de Calidad, el primero para las convocatorias no limitadas a Mi</w:t>
      </w:r>
      <w:r w:rsidR="00D14711" w:rsidRPr="00611315">
        <w:rPr>
          <w:rFonts w:ascii="Verdana" w:hAnsi="Verdana" w:cs="Arial"/>
          <w:sz w:val="22"/>
          <w:szCs w:val="22"/>
        </w:rPr>
        <w:t>P</w:t>
      </w:r>
      <w:r w:rsidRPr="00611315">
        <w:rPr>
          <w:rFonts w:ascii="Verdana" w:hAnsi="Verdana" w:cs="Arial"/>
          <w:sz w:val="22"/>
          <w:szCs w:val="22"/>
        </w:rPr>
        <w:t>ymes:</w:t>
      </w:r>
    </w:p>
    <w:p w14:paraId="6FB13D4E" w14:textId="77777777" w:rsidR="008F7FEC" w:rsidRDefault="008F7FEC" w:rsidP="00656205">
      <w:pPr>
        <w:jc w:val="both"/>
        <w:rPr>
          <w:rFonts w:ascii="Verdana" w:hAnsi="Verdana" w:cs="Arial"/>
          <w:sz w:val="22"/>
          <w:szCs w:val="22"/>
        </w:rPr>
      </w:pPr>
    </w:p>
    <w:p w14:paraId="2B855F3A" w14:textId="77777777" w:rsidR="008F7FEC" w:rsidRDefault="008F7FEC" w:rsidP="00656205">
      <w:pPr>
        <w:jc w:val="both"/>
        <w:rPr>
          <w:rFonts w:ascii="Verdana" w:hAnsi="Verdana" w:cs="Arial"/>
          <w:sz w:val="22"/>
          <w:szCs w:val="22"/>
        </w:rPr>
      </w:pPr>
    </w:p>
    <w:p w14:paraId="270084D6" w14:textId="77777777" w:rsidR="008F7FEC" w:rsidRDefault="008F7FEC" w:rsidP="00656205">
      <w:pPr>
        <w:jc w:val="both"/>
        <w:rPr>
          <w:rFonts w:ascii="Verdana" w:hAnsi="Verdana" w:cs="Arial"/>
          <w:sz w:val="22"/>
          <w:szCs w:val="22"/>
        </w:rPr>
      </w:pPr>
    </w:p>
    <w:p w14:paraId="217FF0D2" w14:textId="77777777" w:rsidR="008F7FEC" w:rsidRDefault="008F7FEC" w:rsidP="00656205">
      <w:pPr>
        <w:jc w:val="both"/>
        <w:rPr>
          <w:rFonts w:ascii="Verdana" w:hAnsi="Verdana" w:cs="Arial"/>
          <w:sz w:val="22"/>
          <w:szCs w:val="22"/>
        </w:rPr>
      </w:pPr>
    </w:p>
    <w:p w14:paraId="5DF594F0" w14:textId="77777777" w:rsidR="008F7FEC" w:rsidRDefault="008F7FEC" w:rsidP="00656205">
      <w:pPr>
        <w:jc w:val="both"/>
        <w:rPr>
          <w:rFonts w:ascii="Verdana" w:hAnsi="Verdana" w:cs="Arial"/>
          <w:sz w:val="22"/>
          <w:szCs w:val="22"/>
        </w:rPr>
      </w:pPr>
    </w:p>
    <w:p w14:paraId="3CC229BF" w14:textId="77777777" w:rsidR="008F7FEC" w:rsidRDefault="008F7FEC" w:rsidP="00656205">
      <w:pPr>
        <w:jc w:val="both"/>
        <w:rPr>
          <w:rFonts w:ascii="Verdana" w:hAnsi="Verdana" w:cs="Arial"/>
          <w:sz w:val="22"/>
          <w:szCs w:val="22"/>
        </w:rPr>
      </w:pPr>
    </w:p>
    <w:p w14:paraId="45B99E65" w14:textId="77777777" w:rsidR="008F7FEC" w:rsidRDefault="008F7FEC" w:rsidP="00656205">
      <w:pPr>
        <w:jc w:val="both"/>
        <w:rPr>
          <w:rFonts w:ascii="Verdana" w:hAnsi="Verdana" w:cs="Arial"/>
          <w:sz w:val="22"/>
          <w:szCs w:val="22"/>
        </w:rPr>
      </w:pPr>
    </w:p>
    <w:p w14:paraId="486132B2" w14:textId="77777777" w:rsidR="008F7FEC" w:rsidRDefault="008F7FEC" w:rsidP="00656205">
      <w:pPr>
        <w:jc w:val="both"/>
        <w:rPr>
          <w:rFonts w:ascii="Verdana" w:hAnsi="Verdana" w:cs="Arial"/>
          <w:sz w:val="22"/>
          <w:szCs w:val="22"/>
        </w:rPr>
      </w:pPr>
    </w:p>
    <w:p w14:paraId="3B0D115D" w14:textId="77777777" w:rsidR="008F7FEC" w:rsidRPr="00611315" w:rsidRDefault="008F7FEC" w:rsidP="00656205">
      <w:pPr>
        <w:jc w:val="both"/>
        <w:rPr>
          <w:rFonts w:ascii="Verdana" w:hAnsi="Verdana" w:cs="Arial"/>
          <w:sz w:val="22"/>
          <w:szCs w:val="22"/>
        </w:rPr>
      </w:pPr>
    </w:p>
    <w:p w14:paraId="53683082" w14:textId="77777777" w:rsidR="00693F23" w:rsidRPr="00611315" w:rsidRDefault="00693F23" w:rsidP="00656205">
      <w:pPr>
        <w:jc w:val="both"/>
        <w:rPr>
          <w:rFonts w:ascii="Verdana" w:hAnsi="Verdana" w:cs="Arial"/>
          <w:sz w:val="22"/>
          <w:szCs w:val="22"/>
        </w:rPr>
      </w:pPr>
    </w:p>
    <w:p w14:paraId="491C90EA" w14:textId="05662A1C" w:rsidR="00256AE1" w:rsidRPr="00611315" w:rsidRDefault="00256AE1" w:rsidP="00447A32">
      <w:pPr>
        <w:pStyle w:val="Descripcin"/>
        <w:jc w:val="center"/>
        <w:rPr>
          <w:rFonts w:ascii="Verdana" w:hAnsi="Verdana" w:cs="Arial"/>
          <w:sz w:val="24"/>
          <w:szCs w:val="24"/>
        </w:rPr>
      </w:pPr>
      <w:bookmarkStart w:id="459" w:name="_Toc180136830"/>
      <w:bookmarkStart w:id="460" w:name="_Toc231368690"/>
      <w:r w:rsidRPr="00611315">
        <w:rPr>
          <w:rFonts w:ascii="Verdana" w:hAnsi="Verdana"/>
          <w:sz w:val="22"/>
          <w:szCs w:val="22"/>
        </w:rPr>
        <w:lastRenderedPageBreak/>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8F7FEC">
        <w:rPr>
          <w:rFonts w:ascii="Verdana" w:hAnsi="Verdana"/>
          <w:noProof/>
          <w:sz w:val="22"/>
          <w:szCs w:val="22"/>
        </w:rPr>
        <w:t>23</w:t>
      </w:r>
      <w:r w:rsidRPr="00611315">
        <w:rPr>
          <w:rFonts w:ascii="Verdana" w:hAnsi="Verdana"/>
          <w:sz w:val="22"/>
          <w:szCs w:val="22"/>
        </w:rPr>
        <w:fldChar w:fldCharType="end"/>
      </w:r>
      <w:r w:rsidRPr="00611315">
        <w:rPr>
          <w:rFonts w:ascii="Verdana" w:hAnsi="Verdana"/>
          <w:sz w:val="22"/>
          <w:szCs w:val="22"/>
        </w:rPr>
        <w:t>. Comparativo convocatorias no limitadas a MiPymes</w:t>
      </w:r>
      <w:bookmarkEnd w:id="459"/>
      <w:bookmarkEnd w:id="460"/>
    </w:p>
    <w:p w14:paraId="30045883" w14:textId="716C39A8" w:rsidR="0074636C" w:rsidRPr="00611315" w:rsidRDefault="00532981" w:rsidP="00656205">
      <w:pPr>
        <w:jc w:val="both"/>
        <w:rPr>
          <w:rFonts w:ascii="Verdana" w:hAnsi="Verdana" w:cs="Arial"/>
          <w:sz w:val="22"/>
          <w:szCs w:val="22"/>
        </w:rPr>
      </w:pPr>
      <w:r w:rsidRPr="00611315">
        <w:rPr>
          <w:rFonts w:ascii="Verdana" w:hAnsi="Verdana" w:cs="Arial"/>
          <w:noProof/>
          <w:sz w:val="22"/>
          <w:szCs w:val="22"/>
        </w:rPr>
        <w:drawing>
          <wp:inline distT="0" distB="0" distL="0" distR="0" wp14:anchorId="0381A91F" wp14:editId="57708628">
            <wp:extent cx="6120765" cy="2169795"/>
            <wp:effectExtent l="0" t="0" r="635" b="1905"/>
            <wp:docPr id="6577235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723506" name=""/>
                    <pic:cNvPicPr/>
                  </pic:nvPicPr>
                  <pic:blipFill>
                    <a:blip r:embed="rId57"/>
                    <a:stretch>
                      <a:fillRect/>
                    </a:stretch>
                  </pic:blipFill>
                  <pic:spPr>
                    <a:xfrm>
                      <a:off x="0" y="0"/>
                      <a:ext cx="6120765" cy="2169795"/>
                    </a:xfrm>
                    <a:prstGeom prst="rect">
                      <a:avLst/>
                    </a:prstGeom>
                  </pic:spPr>
                </pic:pic>
              </a:graphicData>
            </a:graphic>
          </wp:inline>
        </w:drawing>
      </w:r>
    </w:p>
    <w:p w14:paraId="0DE17B1F" w14:textId="4F82A338" w:rsidR="00182C33" w:rsidRPr="008F7FEC" w:rsidRDefault="008F7FEC" w:rsidP="00656205">
      <w:pPr>
        <w:jc w:val="center"/>
        <w:rPr>
          <w:rFonts w:ascii="Verdana" w:hAnsi="Verdana" w:cs="Arial"/>
          <w:sz w:val="32"/>
          <w:szCs w:val="32"/>
        </w:rPr>
      </w:pPr>
      <w:r w:rsidRPr="008F7FEC">
        <w:rPr>
          <w:rFonts w:ascii="Verdana" w:hAnsi="Verdana" w:cs="Arial"/>
          <w:b/>
          <w:bCs/>
          <w:sz w:val="22"/>
          <w:szCs w:val="22"/>
        </w:rPr>
        <w:t>Fuente:</w:t>
      </w:r>
      <w:r w:rsidRPr="008F7FEC">
        <w:rPr>
          <w:rFonts w:ascii="Verdana" w:hAnsi="Verdana" w:cs="Arial"/>
          <w:sz w:val="22"/>
          <w:szCs w:val="22"/>
        </w:rPr>
        <w:t xml:space="preserve"> elaboración propia</w:t>
      </w:r>
    </w:p>
    <w:p w14:paraId="07CC12DE" w14:textId="77777777" w:rsidR="00656205" w:rsidRPr="00611315" w:rsidRDefault="00656205" w:rsidP="00656205">
      <w:pPr>
        <w:jc w:val="center"/>
        <w:rPr>
          <w:rFonts w:ascii="Verdana" w:hAnsi="Verdana" w:cs="Arial"/>
          <w:sz w:val="22"/>
          <w:szCs w:val="22"/>
        </w:rPr>
      </w:pPr>
    </w:p>
    <w:p w14:paraId="38C3FEB5" w14:textId="205E3EB5" w:rsidR="00B465E5" w:rsidRPr="00611315" w:rsidRDefault="00656205" w:rsidP="00954F93">
      <w:pPr>
        <w:jc w:val="both"/>
        <w:rPr>
          <w:rFonts w:ascii="Verdana" w:hAnsi="Verdana" w:cs="Arial"/>
          <w:b/>
          <w:bCs/>
          <w:sz w:val="22"/>
          <w:szCs w:val="22"/>
        </w:rPr>
      </w:pPr>
      <w:r w:rsidRPr="00611315">
        <w:rPr>
          <w:rFonts w:ascii="Verdana" w:hAnsi="Verdana" w:cs="Arial"/>
          <w:sz w:val="22"/>
          <w:szCs w:val="22"/>
        </w:rPr>
        <w:t>Y</w:t>
      </w:r>
      <w:r w:rsidR="1713C5C6" w:rsidRPr="00611315">
        <w:rPr>
          <w:rFonts w:ascii="Verdana" w:hAnsi="Verdana" w:cs="Arial"/>
          <w:sz w:val="22"/>
          <w:szCs w:val="22"/>
        </w:rPr>
        <w:t>,</w:t>
      </w:r>
      <w:r w:rsidRPr="00611315">
        <w:rPr>
          <w:rFonts w:ascii="Verdana" w:hAnsi="Verdana" w:cs="Arial"/>
          <w:sz w:val="22"/>
          <w:szCs w:val="22"/>
        </w:rPr>
        <w:t xml:space="preserve"> para las convocatorias limitadas a </w:t>
      </w:r>
      <w:proofErr w:type="spellStart"/>
      <w:r w:rsidRPr="00611315">
        <w:rPr>
          <w:rFonts w:ascii="Verdana" w:hAnsi="Verdana" w:cs="Arial"/>
          <w:sz w:val="22"/>
          <w:szCs w:val="22"/>
        </w:rPr>
        <w:t>Mipyme</w:t>
      </w:r>
      <w:proofErr w:type="spellEnd"/>
      <w:r w:rsidRPr="00611315">
        <w:rPr>
          <w:rFonts w:ascii="Verdana" w:hAnsi="Verdana" w:cs="Arial"/>
          <w:sz w:val="22"/>
          <w:szCs w:val="22"/>
        </w:rPr>
        <w:t>:</w:t>
      </w:r>
    </w:p>
    <w:p w14:paraId="2BBA3667" w14:textId="77777777" w:rsidR="00B465E5" w:rsidRPr="00611315" w:rsidRDefault="00B465E5" w:rsidP="00656205">
      <w:pPr>
        <w:rPr>
          <w:rFonts w:ascii="Verdana" w:hAnsi="Verdana" w:cs="Arial"/>
          <w:b/>
          <w:bCs/>
          <w:sz w:val="22"/>
          <w:szCs w:val="22"/>
        </w:rPr>
      </w:pPr>
    </w:p>
    <w:p w14:paraId="695C8272" w14:textId="6F055027" w:rsidR="009D773D" w:rsidRPr="00611315" w:rsidRDefault="00E345C8" w:rsidP="005C7E10">
      <w:pPr>
        <w:pStyle w:val="Descripcin"/>
        <w:jc w:val="center"/>
        <w:rPr>
          <w:rFonts w:ascii="Verdana" w:hAnsi="Verdana" w:cs="Arial"/>
          <w:b w:val="0"/>
          <w:bCs w:val="0"/>
          <w:sz w:val="24"/>
          <w:szCs w:val="24"/>
        </w:rPr>
      </w:pPr>
      <w:bookmarkStart w:id="461" w:name="_Toc180136831"/>
      <w:bookmarkStart w:id="462" w:name="_Toc231368691"/>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8F7FEC">
        <w:rPr>
          <w:rFonts w:ascii="Verdana" w:hAnsi="Verdana"/>
          <w:noProof/>
          <w:sz w:val="22"/>
          <w:szCs w:val="22"/>
        </w:rPr>
        <w:t>24</w:t>
      </w:r>
      <w:r w:rsidRPr="00611315">
        <w:rPr>
          <w:rFonts w:ascii="Verdana" w:hAnsi="Verdana"/>
          <w:sz w:val="22"/>
          <w:szCs w:val="22"/>
        </w:rPr>
        <w:fldChar w:fldCharType="end"/>
      </w:r>
      <w:r w:rsidRPr="00611315">
        <w:rPr>
          <w:rFonts w:ascii="Verdana" w:hAnsi="Verdana"/>
          <w:sz w:val="22"/>
          <w:szCs w:val="22"/>
        </w:rPr>
        <w:t>. Comparativo convocatorias limitadas a MiPymes</w:t>
      </w:r>
      <w:bookmarkEnd w:id="461"/>
      <w:bookmarkEnd w:id="462"/>
    </w:p>
    <w:p w14:paraId="2D60FF43" w14:textId="5A98625F" w:rsidR="009D773D" w:rsidRPr="00611315" w:rsidRDefault="00BA691B" w:rsidP="00656205">
      <w:pPr>
        <w:rPr>
          <w:rFonts w:ascii="Verdana" w:hAnsi="Verdana" w:cs="Arial"/>
          <w:b/>
          <w:bCs/>
          <w:sz w:val="22"/>
          <w:szCs w:val="22"/>
        </w:rPr>
      </w:pPr>
      <w:r w:rsidRPr="00611315">
        <w:rPr>
          <w:rFonts w:ascii="Verdana" w:hAnsi="Verdana" w:cs="Arial"/>
          <w:b/>
          <w:bCs/>
          <w:noProof/>
          <w:sz w:val="22"/>
          <w:szCs w:val="22"/>
        </w:rPr>
        <w:drawing>
          <wp:inline distT="0" distB="0" distL="0" distR="0" wp14:anchorId="783C593D" wp14:editId="3E3881D4">
            <wp:extent cx="6120765" cy="1960880"/>
            <wp:effectExtent l="0" t="0" r="635" b="0"/>
            <wp:docPr id="6787436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43602" name=""/>
                    <pic:cNvPicPr/>
                  </pic:nvPicPr>
                  <pic:blipFill>
                    <a:blip r:embed="rId58"/>
                    <a:stretch>
                      <a:fillRect/>
                    </a:stretch>
                  </pic:blipFill>
                  <pic:spPr>
                    <a:xfrm>
                      <a:off x="0" y="0"/>
                      <a:ext cx="6120765" cy="1960880"/>
                    </a:xfrm>
                    <a:prstGeom prst="rect">
                      <a:avLst/>
                    </a:prstGeom>
                  </pic:spPr>
                </pic:pic>
              </a:graphicData>
            </a:graphic>
          </wp:inline>
        </w:drawing>
      </w:r>
      <w:r w:rsidRPr="00611315" w:rsidDel="001B455D">
        <w:rPr>
          <w:rFonts w:ascii="Verdana" w:hAnsi="Verdana" w:cs="Arial"/>
          <w:b/>
          <w:bCs/>
          <w:sz w:val="22"/>
          <w:szCs w:val="22"/>
        </w:rPr>
        <w:t xml:space="preserve"> </w:t>
      </w:r>
    </w:p>
    <w:p w14:paraId="137ED5F9" w14:textId="77777777" w:rsidR="008F7FEC" w:rsidRPr="008F7FEC" w:rsidRDefault="008F7FEC" w:rsidP="008F7FEC">
      <w:pPr>
        <w:jc w:val="center"/>
        <w:rPr>
          <w:rFonts w:ascii="Verdana" w:hAnsi="Verdana" w:cs="Arial"/>
          <w:sz w:val="32"/>
          <w:szCs w:val="32"/>
        </w:rPr>
      </w:pPr>
      <w:r w:rsidRPr="008F7FEC">
        <w:rPr>
          <w:rFonts w:ascii="Verdana" w:hAnsi="Verdana" w:cs="Arial"/>
          <w:b/>
          <w:bCs/>
          <w:sz w:val="22"/>
          <w:szCs w:val="22"/>
        </w:rPr>
        <w:t>Fuente:</w:t>
      </w:r>
      <w:r w:rsidRPr="008F7FEC">
        <w:rPr>
          <w:rFonts w:ascii="Verdana" w:hAnsi="Verdana" w:cs="Arial"/>
          <w:sz w:val="22"/>
          <w:szCs w:val="22"/>
        </w:rPr>
        <w:t xml:space="preserve"> elaboración propia</w:t>
      </w:r>
    </w:p>
    <w:p w14:paraId="4A93A677" w14:textId="77777777" w:rsidR="00493B28" w:rsidRPr="00611315" w:rsidRDefault="00493B28" w:rsidP="00954F93">
      <w:pPr>
        <w:rPr>
          <w:rFonts w:ascii="Verdana" w:hAnsi="Verdana" w:cs="Arial"/>
          <w:sz w:val="22"/>
          <w:szCs w:val="22"/>
        </w:rPr>
      </w:pPr>
    </w:p>
    <w:p w14:paraId="7C16E75B" w14:textId="291C5CE3" w:rsidR="00196025" w:rsidRPr="00611315" w:rsidRDefault="00656205" w:rsidP="00136BF0">
      <w:pPr>
        <w:jc w:val="both"/>
        <w:rPr>
          <w:rFonts w:ascii="Verdana" w:hAnsi="Verdana" w:cs="Arial"/>
          <w:sz w:val="22"/>
          <w:szCs w:val="22"/>
        </w:rPr>
      </w:pPr>
      <w:r w:rsidRPr="00611315">
        <w:rPr>
          <w:rFonts w:ascii="Verdana" w:hAnsi="Verdana" w:cs="Arial"/>
          <w:sz w:val="22"/>
          <w:szCs w:val="22"/>
        </w:rPr>
        <w:t>Como se puede ver, se disminuyeron las ponderaciones sobre los aspectos de oferta económica y se trasladaron a los factores de calidad, de manera que busque una relación más armónica entre calidad y precio.</w:t>
      </w:r>
      <w:r w:rsidR="00281439" w:rsidRPr="00611315">
        <w:rPr>
          <w:rFonts w:ascii="Verdana" w:hAnsi="Verdana" w:cs="Arial"/>
          <w:sz w:val="22"/>
          <w:szCs w:val="22"/>
        </w:rPr>
        <w:t xml:space="preserve"> </w:t>
      </w:r>
      <w:r w:rsidR="00196025" w:rsidRPr="00611315">
        <w:rPr>
          <w:rFonts w:ascii="Verdana" w:hAnsi="Verdana" w:cs="Arial"/>
          <w:sz w:val="22"/>
          <w:szCs w:val="22"/>
        </w:rPr>
        <w:t xml:space="preserve">En igual sentido, se </w:t>
      </w:r>
      <w:r w:rsidR="00136BF0" w:rsidRPr="00611315">
        <w:rPr>
          <w:rFonts w:ascii="Verdana" w:hAnsi="Verdana" w:cs="Arial"/>
          <w:sz w:val="22"/>
          <w:szCs w:val="22"/>
        </w:rPr>
        <w:t xml:space="preserve">incluyó la </w:t>
      </w:r>
      <w:r w:rsidR="00281439" w:rsidRPr="00611315">
        <w:rPr>
          <w:rFonts w:ascii="Verdana" w:hAnsi="Verdana" w:cs="Arial"/>
          <w:sz w:val="22"/>
          <w:szCs w:val="22"/>
        </w:rPr>
        <w:t>ponderación</w:t>
      </w:r>
      <w:r w:rsidR="00136BF0" w:rsidRPr="00611315">
        <w:rPr>
          <w:rFonts w:ascii="Verdana" w:hAnsi="Verdana" w:cs="Arial"/>
          <w:sz w:val="22"/>
          <w:szCs w:val="22"/>
        </w:rPr>
        <w:t xml:space="preserve"> para “Empleadores, emprendimientos y empresa de personas con discapacidad”, sobre los cuales se otorga dos puntos</w:t>
      </w:r>
      <w:r w:rsidR="00281439" w:rsidRPr="00611315">
        <w:rPr>
          <w:rFonts w:ascii="Verdana" w:hAnsi="Verdana" w:cs="Arial"/>
          <w:sz w:val="22"/>
          <w:szCs w:val="22"/>
        </w:rPr>
        <w:t>.</w:t>
      </w:r>
    </w:p>
    <w:p w14:paraId="0C103164" w14:textId="77777777" w:rsidR="00281439" w:rsidRPr="00611315" w:rsidRDefault="00281439" w:rsidP="00954F93">
      <w:pPr>
        <w:jc w:val="both"/>
        <w:rPr>
          <w:rFonts w:ascii="Verdana" w:hAnsi="Verdana" w:cs="Arial"/>
          <w:sz w:val="22"/>
          <w:szCs w:val="22"/>
        </w:rPr>
      </w:pPr>
    </w:p>
    <w:p w14:paraId="2B491D16" w14:textId="5A6656F9" w:rsidR="00656205" w:rsidRPr="00611315" w:rsidRDefault="00656205" w:rsidP="00656205">
      <w:pPr>
        <w:jc w:val="both"/>
        <w:rPr>
          <w:rFonts w:ascii="Verdana" w:hAnsi="Verdana" w:cs="Arial"/>
          <w:sz w:val="22"/>
          <w:szCs w:val="22"/>
        </w:rPr>
      </w:pPr>
      <w:r w:rsidRPr="00611315">
        <w:rPr>
          <w:rFonts w:ascii="Verdana" w:hAnsi="Verdana" w:cs="Arial"/>
          <w:sz w:val="22"/>
          <w:szCs w:val="22"/>
        </w:rPr>
        <w:t>Un análisis que se realizó sobre una pequeña muestra de procesos que se adelantaron a través de</w:t>
      </w:r>
      <w:r w:rsidR="762340F2" w:rsidRPr="00611315">
        <w:rPr>
          <w:rFonts w:ascii="Verdana" w:hAnsi="Verdana" w:cs="Arial"/>
          <w:sz w:val="22"/>
          <w:szCs w:val="22"/>
        </w:rPr>
        <w:t>l</w:t>
      </w:r>
      <w:r w:rsidRPr="00611315">
        <w:rPr>
          <w:rFonts w:ascii="Verdana" w:hAnsi="Verdana" w:cs="Arial"/>
          <w:sz w:val="22"/>
          <w:szCs w:val="22"/>
        </w:rPr>
        <w:t xml:space="preserve"> S</w:t>
      </w:r>
      <w:r w:rsidR="22FE8115" w:rsidRPr="00611315">
        <w:rPr>
          <w:rFonts w:ascii="Verdana" w:hAnsi="Verdana" w:cs="Arial"/>
          <w:sz w:val="22"/>
          <w:szCs w:val="22"/>
        </w:rPr>
        <w:t>ECOP</w:t>
      </w:r>
      <w:r w:rsidRPr="00611315">
        <w:rPr>
          <w:rFonts w:ascii="Verdana" w:hAnsi="Verdana" w:cs="Arial"/>
          <w:sz w:val="22"/>
          <w:szCs w:val="22"/>
        </w:rPr>
        <w:t xml:space="preserve"> I y II, mostró como fue el comportamiento de estos criterios en un segmento de procesos de construcción, mantenimiento de vías primarias, secundarias y terciarias, puentes y vías urbanas, con diferentes valores de presupuesto. Allí se encontró que los criterios de calidad que más se aplican, son los correspondientes a Condiciones funcionales de la maquinaria, seguido de la implementación de un plan de calidad y sobre estos procesos se encontró que las entidades solicitan la aplicación principalmente y de manera simultánea de estos dos factores, tal como se puede apreciar en las gráficas que se muestran a continuación, lo que evidencia la posibilidad de eliminar el factor de Implementación de un programa de Gerencia de Proyectos:</w:t>
      </w:r>
    </w:p>
    <w:p w14:paraId="386B57C8" w14:textId="77777777" w:rsidR="009B496D" w:rsidRDefault="009B496D" w:rsidP="00656205">
      <w:pPr>
        <w:jc w:val="both"/>
        <w:rPr>
          <w:rFonts w:ascii="Verdana" w:hAnsi="Verdana" w:cs="Arial"/>
          <w:sz w:val="22"/>
          <w:szCs w:val="22"/>
        </w:rPr>
      </w:pPr>
    </w:p>
    <w:p w14:paraId="2FF3C47F" w14:textId="77777777" w:rsidR="009B496D" w:rsidRPr="00611315" w:rsidRDefault="009B496D" w:rsidP="009B496D">
      <w:pPr>
        <w:pStyle w:val="Prrafodelista"/>
        <w:spacing w:after="0"/>
        <w:ind w:left="426"/>
        <w:rPr>
          <w:rFonts w:ascii="Verdana" w:hAnsi="Verdana" w:cs="Arial"/>
          <w:lang w:val="es-MX"/>
        </w:rPr>
      </w:pPr>
    </w:p>
    <w:p w14:paraId="2EED9B80" w14:textId="02246C45" w:rsidR="00656205" w:rsidRPr="00611315" w:rsidRDefault="0075540D" w:rsidP="0075540D">
      <w:pPr>
        <w:jc w:val="center"/>
        <w:rPr>
          <w:rFonts w:ascii="Verdana" w:hAnsi="Verdana" w:cs="Arial"/>
          <w:b/>
          <w:sz w:val="22"/>
          <w:szCs w:val="22"/>
        </w:rPr>
      </w:pPr>
      <w:bookmarkStart w:id="463" w:name="_Toc180136806"/>
      <w:bookmarkStart w:id="464" w:name="_Toc231368812"/>
      <w:r w:rsidRPr="00611315">
        <w:rPr>
          <w:rFonts w:ascii="Verdana" w:eastAsia="Calibri" w:hAnsi="Verdana"/>
          <w:b/>
          <w:sz w:val="22"/>
          <w:szCs w:val="22"/>
          <w:lang w:val="es-ES" w:eastAsia="en-US"/>
        </w:rPr>
        <w:t xml:space="preserve">Gráfica </w:t>
      </w:r>
      <w:r w:rsidRPr="00611315">
        <w:rPr>
          <w:rFonts w:ascii="Verdana" w:eastAsia="Calibri" w:hAnsi="Verdana"/>
          <w:b/>
          <w:sz w:val="22"/>
          <w:szCs w:val="22"/>
          <w:lang w:val="es-ES" w:eastAsia="en-US"/>
        </w:rPr>
        <w:fldChar w:fldCharType="begin"/>
      </w:r>
      <w:r w:rsidRPr="00611315">
        <w:rPr>
          <w:rFonts w:ascii="Verdana" w:eastAsia="Calibri" w:hAnsi="Verdana"/>
          <w:b/>
          <w:sz w:val="22"/>
          <w:szCs w:val="22"/>
          <w:lang w:val="es-ES" w:eastAsia="en-US"/>
        </w:rPr>
        <w:instrText xml:space="preserve"> SEQ Gráfica \* ARABIC </w:instrText>
      </w:r>
      <w:r w:rsidRPr="00611315">
        <w:rPr>
          <w:rFonts w:ascii="Verdana" w:eastAsia="Calibri" w:hAnsi="Verdana"/>
          <w:b/>
          <w:sz w:val="22"/>
          <w:szCs w:val="22"/>
          <w:lang w:val="es-ES" w:eastAsia="en-US"/>
        </w:rPr>
        <w:fldChar w:fldCharType="separate"/>
      </w:r>
      <w:r w:rsidR="00973CF5">
        <w:rPr>
          <w:rFonts w:ascii="Verdana" w:eastAsia="Calibri" w:hAnsi="Verdana"/>
          <w:b/>
          <w:noProof/>
          <w:sz w:val="22"/>
          <w:szCs w:val="22"/>
          <w:lang w:val="es-ES" w:eastAsia="en-US"/>
        </w:rPr>
        <w:t>37</w:t>
      </w:r>
      <w:r w:rsidRPr="00611315">
        <w:rPr>
          <w:rFonts w:ascii="Verdana" w:eastAsia="Calibri" w:hAnsi="Verdana"/>
          <w:b/>
          <w:sz w:val="22"/>
          <w:szCs w:val="22"/>
          <w:lang w:val="es-ES" w:eastAsia="en-US"/>
        </w:rPr>
        <w:fldChar w:fldCharType="end"/>
      </w:r>
      <w:r w:rsidRPr="00611315">
        <w:rPr>
          <w:rFonts w:ascii="Verdana" w:eastAsia="Calibri" w:hAnsi="Verdana"/>
          <w:b/>
          <w:sz w:val="22"/>
          <w:szCs w:val="22"/>
          <w:lang w:val="es-ES" w:eastAsia="en-US"/>
        </w:rPr>
        <w:t xml:space="preserve">. </w:t>
      </w:r>
      <w:r w:rsidRPr="00EB745F">
        <w:rPr>
          <w:rFonts w:ascii="Verdana" w:eastAsia="Calibri" w:hAnsi="Verdana"/>
          <w:b/>
          <w:sz w:val="22"/>
          <w:szCs w:val="22"/>
          <w:lang w:val="es-ES" w:eastAsia="en-US"/>
        </w:rPr>
        <w:t>Factores de Calidad</w:t>
      </w:r>
      <w:bookmarkEnd w:id="463"/>
      <w:bookmarkEnd w:id="464"/>
    </w:p>
    <w:p w14:paraId="313B111E" w14:textId="466B6163" w:rsidR="13B8AE1C" w:rsidRPr="00611315" w:rsidRDefault="13B8AE1C" w:rsidP="13B8AE1C">
      <w:pPr>
        <w:jc w:val="center"/>
        <w:rPr>
          <w:rFonts w:ascii="Verdana" w:eastAsia="Calibri" w:hAnsi="Verdana"/>
          <w:b/>
          <w:bCs/>
          <w:sz w:val="22"/>
          <w:szCs w:val="22"/>
          <w:lang w:val="es-ES" w:eastAsia="en-US"/>
        </w:rPr>
      </w:pPr>
    </w:p>
    <w:p w14:paraId="30BB2DEA" w14:textId="39224223" w:rsidR="00493B28" w:rsidRPr="00611315" w:rsidRDefault="1080E4CA" w:rsidP="00656205">
      <w:pPr>
        <w:jc w:val="center"/>
        <w:rPr>
          <w:rFonts w:ascii="Verdana" w:hAnsi="Verdana" w:cs="Arial"/>
          <w:b/>
          <w:bCs/>
          <w:sz w:val="22"/>
          <w:szCs w:val="22"/>
        </w:rPr>
      </w:pPr>
      <w:r w:rsidRPr="00611315">
        <w:rPr>
          <w:rFonts w:ascii="Verdana" w:hAnsi="Verdana" w:cs="Arial"/>
          <w:sz w:val="22"/>
          <w:szCs w:val="22"/>
        </w:rPr>
        <w:t xml:space="preserve">    </w:t>
      </w:r>
      <w:r w:rsidR="00656205" w:rsidRPr="00611315">
        <w:rPr>
          <w:rFonts w:ascii="Verdana" w:hAnsi="Verdana"/>
          <w:noProof/>
        </w:rPr>
        <mc:AlternateContent>
          <mc:Choice Requires="wpg">
            <w:drawing>
              <wp:inline distT="0" distB="0" distL="114300" distR="114300" wp14:anchorId="69A80E22" wp14:editId="60E037BC">
                <wp:extent cx="6072670" cy="1727200"/>
                <wp:effectExtent l="0" t="0" r="4445" b="6350"/>
                <wp:docPr id="1359942630" name="Grupo 2"/>
                <wp:cNvGraphicFramePr/>
                <a:graphic xmlns:a="http://schemas.openxmlformats.org/drawingml/2006/main">
                  <a:graphicData uri="http://schemas.microsoft.com/office/word/2010/wordprocessingGroup">
                    <wpg:wgp>
                      <wpg:cNvGrpSpPr/>
                      <wpg:grpSpPr>
                        <a:xfrm>
                          <a:off x="0" y="0"/>
                          <a:ext cx="6072670" cy="1727200"/>
                          <a:chOff x="0" y="0"/>
                          <a:chExt cx="6072670" cy="1727200"/>
                        </a:xfrm>
                      </wpg:grpSpPr>
                      <pic:pic xmlns:pic="http://schemas.openxmlformats.org/drawingml/2006/picture">
                        <pic:nvPicPr>
                          <pic:cNvPr id="656473801" name="Imagen 1"/>
                          <pic:cNvPicPr>
                            <a:picLocks noChangeAspect="1"/>
                          </pic:cNvPicPr>
                        </pic:nvPicPr>
                        <pic:blipFill>
                          <a:blip r:embed="rId59"/>
                          <a:stretch>
                            <a:fillRect/>
                          </a:stretch>
                        </pic:blipFill>
                        <pic:spPr>
                          <a:xfrm>
                            <a:off x="0" y="0"/>
                            <a:ext cx="2874010" cy="1727200"/>
                          </a:xfrm>
                          <a:prstGeom prst="rect">
                            <a:avLst/>
                          </a:prstGeom>
                        </pic:spPr>
                      </pic:pic>
                      <pic:pic xmlns:pic="http://schemas.openxmlformats.org/drawingml/2006/picture">
                        <pic:nvPicPr>
                          <pic:cNvPr id="1991328625" name="Imagen 1"/>
                          <pic:cNvPicPr>
                            <a:picLocks noChangeAspect="1"/>
                          </pic:cNvPicPr>
                        </pic:nvPicPr>
                        <pic:blipFill>
                          <a:blip r:embed="rId60"/>
                          <a:stretch>
                            <a:fillRect/>
                          </a:stretch>
                        </pic:blipFill>
                        <pic:spPr>
                          <a:xfrm>
                            <a:off x="3289465" y="0"/>
                            <a:ext cx="2783205" cy="1722755"/>
                          </a:xfrm>
                          <a:prstGeom prst="rect">
                            <a:avLst/>
                          </a:prstGeom>
                        </pic:spPr>
                      </pic:pic>
                    </wpg:wgp>
                  </a:graphicData>
                </a:graphic>
              </wp:inline>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xmlns:arto="http://schemas.microsoft.com/office/word/2006/arto">
            <w:pict w14:anchorId="33BF57C1">
              <v:group id="Grupo 2" style="width:478.15pt;height:136pt;mso-position-horizontal-relative:char;mso-position-vertical-relative:line" coordsize="60726,17272" o:spid="_x0000_s1026" w14:anchorId="150F43D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 style="position:absolute;width:28740;height:1727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">
                  <v:imagedata o:title="" r:id="rId76"/>
                </v:shape>
                <v:shape id="Imagen 1" style="position:absolute;left:32894;width:27832;height:1722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">
                  <v:imagedata o:title="" r:id="rId77"/>
                </v:shape>
                <w10:anchorlock/>
              </v:group>
            </w:pict>
          </mc:Fallback>
        </mc:AlternateContent>
      </w:r>
      <w:r w:rsidRPr="00611315">
        <w:rPr>
          <w:rFonts w:ascii="Verdana" w:hAnsi="Verdana" w:cs="Arial"/>
          <w:sz w:val="22"/>
          <w:szCs w:val="22"/>
        </w:rPr>
        <w:t xml:space="preserve"> </w:t>
      </w:r>
    </w:p>
    <w:p w14:paraId="72F32EBC" w14:textId="77777777" w:rsidR="008F7FEC" w:rsidRPr="008F7FEC" w:rsidRDefault="008F7FEC" w:rsidP="008F7FEC">
      <w:pPr>
        <w:jc w:val="center"/>
        <w:rPr>
          <w:rFonts w:ascii="Verdana" w:hAnsi="Verdana" w:cs="Arial"/>
          <w:sz w:val="32"/>
          <w:szCs w:val="32"/>
        </w:rPr>
      </w:pPr>
      <w:r w:rsidRPr="008F7FEC">
        <w:rPr>
          <w:rFonts w:ascii="Verdana" w:hAnsi="Verdana" w:cs="Arial"/>
          <w:b/>
          <w:bCs/>
          <w:sz w:val="22"/>
          <w:szCs w:val="22"/>
        </w:rPr>
        <w:t>Fuente:</w:t>
      </w:r>
      <w:r w:rsidRPr="008F7FEC">
        <w:rPr>
          <w:rFonts w:ascii="Verdana" w:hAnsi="Verdana" w:cs="Arial"/>
          <w:sz w:val="22"/>
          <w:szCs w:val="22"/>
        </w:rPr>
        <w:t xml:space="preserve"> elaboración propia</w:t>
      </w:r>
    </w:p>
    <w:p w14:paraId="01EA0C75" w14:textId="77777777" w:rsidR="00507F0D" w:rsidRDefault="00507F0D" w:rsidP="00507F0D">
      <w:pPr>
        <w:pStyle w:val="Normal0"/>
        <w:spacing w:after="0"/>
        <w:contextualSpacing/>
        <w:rPr>
          <w:rFonts w:ascii="Verdana" w:hAnsi="Verdana" w:cs="Arial"/>
        </w:rPr>
      </w:pPr>
    </w:p>
    <w:p w14:paraId="76C73DDF" w14:textId="77777777" w:rsidR="001667A7" w:rsidRPr="00611315" w:rsidRDefault="001667A7" w:rsidP="00507F0D">
      <w:pPr>
        <w:pStyle w:val="Normal0"/>
        <w:spacing w:after="0"/>
        <w:contextualSpacing/>
        <w:rPr>
          <w:rFonts w:ascii="Verdana" w:hAnsi="Verdana" w:cs="Arial"/>
        </w:rPr>
      </w:pPr>
    </w:p>
    <w:p w14:paraId="2238D8F9" w14:textId="2440FBFA" w:rsidR="0028314F" w:rsidRPr="000F455A" w:rsidRDefault="0028314F" w:rsidP="0028314F">
      <w:pPr>
        <w:pStyle w:val="Normal0"/>
        <w:numPr>
          <w:ilvl w:val="0"/>
          <w:numId w:val="94"/>
        </w:numPr>
        <w:spacing w:after="0"/>
        <w:contextualSpacing/>
        <w:rPr>
          <w:rFonts w:ascii="Verdana" w:hAnsi="Verdana" w:cs="Arial"/>
          <w:b/>
          <w:bCs/>
        </w:rPr>
      </w:pPr>
      <w:r w:rsidRPr="000F455A">
        <w:rPr>
          <w:rFonts w:ascii="Verdana" w:hAnsi="Verdana" w:cs="Arial"/>
          <w:b/>
          <w:bCs/>
        </w:rPr>
        <w:t xml:space="preserve">Justificación de la incorporación de puntajes adicionales en favor de las </w:t>
      </w:r>
      <w:proofErr w:type="spellStart"/>
      <w:r w:rsidRPr="000F455A">
        <w:rPr>
          <w:rFonts w:ascii="Verdana" w:hAnsi="Verdana" w:cs="Arial"/>
          <w:b/>
          <w:bCs/>
        </w:rPr>
        <w:t>Mipyme</w:t>
      </w:r>
      <w:proofErr w:type="spellEnd"/>
      <w:r w:rsidRPr="000F455A">
        <w:rPr>
          <w:rFonts w:ascii="Verdana" w:hAnsi="Verdana" w:cs="Arial"/>
          <w:b/>
          <w:bCs/>
        </w:rPr>
        <w:t>, emprendimientos y empresas de mujeres y emprendimientos y empresas de personas en condición de discapacidad</w:t>
      </w:r>
    </w:p>
    <w:p w14:paraId="61A865C6" w14:textId="77777777" w:rsidR="0028314F" w:rsidRPr="000F455A" w:rsidRDefault="0028314F" w:rsidP="00507F0D">
      <w:pPr>
        <w:pStyle w:val="Normal0"/>
        <w:spacing w:after="0"/>
        <w:contextualSpacing/>
        <w:rPr>
          <w:rFonts w:ascii="Verdana" w:hAnsi="Verdana" w:cs="Arial"/>
        </w:rPr>
      </w:pPr>
    </w:p>
    <w:p w14:paraId="0AEC93DD" w14:textId="77777777" w:rsidR="00507F0D" w:rsidRPr="000F455A" w:rsidRDefault="00507F0D" w:rsidP="00507F0D">
      <w:pPr>
        <w:pStyle w:val="Normal0"/>
        <w:spacing w:after="0"/>
        <w:contextualSpacing/>
        <w:rPr>
          <w:rFonts w:ascii="Verdana" w:hAnsi="Verdana" w:cs="Arial"/>
        </w:rPr>
      </w:pPr>
      <w:r w:rsidRPr="000F455A">
        <w:rPr>
          <w:rFonts w:ascii="Verdana" w:hAnsi="Verdana" w:cs="Arial"/>
        </w:rPr>
        <w:t xml:space="preserve">El Decreto 1860 de 2021 que modifica el Decreto 1082 de 2015 reglamenta los puntajes adicionales, al señalar que teniendo en cuenta los criterios de clasificación empresarial, podrán establecerse puntajes adicionales para las </w:t>
      </w:r>
      <w:proofErr w:type="spellStart"/>
      <w:r w:rsidRPr="000F455A">
        <w:rPr>
          <w:rFonts w:ascii="Verdana" w:hAnsi="Verdana" w:cs="Arial"/>
        </w:rPr>
        <w:t>Mipyme</w:t>
      </w:r>
      <w:proofErr w:type="spellEnd"/>
      <w:r w:rsidRPr="000F455A">
        <w:rPr>
          <w:rFonts w:ascii="Verdana" w:hAnsi="Verdana" w:cs="Arial"/>
        </w:rPr>
        <w:t xml:space="preserve"> y emprendimientos y empresas de mujeres, los cuales no podrán superar el cero coma veinticinco por ciento (0,25%) del total de los puntos establecidos en el pliego de condiciones. </w:t>
      </w:r>
    </w:p>
    <w:p w14:paraId="676877A2" w14:textId="77777777" w:rsidR="00DA44CC" w:rsidRPr="000F455A" w:rsidRDefault="00DA44CC" w:rsidP="00507F0D">
      <w:pPr>
        <w:pStyle w:val="Normal0"/>
        <w:spacing w:after="0"/>
        <w:contextualSpacing/>
        <w:rPr>
          <w:rFonts w:ascii="Verdana" w:hAnsi="Verdana" w:cs="Arial"/>
        </w:rPr>
      </w:pPr>
    </w:p>
    <w:p w14:paraId="1AD123C9" w14:textId="696E1182" w:rsidR="00DA44CC" w:rsidRPr="000F455A" w:rsidRDefault="00DA44CC" w:rsidP="00507F0D">
      <w:pPr>
        <w:pStyle w:val="Normal0"/>
        <w:spacing w:after="0"/>
        <w:contextualSpacing/>
        <w:rPr>
          <w:rFonts w:ascii="Verdana" w:hAnsi="Verdana" w:cs="Arial"/>
        </w:rPr>
      </w:pPr>
      <w:r w:rsidRPr="000F455A">
        <w:rPr>
          <w:rFonts w:ascii="Verdana" w:hAnsi="Verdana" w:cs="Arial"/>
        </w:rPr>
        <w:lastRenderedPageBreak/>
        <w:t xml:space="preserve">Adicionalmente y de acuerdo con lo </w:t>
      </w:r>
      <w:r w:rsidR="00BE6FAF" w:rsidRPr="000F455A">
        <w:rPr>
          <w:rFonts w:ascii="Verdana" w:hAnsi="Verdana" w:cs="Arial"/>
        </w:rPr>
        <w:t>establecido</w:t>
      </w:r>
      <w:r w:rsidRPr="000F455A">
        <w:rPr>
          <w:rFonts w:ascii="Verdana" w:hAnsi="Verdana" w:cs="Arial"/>
        </w:rPr>
        <w:t xml:space="preserve"> en el decreto 287 de 2026, se ajustó la ponderación </w:t>
      </w:r>
      <w:r w:rsidR="00BE6FAF" w:rsidRPr="000F455A">
        <w:rPr>
          <w:rFonts w:ascii="Verdana" w:hAnsi="Verdana" w:cs="Arial"/>
        </w:rPr>
        <w:t xml:space="preserve">que para “personas en condición de discapacidad” se les otorgaba un (1) punto y </w:t>
      </w:r>
      <w:r w:rsidR="00B72190" w:rsidRPr="000F455A">
        <w:rPr>
          <w:rFonts w:ascii="Verdana" w:hAnsi="Verdana" w:cs="Arial"/>
        </w:rPr>
        <w:t xml:space="preserve">se ajustó a dos (2) puntos y se </w:t>
      </w:r>
      <w:r w:rsidR="00C2234C" w:rsidRPr="000F455A">
        <w:rPr>
          <w:rFonts w:ascii="Verdana" w:hAnsi="Verdana" w:cs="Arial"/>
        </w:rPr>
        <w:t>cambió</w:t>
      </w:r>
      <w:r w:rsidR="00B72190" w:rsidRPr="000F455A">
        <w:rPr>
          <w:rFonts w:ascii="Verdana" w:hAnsi="Verdana" w:cs="Arial"/>
        </w:rPr>
        <w:t xml:space="preserve"> este aspecto </w:t>
      </w:r>
      <w:r w:rsidR="002B3F51" w:rsidRPr="000F455A">
        <w:rPr>
          <w:rFonts w:ascii="Verdana" w:hAnsi="Verdana" w:cs="Arial"/>
        </w:rPr>
        <w:t>por “Empleadores, emprendimientos y empresas de personas con discapacidad”</w:t>
      </w:r>
      <w:r w:rsidR="00C2234C" w:rsidRPr="000F455A">
        <w:rPr>
          <w:rFonts w:ascii="Verdana" w:hAnsi="Verdana" w:cs="Arial"/>
        </w:rPr>
        <w:t>, tanto para la modalidad de Licitación pública.</w:t>
      </w:r>
    </w:p>
    <w:p w14:paraId="2FF086F5" w14:textId="77777777" w:rsidR="00507F0D" w:rsidRPr="000F455A" w:rsidRDefault="00507F0D" w:rsidP="00507F0D">
      <w:pPr>
        <w:pStyle w:val="Normal0"/>
        <w:spacing w:after="0"/>
        <w:contextualSpacing/>
        <w:rPr>
          <w:rFonts w:ascii="Verdana" w:hAnsi="Verdana" w:cs="Arial"/>
        </w:rPr>
      </w:pPr>
    </w:p>
    <w:p w14:paraId="39762CAC" w14:textId="4761BBCF" w:rsidR="00507F0D" w:rsidRPr="000F455A" w:rsidRDefault="00507F0D" w:rsidP="00507F0D">
      <w:pPr>
        <w:pStyle w:val="Normal0"/>
        <w:spacing w:after="0"/>
        <w:contextualSpacing/>
        <w:rPr>
          <w:rFonts w:ascii="Verdana" w:hAnsi="Verdana" w:cs="Arial"/>
        </w:rPr>
      </w:pPr>
      <w:r w:rsidRPr="000F455A">
        <w:rPr>
          <w:rFonts w:ascii="Verdana" w:hAnsi="Verdana" w:cs="Arial"/>
        </w:rPr>
        <w:t xml:space="preserve">Bajo tal consideración, a continuación, se presentan la distribución del puntaje para las modalidades que se modifican actualmente </w:t>
      </w:r>
      <w:r w:rsidR="00D02DB4" w:rsidRPr="000F455A">
        <w:rPr>
          <w:rFonts w:ascii="Verdana" w:hAnsi="Verdana" w:cs="Arial"/>
        </w:rPr>
        <w:t xml:space="preserve">en el sector de </w:t>
      </w:r>
      <w:r w:rsidRPr="000F455A">
        <w:rPr>
          <w:rFonts w:ascii="Verdana" w:hAnsi="Verdana" w:cs="Arial"/>
        </w:rPr>
        <w:t xml:space="preserve">infraestructura de </w:t>
      </w:r>
      <w:r w:rsidR="00D02DB4" w:rsidRPr="000F455A">
        <w:rPr>
          <w:rFonts w:ascii="Verdana" w:hAnsi="Verdana" w:cs="Arial"/>
        </w:rPr>
        <w:t>agua potable y saneamiento básico</w:t>
      </w:r>
      <w:r w:rsidRPr="000F455A">
        <w:rPr>
          <w:rFonts w:ascii="Verdana" w:hAnsi="Verdana" w:cs="Arial"/>
        </w:rPr>
        <w:t xml:space="preserve">, de manera comparativa con la anterior versión en donde se puede ver, que los puntajes para los factores de </w:t>
      </w:r>
      <w:r w:rsidR="001667A7" w:rsidRPr="000F455A">
        <w:rPr>
          <w:rFonts w:ascii="Verdana" w:hAnsi="Verdana" w:cs="Arial"/>
        </w:rPr>
        <w:t>MiPymes</w:t>
      </w:r>
      <w:r w:rsidRPr="000F455A">
        <w:rPr>
          <w:rFonts w:ascii="Verdana" w:hAnsi="Verdana" w:cs="Arial"/>
        </w:rPr>
        <w:t xml:space="preserve"> y empresas y Emprendimientos de Mujeres se mantienen</w:t>
      </w:r>
      <w:r w:rsidR="00C73936" w:rsidRPr="000F455A">
        <w:rPr>
          <w:rFonts w:ascii="Verdana" w:hAnsi="Verdana" w:cs="Arial"/>
        </w:rPr>
        <w:t xml:space="preserve"> y se ajustan los que corresponden a Empleadores, emprendimientos y empresas de personas con discapacidad</w:t>
      </w:r>
      <w:r w:rsidRPr="000F455A">
        <w:rPr>
          <w:rFonts w:ascii="Verdana" w:hAnsi="Verdana" w:cs="Arial"/>
        </w:rPr>
        <w:t>.</w:t>
      </w:r>
    </w:p>
    <w:p w14:paraId="7391A8F8" w14:textId="77777777" w:rsidR="00263EB4" w:rsidRPr="000F455A" w:rsidRDefault="00263EB4" w:rsidP="00507F0D">
      <w:pPr>
        <w:pStyle w:val="Normal0"/>
        <w:spacing w:after="0"/>
        <w:contextualSpacing/>
        <w:rPr>
          <w:rFonts w:ascii="Verdana" w:hAnsi="Verdana" w:cs="Arial"/>
        </w:rPr>
      </w:pPr>
    </w:p>
    <w:p w14:paraId="059CA582" w14:textId="77777777" w:rsidR="00507F0D" w:rsidRPr="000F455A" w:rsidRDefault="00507F0D" w:rsidP="00507F0D">
      <w:pPr>
        <w:pStyle w:val="Normal0"/>
        <w:spacing w:after="0"/>
        <w:contextualSpacing/>
        <w:rPr>
          <w:rFonts w:ascii="Verdana" w:hAnsi="Verdana" w:cs="Arial"/>
        </w:rPr>
      </w:pPr>
    </w:p>
    <w:p w14:paraId="65860DF1" w14:textId="2C10EA15" w:rsidR="00507F0D" w:rsidRPr="000F455A" w:rsidRDefault="00507F0D" w:rsidP="00507F0D">
      <w:pPr>
        <w:pStyle w:val="Descripcin"/>
        <w:jc w:val="center"/>
        <w:rPr>
          <w:rFonts w:ascii="Verdana" w:hAnsi="Verdana" w:cs="Arial"/>
          <w:sz w:val="22"/>
          <w:szCs w:val="22"/>
        </w:rPr>
      </w:pPr>
      <w:bookmarkStart w:id="465" w:name="_Toc180136840"/>
      <w:bookmarkStart w:id="466" w:name="_Toc231368692"/>
      <w:r w:rsidRPr="000F455A">
        <w:rPr>
          <w:rFonts w:ascii="Verdana" w:hAnsi="Verdana"/>
          <w:sz w:val="22"/>
          <w:szCs w:val="22"/>
        </w:rPr>
        <w:t xml:space="preserve">Tabla </w:t>
      </w:r>
      <w:r w:rsidRPr="000F455A">
        <w:rPr>
          <w:rFonts w:ascii="Verdana" w:hAnsi="Verdana"/>
          <w:sz w:val="22"/>
          <w:szCs w:val="22"/>
        </w:rPr>
        <w:fldChar w:fldCharType="begin"/>
      </w:r>
      <w:r w:rsidRPr="000F455A">
        <w:rPr>
          <w:rFonts w:ascii="Verdana" w:hAnsi="Verdana"/>
          <w:sz w:val="22"/>
          <w:szCs w:val="22"/>
        </w:rPr>
        <w:instrText xml:space="preserve"> SEQ Tabla \* ARABIC </w:instrText>
      </w:r>
      <w:r w:rsidRPr="000F455A">
        <w:rPr>
          <w:rFonts w:ascii="Verdana" w:hAnsi="Verdana"/>
          <w:sz w:val="22"/>
          <w:szCs w:val="22"/>
        </w:rPr>
        <w:fldChar w:fldCharType="separate"/>
      </w:r>
      <w:r w:rsidR="001667A7">
        <w:rPr>
          <w:rFonts w:ascii="Verdana" w:hAnsi="Verdana"/>
          <w:noProof/>
          <w:sz w:val="22"/>
          <w:szCs w:val="22"/>
        </w:rPr>
        <w:t>25</w:t>
      </w:r>
      <w:r w:rsidRPr="000F455A">
        <w:rPr>
          <w:rFonts w:ascii="Verdana" w:hAnsi="Verdana"/>
          <w:sz w:val="22"/>
          <w:szCs w:val="22"/>
        </w:rPr>
        <w:fldChar w:fldCharType="end"/>
      </w:r>
      <w:r w:rsidRPr="000F455A">
        <w:rPr>
          <w:rFonts w:ascii="Verdana" w:hAnsi="Verdana"/>
          <w:sz w:val="22"/>
          <w:szCs w:val="22"/>
        </w:rPr>
        <w:t>. Ponderación Modalidad Licitación Pública</w:t>
      </w:r>
      <w:bookmarkEnd w:id="465"/>
      <w:bookmarkEnd w:id="466"/>
    </w:p>
    <w:p w14:paraId="62D1CCB6" w14:textId="15BDA1C4" w:rsidR="00507F0D" w:rsidRPr="000F455A" w:rsidRDefault="00892931" w:rsidP="00507F0D">
      <w:pPr>
        <w:pStyle w:val="Normal0"/>
        <w:spacing w:after="0"/>
        <w:contextualSpacing/>
        <w:rPr>
          <w:rFonts w:ascii="Verdana" w:hAnsi="Verdana" w:cs="Arial"/>
        </w:rPr>
      </w:pPr>
      <w:r w:rsidRPr="000F455A">
        <w:rPr>
          <w:rFonts w:ascii="Verdana" w:hAnsi="Verdana" w:cs="Arial"/>
          <w:noProof/>
        </w:rPr>
        <w:drawing>
          <wp:inline distT="0" distB="0" distL="0" distR="0" wp14:anchorId="545FE0E0" wp14:editId="05C52A01">
            <wp:extent cx="6120765" cy="2381693"/>
            <wp:effectExtent l="0" t="0" r="0" b="0"/>
            <wp:docPr id="472179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79787" name=""/>
                    <pic:cNvPicPr/>
                  </pic:nvPicPr>
                  <pic:blipFill>
                    <a:blip r:embed="rId78"/>
                    <a:stretch>
                      <a:fillRect/>
                    </a:stretch>
                  </pic:blipFill>
                  <pic:spPr>
                    <a:xfrm>
                      <a:off x="0" y="0"/>
                      <a:ext cx="6142896" cy="2390305"/>
                    </a:xfrm>
                    <a:prstGeom prst="rect">
                      <a:avLst/>
                    </a:prstGeom>
                  </pic:spPr>
                </pic:pic>
              </a:graphicData>
            </a:graphic>
          </wp:inline>
        </w:drawing>
      </w:r>
    </w:p>
    <w:p w14:paraId="79A76339" w14:textId="77777777" w:rsidR="001667A7" w:rsidRPr="008F7FEC" w:rsidRDefault="001667A7" w:rsidP="001667A7">
      <w:pPr>
        <w:jc w:val="center"/>
        <w:rPr>
          <w:rFonts w:ascii="Verdana" w:hAnsi="Verdana" w:cs="Arial"/>
          <w:sz w:val="32"/>
          <w:szCs w:val="32"/>
        </w:rPr>
      </w:pPr>
      <w:r w:rsidRPr="008F7FEC">
        <w:rPr>
          <w:rFonts w:ascii="Verdana" w:hAnsi="Verdana" w:cs="Arial"/>
          <w:b/>
          <w:bCs/>
          <w:sz w:val="22"/>
          <w:szCs w:val="22"/>
        </w:rPr>
        <w:t>Fuente:</w:t>
      </w:r>
      <w:r w:rsidRPr="008F7FEC">
        <w:rPr>
          <w:rFonts w:ascii="Verdana" w:hAnsi="Verdana" w:cs="Arial"/>
          <w:sz w:val="22"/>
          <w:szCs w:val="22"/>
        </w:rPr>
        <w:t xml:space="preserve"> elaboración propia</w:t>
      </w:r>
    </w:p>
    <w:p w14:paraId="25A74D1E" w14:textId="1FF0F302" w:rsidR="00507F0D" w:rsidRPr="000F455A" w:rsidRDefault="00507F0D" w:rsidP="00507F0D">
      <w:pPr>
        <w:pStyle w:val="Normal0"/>
        <w:spacing w:after="0"/>
        <w:contextualSpacing/>
        <w:jc w:val="center"/>
        <w:rPr>
          <w:rFonts w:ascii="Verdana" w:hAnsi="Verdana" w:cs="Arial"/>
          <w:sz w:val="16"/>
          <w:szCs w:val="16"/>
        </w:rPr>
      </w:pPr>
    </w:p>
    <w:p w14:paraId="42363C65" w14:textId="77777777" w:rsidR="00507F0D" w:rsidRPr="000F455A" w:rsidRDefault="00507F0D" w:rsidP="00507F0D">
      <w:pPr>
        <w:pStyle w:val="Normal0"/>
        <w:spacing w:after="0"/>
        <w:contextualSpacing/>
        <w:rPr>
          <w:rFonts w:ascii="Verdana" w:hAnsi="Verdana" w:cs="Arial"/>
        </w:rPr>
      </w:pPr>
    </w:p>
    <w:p w14:paraId="35B7D68B" w14:textId="77777777" w:rsidR="00507F0D" w:rsidRDefault="00507F0D" w:rsidP="00507F0D">
      <w:pPr>
        <w:jc w:val="both"/>
        <w:rPr>
          <w:rFonts w:ascii="Verdana" w:eastAsia="Calibri" w:hAnsi="Verdana" w:cs="Arial"/>
          <w:sz w:val="22"/>
          <w:szCs w:val="22"/>
          <w:lang w:val="es-ES" w:eastAsia="es-CO"/>
        </w:rPr>
      </w:pPr>
    </w:p>
    <w:p w14:paraId="347BABF6" w14:textId="77777777" w:rsidR="001667A7" w:rsidRDefault="001667A7" w:rsidP="00507F0D">
      <w:pPr>
        <w:jc w:val="both"/>
        <w:rPr>
          <w:rFonts w:ascii="Verdana" w:eastAsia="Calibri" w:hAnsi="Verdana" w:cs="Arial"/>
          <w:sz w:val="22"/>
          <w:szCs w:val="22"/>
          <w:lang w:val="es-ES" w:eastAsia="es-CO"/>
        </w:rPr>
      </w:pPr>
    </w:p>
    <w:p w14:paraId="73D1CA7E" w14:textId="77777777" w:rsidR="001667A7" w:rsidRDefault="001667A7" w:rsidP="00507F0D">
      <w:pPr>
        <w:jc w:val="both"/>
        <w:rPr>
          <w:rFonts w:ascii="Verdana" w:eastAsia="Calibri" w:hAnsi="Verdana" w:cs="Arial"/>
          <w:sz w:val="22"/>
          <w:szCs w:val="22"/>
          <w:lang w:val="es-ES" w:eastAsia="es-CO"/>
        </w:rPr>
      </w:pPr>
    </w:p>
    <w:p w14:paraId="66CA2C33" w14:textId="77777777" w:rsidR="001667A7" w:rsidRDefault="001667A7" w:rsidP="00507F0D">
      <w:pPr>
        <w:jc w:val="both"/>
        <w:rPr>
          <w:rFonts w:ascii="Verdana" w:eastAsia="Calibri" w:hAnsi="Verdana" w:cs="Arial"/>
          <w:sz w:val="22"/>
          <w:szCs w:val="22"/>
          <w:lang w:val="es-ES" w:eastAsia="es-CO"/>
        </w:rPr>
      </w:pPr>
    </w:p>
    <w:p w14:paraId="6629D964" w14:textId="77777777" w:rsidR="001667A7" w:rsidRDefault="001667A7" w:rsidP="00507F0D">
      <w:pPr>
        <w:jc w:val="both"/>
        <w:rPr>
          <w:rFonts w:ascii="Verdana" w:eastAsia="Calibri" w:hAnsi="Verdana" w:cs="Arial"/>
          <w:sz w:val="22"/>
          <w:szCs w:val="22"/>
          <w:lang w:val="es-ES" w:eastAsia="es-CO"/>
        </w:rPr>
      </w:pPr>
    </w:p>
    <w:p w14:paraId="1B47A10C" w14:textId="77777777" w:rsidR="001667A7" w:rsidRDefault="001667A7" w:rsidP="00507F0D">
      <w:pPr>
        <w:jc w:val="both"/>
        <w:rPr>
          <w:rFonts w:ascii="Verdana" w:eastAsia="Calibri" w:hAnsi="Verdana" w:cs="Arial"/>
          <w:sz w:val="22"/>
          <w:szCs w:val="22"/>
          <w:lang w:val="es-ES" w:eastAsia="es-CO"/>
        </w:rPr>
      </w:pPr>
    </w:p>
    <w:p w14:paraId="18494E5C" w14:textId="77777777" w:rsidR="001667A7" w:rsidRPr="000F455A" w:rsidRDefault="001667A7" w:rsidP="00507F0D">
      <w:pPr>
        <w:jc w:val="both"/>
        <w:rPr>
          <w:rFonts w:ascii="Verdana" w:eastAsia="Calibri" w:hAnsi="Verdana" w:cs="Arial"/>
          <w:sz w:val="22"/>
          <w:szCs w:val="22"/>
          <w:lang w:val="es-ES" w:eastAsia="es-CO"/>
        </w:rPr>
      </w:pPr>
    </w:p>
    <w:p w14:paraId="68AE62E4" w14:textId="52A59938" w:rsidR="00507F0D" w:rsidRPr="000F455A" w:rsidRDefault="00507F0D" w:rsidP="00507F0D">
      <w:pPr>
        <w:pStyle w:val="Descripcin"/>
        <w:jc w:val="center"/>
        <w:rPr>
          <w:rFonts w:ascii="Verdana" w:hAnsi="Verdana" w:cs="Arial"/>
          <w:sz w:val="24"/>
          <w:szCs w:val="24"/>
          <w:lang w:eastAsia="es-CO"/>
        </w:rPr>
      </w:pPr>
      <w:bookmarkStart w:id="467" w:name="_Toc180136816"/>
      <w:bookmarkStart w:id="468" w:name="_Toc231368813"/>
      <w:r w:rsidRPr="000F455A">
        <w:rPr>
          <w:rFonts w:ascii="Verdana" w:hAnsi="Verdana"/>
          <w:sz w:val="22"/>
          <w:szCs w:val="22"/>
        </w:rPr>
        <w:lastRenderedPageBreak/>
        <w:t xml:space="preserve">Gráfica </w:t>
      </w:r>
      <w:r w:rsidRPr="000F455A">
        <w:rPr>
          <w:rFonts w:ascii="Verdana" w:hAnsi="Verdana"/>
          <w:sz w:val="22"/>
          <w:szCs w:val="22"/>
        </w:rPr>
        <w:fldChar w:fldCharType="begin"/>
      </w:r>
      <w:r w:rsidRPr="000F455A">
        <w:rPr>
          <w:rFonts w:ascii="Verdana" w:hAnsi="Verdana"/>
          <w:sz w:val="22"/>
          <w:szCs w:val="22"/>
        </w:rPr>
        <w:instrText xml:space="preserve"> SEQ Gráfica \* ARABIC </w:instrText>
      </w:r>
      <w:r w:rsidRPr="000F455A">
        <w:rPr>
          <w:rFonts w:ascii="Verdana" w:hAnsi="Verdana"/>
          <w:sz w:val="22"/>
          <w:szCs w:val="22"/>
        </w:rPr>
        <w:fldChar w:fldCharType="separate"/>
      </w:r>
      <w:r w:rsidR="00973CF5">
        <w:rPr>
          <w:rFonts w:ascii="Verdana" w:hAnsi="Verdana"/>
          <w:noProof/>
          <w:sz w:val="22"/>
          <w:szCs w:val="22"/>
        </w:rPr>
        <w:t>38</w:t>
      </w:r>
      <w:r w:rsidRPr="000F455A">
        <w:rPr>
          <w:rFonts w:ascii="Verdana" w:hAnsi="Verdana"/>
          <w:sz w:val="22"/>
          <w:szCs w:val="22"/>
        </w:rPr>
        <w:fldChar w:fldCharType="end"/>
      </w:r>
      <w:r w:rsidRPr="000F455A">
        <w:rPr>
          <w:rFonts w:ascii="Verdana" w:hAnsi="Verdana"/>
          <w:sz w:val="22"/>
          <w:szCs w:val="22"/>
        </w:rPr>
        <w:t>. Cumplimiento criterios de evaluación</w:t>
      </w:r>
      <w:bookmarkEnd w:id="467"/>
      <w:bookmarkEnd w:id="468"/>
    </w:p>
    <w:p w14:paraId="0514C137" w14:textId="77777777" w:rsidR="00507F0D" w:rsidRPr="000F455A" w:rsidRDefault="00507F0D" w:rsidP="00507F0D">
      <w:pPr>
        <w:contextualSpacing/>
        <w:jc w:val="center"/>
        <w:rPr>
          <w:rFonts w:ascii="Verdana" w:eastAsia="Calibri" w:hAnsi="Verdana" w:cs="Arial"/>
          <w:sz w:val="22"/>
          <w:szCs w:val="22"/>
          <w:lang w:val="es-ES" w:eastAsia="es-CO"/>
        </w:rPr>
      </w:pPr>
      <w:r w:rsidRPr="000F455A">
        <w:rPr>
          <w:rFonts w:ascii="Verdana" w:hAnsi="Verdana" w:cs="Arial"/>
          <w:noProof/>
          <w:sz w:val="22"/>
          <w:szCs w:val="22"/>
        </w:rPr>
        <w:drawing>
          <wp:inline distT="0" distB="0" distL="0" distR="0" wp14:anchorId="28CCC7D9" wp14:editId="01D70D77">
            <wp:extent cx="5277213" cy="2369185"/>
            <wp:effectExtent l="38100" t="0" r="0" b="12065"/>
            <wp:docPr id="1005469194" name="Gráfico 1">
              <a:extLst xmlns:a="http://schemas.openxmlformats.org/drawingml/2006/main">
                <a:ext uri="{FF2B5EF4-FFF2-40B4-BE49-F238E27FC236}">
                  <a16:creationId xmlns:a16="http://schemas.microsoft.com/office/drawing/2014/main" id="{34D689DC-094D-F45D-A949-D1DC954BBC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0844FC2D" w14:textId="77777777" w:rsidR="00507F0D" w:rsidRPr="001667A7" w:rsidRDefault="00507F0D" w:rsidP="00507F0D">
      <w:pPr>
        <w:jc w:val="center"/>
        <w:rPr>
          <w:rFonts w:ascii="Verdana" w:hAnsi="Verdana" w:cs="Arial"/>
          <w:sz w:val="22"/>
          <w:szCs w:val="22"/>
        </w:rPr>
      </w:pPr>
      <w:r w:rsidRPr="001667A7">
        <w:rPr>
          <w:rFonts w:ascii="Verdana" w:hAnsi="Verdana" w:cs="Arial"/>
          <w:b/>
          <w:bCs/>
          <w:sz w:val="22"/>
          <w:szCs w:val="22"/>
        </w:rPr>
        <w:t>Fuente</w:t>
      </w:r>
      <w:r w:rsidRPr="001667A7">
        <w:rPr>
          <w:rFonts w:ascii="Verdana" w:hAnsi="Verdana" w:cs="Arial"/>
          <w:sz w:val="22"/>
          <w:szCs w:val="22"/>
        </w:rPr>
        <w:t>: Elaboración propia con base en información del Sistema electrónico para la contratación pública</w:t>
      </w:r>
    </w:p>
    <w:p w14:paraId="598B0FBB" w14:textId="77777777" w:rsidR="00507F0D" w:rsidRPr="000F455A" w:rsidRDefault="00507F0D" w:rsidP="00507F0D">
      <w:pPr>
        <w:rPr>
          <w:rFonts w:ascii="Verdana" w:hAnsi="Verdana" w:cs="Arial"/>
          <w:sz w:val="22"/>
          <w:szCs w:val="22"/>
        </w:rPr>
      </w:pPr>
    </w:p>
    <w:p w14:paraId="46E75A6A" w14:textId="77777777" w:rsidR="00507F0D" w:rsidRPr="000F455A" w:rsidRDefault="00507F0D" w:rsidP="00507F0D">
      <w:pPr>
        <w:jc w:val="both"/>
        <w:rPr>
          <w:rFonts w:ascii="Verdana" w:hAnsi="Verdana" w:cs="Arial"/>
          <w:sz w:val="22"/>
          <w:szCs w:val="22"/>
        </w:rPr>
      </w:pPr>
      <w:r w:rsidRPr="000F455A">
        <w:rPr>
          <w:rFonts w:ascii="Verdana" w:hAnsi="Verdana" w:cs="Arial"/>
          <w:sz w:val="22"/>
          <w:szCs w:val="22"/>
        </w:rPr>
        <w:t>La gráfica anterior, se obtuvo como resultado de un análisis sobre una muestra de Procesos de Contratación analizados del SECOP I y II, en donde se busca determinar el comportamiento, específicamente procesos de construcción, mantenimiento, en actividades como vías urbanas, vías terciarias, secundarias y puentes. Frente al particular se encontró que aquellos procesos en donde se han aplicado Documentos Tipo vigente.</w:t>
      </w:r>
    </w:p>
    <w:p w14:paraId="34847A69" w14:textId="77777777" w:rsidR="00507F0D" w:rsidRPr="000F455A" w:rsidRDefault="00507F0D" w:rsidP="00507F0D">
      <w:pPr>
        <w:jc w:val="both"/>
        <w:rPr>
          <w:rFonts w:ascii="Verdana" w:hAnsi="Verdana" w:cs="Arial"/>
          <w:sz w:val="22"/>
          <w:szCs w:val="22"/>
        </w:rPr>
      </w:pPr>
    </w:p>
    <w:p w14:paraId="5958E92E" w14:textId="77777777" w:rsidR="00507F0D" w:rsidRPr="000F455A" w:rsidRDefault="00507F0D" w:rsidP="00507F0D">
      <w:pPr>
        <w:jc w:val="both"/>
        <w:rPr>
          <w:rFonts w:ascii="Verdana" w:hAnsi="Verdana" w:cs="Arial"/>
          <w:sz w:val="22"/>
          <w:szCs w:val="22"/>
        </w:rPr>
      </w:pPr>
      <w:r w:rsidRPr="000F455A">
        <w:rPr>
          <w:rFonts w:ascii="Verdana" w:hAnsi="Verdana" w:cs="Arial"/>
          <w:sz w:val="22"/>
          <w:szCs w:val="22"/>
        </w:rPr>
        <w:t xml:space="preserve">Esta Agencia consideró relevante mantener dichos criterios en la nueva versión de los documentos tipo y sobre los cuales recae este estudio los puntajes adicionales tanto para los oferentes que ostenten la calidad de </w:t>
      </w:r>
      <w:proofErr w:type="spellStart"/>
      <w:r w:rsidRPr="000F455A">
        <w:rPr>
          <w:rFonts w:ascii="Verdana" w:hAnsi="Verdana" w:cs="Arial"/>
          <w:sz w:val="22"/>
          <w:szCs w:val="22"/>
        </w:rPr>
        <w:t>Mipyme</w:t>
      </w:r>
      <w:proofErr w:type="spellEnd"/>
      <w:r w:rsidRPr="000F455A">
        <w:rPr>
          <w:rFonts w:ascii="Verdana" w:hAnsi="Verdana" w:cs="Arial"/>
          <w:sz w:val="22"/>
          <w:szCs w:val="22"/>
        </w:rPr>
        <w:t xml:space="preserve"> como para los proponentes que ostenten la calidad de emprendimiento y/o empresa de mujeres por la importancia que revisten estos sujetos para la reactivación económica del país.  </w:t>
      </w:r>
    </w:p>
    <w:p w14:paraId="42F67E26" w14:textId="77777777" w:rsidR="00507F0D" w:rsidRPr="000F455A" w:rsidRDefault="00507F0D" w:rsidP="00507F0D">
      <w:pPr>
        <w:jc w:val="both"/>
        <w:rPr>
          <w:rFonts w:ascii="Verdana" w:hAnsi="Verdana" w:cs="Arial"/>
          <w:sz w:val="22"/>
          <w:szCs w:val="22"/>
        </w:rPr>
      </w:pPr>
      <w:r w:rsidRPr="000F455A">
        <w:rPr>
          <w:rFonts w:ascii="Verdana" w:hAnsi="Verdana" w:cs="Arial"/>
          <w:sz w:val="22"/>
          <w:szCs w:val="22"/>
        </w:rPr>
        <w:t xml:space="preserve"> </w:t>
      </w:r>
    </w:p>
    <w:p w14:paraId="460DCBB3" w14:textId="3DDD90F1" w:rsidR="00271005" w:rsidRDefault="00507F0D" w:rsidP="009C1A8A">
      <w:pPr>
        <w:jc w:val="both"/>
        <w:rPr>
          <w:rFonts w:ascii="Verdana" w:hAnsi="Verdana" w:cs="Arial"/>
          <w:sz w:val="22"/>
          <w:szCs w:val="22"/>
        </w:rPr>
      </w:pPr>
      <w:r w:rsidRPr="000F455A">
        <w:rPr>
          <w:rFonts w:ascii="Verdana" w:hAnsi="Verdana" w:cs="Arial"/>
          <w:sz w:val="22"/>
          <w:szCs w:val="22"/>
        </w:rPr>
        <w:t xml:space="preserve">Así mismo, la incorporación de puntajes adicionales no solo promueve una mayor participación de las </w:t>
      </w:r>
      <w:proofErr w:type="spellStart"/>
      <w:r w:rsidRPr="000F455A">
        <w:rPr>
          <w:rFonts w:ascii="Verdana" w:hAnsi="Verdana" w:cs="Arial"/>
          <w:sz w:val="22"/>
          <w:szCs w:val="22"/>
        </w:rPr>
        <w:t>Mipyme</w:t>
      </w:r>
      <w:proofErr w:type="spellEnd"/>
      <w:r w:rsidRPr="000F455A">
        <w:rPr>
          <w:rFonts w:ascii="Verdana" w:hAnsi="Verdana" w:cs="Arial"/>
          <w:sz w:val="22"/>
          <w:szCs w:val="22"/>
        </w:rPr>
        <w:t xml:space="preserve"> y los emprendimientos y empresas de mujeres en el sistema de compras públicas, sino que además incrementa las posibilidades de que estos actores del mercado sean proveedores del Estado, ya que les otorga una ventaja significativa para que sean adjudicatarios de los procesos de selección.</w:t>
      </w:r>
      <w:r w:rsidRPr="00611315">
        <w:rPr>
          <w:rFonts w:ascii="Verdana" w:hAnsi="Verdana" w:cs="Arial"/>
          <w:sz w:val="22"/>
          <w:szCs w:val="22"/>
        </w:rPr>
        <w:t xml:space="preserve">  </w:t>
      </w:r>
    </w:p>
    <w:p w14:paraId="6C92B041" w14:textId="77777777" w:rsidR="00C8378C" w:rsidRPr="00611315" w:rsidRDefault="00C8378C" w:rsidP="009C1A8A">
      <w:pPr>
        <w:jc w:val="both"/>
        <w:rPr>
          <w:rFonts w:ascii="Verdana" w:hAnsi="Verdana" w:cs="Arial"/>
          <w:b/>
          <w:sz w:val="22"/>
          <w:szCs w:val="22"/>
        </w:rPr>
      </w:pPr>
    </w:p>
    <w:p w14:paraId="57F24814" w14:textId="77777777" w:rsidR="00F80EC6" w:rsidRPr="00611315" w:rsidRDefault="00F80EC6" w:rsidP="00656205">
      <w:pPr>
        <w:jc w:val="center"/>
        <w:rPr>
          <w:rFonts w:ascii="Verdana" w:hAnsi="Verdana" w:cs="Arial"/>
          <w:b/>
          <w:sz w:val="22"/>
          <w:szCs w:val="22"/>
        </w:rPr>
      </w:pPr>
    </w:p>
    <w:p w14:paraId="24327206" w14:textId="3A4B9AAA" w:rsidR="00785BED" w:rsidRPr="00611315" w:rsidRDefault="00656205" w:rsidP="002A4780">
      <w:pPr>
        <w:pStyle w:val="Prrafodelista"/>
        <w:numPr>
          <w:ilvl w:val="0"/>
          <w:numId w:val="93"/>
        </w:numPr>
        <w:rPr>
          <w:rFonts w:ascii="Verdana" w:hAnsi="Verdana" w:cs="Arial"/>
          <w:b/>
        </w:rPr>
      </w:pPr>
      <w:r w:rsidRPr="00611315">
        <w:rPr>
          <w:rFonts w:ascii="Verdana" w:hAnsi="Verdana" w:cs="Arial"/>
          <w:b/>
        </w:rPr>
        <w:lastRenderedPageBreak/>
        <w:t>Modificación de Factores de Calidad: Incorporación de criterios ambientales y sociales en los procesos de contratación.</w:t>
      </w:r>
    </w:p>
    <w:p w14:paraId="20C19044" w14:textId="0179338B" w:rsidR="00656205" w:rsidRPr="00954F93" w:rsidRDefault="00656205" w:rsidP="00954F93">
      <w:pPr>
        <w:pStyle w:val="Prrafodelista"/>
        <w:rPr>
          <w:rFonts w:ascii="Verdana" w:hAnsi="Verdana" w:cs="Arial"/>
        </w:rPr>
      </w:pPr>
    </w:p>
    <w:p w14:paraId="1ABC8792" w14:textId="77777777" w:rsidR="00656205" w:rsidRPr="000F455A" w:rsidRDefault="00656205" w:rsidP="00656205">
      <w:pPr>
        <w:jc w:val="both"/>
        <w:rPr>
          <w:rFonts w:ascii="Verdana" w:hAnsi="Verdana" w:cs="Arial"/>
          <w:sz w:val="22"/>
          <w:szCs w:val="22"/>
        </w:rPr>
      </w:pPr>
      <w:r w:rsidRPr="00611315">
        <w:rPr>
          <w:rFonts w:ascii="Verdana" w:hAnsi="Verdana" w:cs="Arial"/>
          <w:sz w:val="22"/>
          <w:szCs w:val="22"/>
        </w:rPr>
        <w:t xml:space="preserve">Introducir estos criterios en la </w:t>
      </w:r>
      <w:r w:rsidR="28FC9ED6" w:rsidRPr="00611315">
        <w:rPr>
          <w:rFonts w:ascii="Verdana" w:hAnsi="Verdana" w:cs="Arial"/>
          <w:sz w:val="22"/>
          <w:szCs w:val="22"/>
        </w:rPr>
        <w:t>contratación</w:t>
      </w:r>
      <w:r w:rsidRPr="00611315">
        <w:rPr>
          <w:rFonts w:ascii="Verdana" w:hAnsi="Verdana" w:cs="Arial"/>
          <w:sz w:val="22"/>
          <w:szCs w:val="22"/>
        </w:rPr>
        <w:t xml:space="preserve"> pública colombiana nace de la preocupación del Gobierno Nacional y Organismos Internacionales sobre abordar mecanismos de mitigación del cambio climático, en donde es  importante considerar los “Objetivos de Desarrollo Sostenible”, planteados por la ONU, en los que se incluye el 12 que busca “Garantizar modalidades de Consumo y producción sostenibles” que destaca la importancia del desarrollo sostenible “(...) Para reducir nuestros niveles de consumo, debemos cambiar nuestros hábitos de consumo, y una de las principales medidas que debemos adoptar es sustituir los sistemas de suministro energético por otros más </w:t>
      </w:r>
      <w:r w:rsidRPr="000F455A">
        <w:rPr>
          <w:rFonts w:ascii="Verdana" w:hAnsi="Verdana" w:cs="Arial"/>
          <w:sz w:val="22"/>
          <w:szCs w:val="22"/>
        </w:rPr>
        <w:t>sostenibles. (...)”</w:t>
      </w:r>
    </w:p>
    <w:p w14:paraId="6821D366" w14:textId="77777777" w:rsidR="00656205" w:rsidRPr="000F455A" w:rsidRDefault="00656205" w:rsidP="00656205">
      <w:pPr>
        <w:jc w:val="both"/>
        <w:rPr>
          <w:rFonts w:ascii="Verdana" w:hAnsi="Verdana" w:cs="Arial"/>
          <w:sz w:val="22"/>
          <w:szCs w:val="22"/>
        </w:rPr>
      </w:pPr>
    </w:p>
    <w:p w14:paraId="4728D6CE" w14:textId="0BF4B336" w:rsidR="00A6005A" w:rsidRPr="000F455A" w:rsidRDefault="003E16E7" w:rsidP="00A6005A">
      <w:pPr>
        <w:jc w:val="both"/>
        <w:rPr>
          <w:rFonts w:ascii="Verdana" w:hAnsi="Verdana" w:cs="Arial"/>
          <w:sz w:val="22"/>
          <w:szCs w:val="22"/>
        </w:rPr>
      </w:pPr>
      <w:r w:rsidRPr="000F455A">
        <w:rPr>
          <w:rFonts w:ascii="Verdana" w:hAnsi="Verdana" w:cs="Arial"/>
          <w:sz w:val="22"/>
          <w:szCs w:val="22"/>
        </w:rPr>
        <w:t xml:space="preserve">En </w:t>
      </w:r>
      <w:r w:rsidR="00490870" w:rsidRPr="000F455A">
        <w:rPr>
          <w:rFonts w:ascii="Verdana" w:hAnsi="Verdana" w:cs="Arial"/>
          <w:sz w:val="22"/>
          <w:szCs w:val="22"/>
        </w:rPr>
        <w:t>adición</w:t>
      </w:r>
      <w:r w:rsidRPr="000F455A">
        <w:rPr>
          <w:rFonts w:ascii="Verdana" w:hAnsi="Verdana" w:cs="Arial"/>
          <w:sz w:val="22"/>
          <w:szCs w:val="22"/>
        </w:rPr>
        <w:t xml:space="preserve"> a lo anterior, e</w:t>
      </w:r>
      <w:r w:rsidR="00A6005A" w:rsidRPr="000F455A">
        <w:rPr>
          <w:rFonts w:ascii="Verdana" w:hAnsi="Verdana" w:cs="Arial"/>
          <w:sz w:val="22"/>
          <w:szCs w:val="22"/>
        </w:rPr>
        <w:t xml:space="preserve">l Decreto 142 de 2023 </w:t>
      </w:r>
      <w:r w:rsidRPr="000F455A">
        <w:rPr>
          <w:rFonts w:ascii="Verdana" w:hAnsi="Verdana" w:cs="Arial"/>
          <w:sz w:val="22"/>
          <w:szCs w:val="22"/>
        </w:rPr>
        <w:t xml:space="preserve">que </w:t>
      </w:r>
      <w:r w:rsidR="00A6005A" w:rsidRPr="000F455A">
        <w:rPr>
          <w:rFonts w:ascii="Verdana" w:hAnsi="Verdana" w:cs="Arial"/>
          <w:sz w:val="22"/>
          <w:szCs w:val="22"/>
        </w:rPr>
        <w:t xml:space="preserve">modificó y adicionó el Decreto 1082 de 2015, Único Reglamentario del Sector Administrativo de Planeación Nacional, con el propósito de promover el acceso al sistema de compras públicas de las </w:t>
      </w:r>
      <w:proofErr w:type="spellStart"/>
      <w:r w:rsidR="00A6005A" w:rsidRPr="000F455A">
        <w:rPr>
          <w:rFonts w:ascii="Verdana" w:hAnsi="Verdana" w:cs="Arial"/>
          <w:sz w:val="22"/>
          <w:szCs w:val="22"/>
        </w:rPr>
        <w:t>Mipymes</w:t>
      </w:r>
      <w:proofErr w:type="spellEnd"/>
      <w:r w:rsidR="00A6005A" w:rsidRPr="000F455A">
        <w:rPr>
          <w:rFonts w:ascii="Verdana" w:hAnsi="Verdana" w:cs="Arial"/>
          <w:sz w:val="22"/>
          <w:szCs w:val="22"/>
        </w:rPr>
        <w:t xml:space="preserve">, las Cooperativas y demás entidades de la economía solidaria. </w:t>
      </w:r>
      <w:r w:rsidR="003B0291" w:rsidRPr="000F455A">
        <w:rPr>
          <w:rFonts w:ascii="Verdana" w:hAnsi="Verdana" w:cs="Arial"/>
          <w:sz w:val="22"/>
          <w:szCs w:val="22"/>
        </w:rPr>
        <w:t>En e</w:t>
      </w:r>
      <w:r w:rsidR="00A6005A" w:rsidRPr="000F455A">
        <w:rPr>
          <w:rFonts w:ascii="Verdana" w:hAnsi="Verdana" w:cs="Arial"/>
          <w:sz w:val="22"/>
          <w:szCs w:val="22"/>
        </w:rPr>
        <w:t>l artículo 4 modificó los criterios para determinar la oferta más favorable del precitado artículo 2.2.1.1.2.2.2 del Decreto 1082 de 2015, incluyendo un parágrafo por el cual “</w:t>
      </w:r>
      <w:r w:rsidR="00A6005A" w:rsidRPr="000F455A">
        <w:rPr>
          <w:rFonts w:ascii="Verdana" w:hAnsi="Verdana" w:cs="Arial"/>
          <w:i/>
          <w:iCs/>
          <w:sz w:val="22"/>
          <w:szCs w:val="22"/>
        </w:rPr>
        <w:t>Los criterios de calidad para evaluar la mejor relación calidad precio podrán incluir criterios ambientales o sociales vinculados al objeto del contrato</w:t>
      </w:r>
      <w:r w:rsidR="00A6005A" w:rsidRPr="000F455A">
        <w:rPr>
          <w:rFonts w:ascii="Verdana" w:hAnsi="Verdana" w:cs="Arial"/>
          <w:sz w:val="22"/>
          <w:szCs w:val="22"/>
        </w:rPr>
        <w:t xml:space="preserve">” (Énfasis fuera de texto). </w:t>
      </w:r>
    </w:p>
    <w:p w14:paraId="498F4035" w14:textId="77777777" w:rsidR="00A6005A" w:rsidRPr="00611315" w:rsidRDefault="00A6005A" w:rsidP="00656205">
      <w:pPr>
        <w:jc w:val="both"/>
        <w:rPr>
          <w:rFonts w:ascii="Verdana" w:hAnsi="Verdana" w:cs="Arial"/>
          <w:sz w:val="22"/>
          <w:szCs w:val="22"/>
          <w:highlight w:val="yellow"/>
        </w:rPr>
      </w:pPr>
    </w:p>
    <w:p w14:paraId="31692823" w14:textId="7520E984" w:rsidR="00222FF2" w:rsidRPr="00611315" w:rsidRDefault="00630EC5" w:rsidP="00222FF2">
      <w:pPr>
        <w:jc w:val="both"/>
        <w:rPr>
          <w:rFonts w:ascii="Verdana" w:hAnsi="Verdana" w:cs="Arial"/>
          <w:sz w:val="22"/>
          <w:szCs w:val="22"/>
        </w:rPr>
      </w:pPr>
      <w:r w:rsidRPr="00611315">
        <w:rPr>
          <w:rFonts w:ascii="Verdana" w:hAnsi="Verdana" w:cs="Arial"/>
          <w:sz w:val="22"/>
          <w:szCs w:val="22"/>
        </w:rPr>
        <w:t>L</w:t>
      </w:r>
      <w:r w:rsidR="00222FF2" w:rsidRPr="00611315">
        <w:rPr>
          <w:rFonts w:ascii="Verdana" w:hAnsi="Verdana" w:cs="Arial"/>
          <w:sz w:val="22"/>
          <w:szCs w:val="22"/>
        </w:rPr>
        <w:t xml:space="preserve">os criterios ambientales o sociales se orientan a evaluar la mejor relación calidad–precio. De acuerdo con el inciso segundo del artículo 2.2.1.1.2.2.2 del Decreto 1082 de 2015, “En la licitación y la selección abreviada de menor cuantía, la Entidad Estatal debe determinar la oferta más favorable teniendo en cuenta: (a) la ponderación de los elementos de calidad y precio soportados en puntajes o fórmulas; o (b) la ponderación de los elementos de calidad y precio que representen la mejor relación de costo-beneficio”. De lo anterior se infiere que, para los procesos mencionados en la norma, los criterios ambientales o sociales del parágrafo pueden emplearse tanto en la evaluación de los elementos de calidad y precio soportado en puntajes o fórmulas como en aquella que represente la mejor relación costo- beneficio. Esto considerando que el parágrafo del artículo citado no distingue entre los métodos de ponderación y, por tanto, los criterios sociales y ambientales puede evaluarse en ambos siempre que estén vinculados al objeto contractual. </w:t>
      </w:r>
    </w:p>
    <w:p w14:paraId="67E4C8BD" w14:textId="77777777" w:rsidR="00222FF2" w:rsidRPr="00611315" w:rsidRDefault="00222FF2" w:rsidP="00656205">
      <w:pPr>
        <w:jc w:val="both"/>
        <w:rPr>
          <w:rFonts w:ascii="Verdana" w:hAnsi="Verdana" w:cs="Arial"/>
          <w:sz w:val="22"/>
          <w:szCs w:val="22"/>
        </w:rPr>
      </w:pPr>
    </w:p>
    <w:p w14:paraId="78C3651C" w14:textId="6BCFB9C9" w:rsidR="00F0688A" w:rsidRPr="00611315" w:rsidRDefault="00656205" w:rsidP="00656205">
      <w:pPr>
        <w:jc w:val="both"/>
        <w:rPr>
          <w:rFonts w:ascii="Verdana" w:hAnsi="Verdana" w:cs="Arial"/>
          <w:sz w:val="22"/>
          <w:szCs w:val="22"/>
        </w:rPr>
      </w:pPr>
      <w:r w:rsidRPr="00611315">
        <w:rPr>
          <w:rFonts w:ascii="Verdana" w:hAnsi="Verdana" w:cs="Arial"/>
          <w:sz w:val="22"/>
          <w:szCs w:val="22"/>
        </w:rPr>
        <w:t xml:space="preserve">Esta determinación conlleva a incorporar unos nuevos criterios </w:t>
      </w:r>
      <w:r w:rsidR="00D0318D" w:rsidRPr="00611315">
        <w:rPr>
          <w:rFonts w:ascii="Verdana" w:hAnsi="Verdana" w:cs="Arial"/>
          <w:sz w:val="22"/>
          <w:szCs w:val="22"/>
        </w:rPr>
        <w:t xml:space="preserve">sociales y ambientales </w:t>
      </w:r>
      <w:r w:rsidRPr="00611315">
        <w:rPr>
          <w:rFonts w:ascii="Verdana" w:hAnsi="Verdana" w:cs="Arial"/>
          <w:sz w:val="22"/>
          <w:szCs w:val="22"/>
        </w:rPr>
        <w:t xml:space="preserve">en los factores de calidad, </w:t>
      </w:r>
      <w:r w:rsidR="008849D8" w:rsidRPr="00611315">
        <w:rPr>
          <w:rFonts w:ascii="Verdana" w:hAnsi="Verdana" w:cs="Arial"/>
          <w:sz w:val="22"/>
          <w:szCs w:val="22"/>
        </w:rPr>
        <w:t xml:space="preserve">en el numeral 4.2. “Factor de Calidad” </w:t>
      </w:r>
      <w:r w:rsidR="00D0318D" w:rsidRPr="00611315">
        <w:rPr>
          <w:rFonts w:ascii="Verdana" w:hAnsi="Verdana" w:cs="Arial"/>
          <w:sz w:val="22"/>
          <w:szCs w:val="22"/>
        </w:rPr>
        <w:t xml:space="preserve">de </w:t>
      </w:r>
      <w:r w:rsidR="00673EBC" w:rsidRPr="00954F93">
        <w:rPr>
          <w:rFonts w:ascii="Verdana" w:hAnsi="Verdana" w:cs="Arial"/>
          <w:sz w:val="22"/>
          <w:szCs w:val="22"/>
        </w:rPr>
        <w:t xml:space="preserve">los documentos tipo para los procesos de licitación pública para obras de infraestructura de agua </w:t>
      </w:r>
      <w:r w:rsidR="00673EBC" w:rsidRPr="00954F93">
        <w:rPr>
          <w:rFonts w:ascii="Verdana" w:hAnsi="Verdana" w:cs="Arial"/>
          <w:sz w:val="22"/>
          <w:szCs w:val="22"/>
        </w:rPr>
        <w:lastRenderedPageBreak/>
        <w:t>potable, saneamiento básico y estructuras hidráulicas</w:t>
      </w:r>
      <w:r w:rsidR="00750E09" w:rsidRPr="00611315">
        <w:rPr>
          <w:rFonts w:ascii="Verdana" w:hAnsi="Verdana" w:cs="Arial"/>
          <w:sz w:val="22"/>
          <w:szCs w:val="22"/>
        </w:rPr>
        <w:t xml:space="preserve"> </w:t>
      </w:r>
      <w:r w:rsidRPr="00611315">
        <w:rPr>
          <w:rFonts w:ascii="Verdana" w:hAnsi="Verdana" w:cs="Arial"/>
          <w:sz w:val="22"/>
          <w:szCs w:val="22"/>
        </w:rPr>
        <w:t xml:space="preserve">que se hace conforme a los principios de selección objetiva y a la determinación del ofrecimiento más favorable, establecido en el artículo 5 de la Ley 1150 de 2007, reglamentado por el artículo 2.2.1.1.2.2.2 del Decreto 1082 de 2015, </w:t>
      </w:r>
      <w:r w:rsidR="00406DD7" w:rsidRPr="00954F93">
        <w:rPr>
          <w:rFonts w:ascii="Verdana" w:eastAsia="Century Gothic" w:hAnsi="Verdana" w:cs="Century Gothic"/>
          <w:sz w:val="22"/>
          <w:szCs w:val="22"/>
        </w:rPr>
        <w:t>modificado por el artículo 4 del Decreto 142 de 2023</w:t>
      </w:r>
      <w:r w:rsidR="00406DD7" w:rsidRPr="00611315">
        <w:rPr>
          <w:rFonts w:ascii="Verdana" w:eastAsia="Century Gothic" w:hAnsi="Verdana" w:cs="Century Gothic"/>
          <w:szCs w:val="22"/>
        </w:rPr>
        <w:t xml:space="preserve">, </w:t>
      </w:r>
      <w:r w:rsidRPr="00611315">
        <w:rPr>
          <w:rFonts w:ascii="Verdana" w:hAnsi="Verdana" w:cs="Arial"/>
          <w:sz w:val="22"/>
          <w:szCs w:val="22"/>
        </w:rPr>
        <w:t xml:space="preserve">en las cuales se establece que en los procesos de selección deben evaluarse, fuera de los requisitos habilitantes, los factores de calificación, valoración o evaluación. </w:t>
      </w:r>
    </w:p>
    <w:p w14:paraId="37A55EE9" w14:textId="77777777" w:rsidR="00F0688A" w:rsidRPr="00611315" w:rsidRDefault="00F0688A" w:rsidP="00656205">
      <w:pPr>
        <w:jc w:val="both"/>
        <w:rPr>
          <w:rFonts w:ascii="Verdana" w:hAnsi="Verdana" w:cs="Arial"/>
          <w:sz w:val="22"/>
          <w:szCs w:val="22"/>
        </w:rPr>
      </w:pPr>
    </w:p>
    <w:p w14:paraId="4DA9B552" w14:textId="2AFC99CF" w:rsidR="00656205" w:rsidRPr="00611315" w:rsidRDefault="00656205" w:rsidP="00656205">
      <w:pPr>
        <w:jc w:val="both"/>
        <w:rPr>
          <w:rFonts w:ascii="Verdana" w:hAnsi="Verdana" w:cs="Arial"/>
          <w:sz w:val="22"/>
          <w:szCs w:val="22"/>
        </w:rPr>
      </w:pPr>
      <w:r w:rsidRPr="00611315">
        <w:rPr>
          <w:rFonts w:ascii="Verdana" w:hAnsi="Verdana" w:cs="Arial"/>
          <w:sz w:val="22"/>
          <w:szCs w:val="22"/>
        </w:rPr>
        <w:t xml:space="preserve">Los cuales pueden ponderarse mediante la asignación de puntaje, por lo que la norma se refiere a factores que no otorgan puntaje para diferenciar los requisitos habilitantes de los mencionados factores de calificación. Lo anterior, bajo el entendido que son estos últimos los que determinan la oferta más favorable para la entidad y la que en consecuencia debe elegirse. </w:t>
      </w:r>
    </w:p>
    <w:p w14:paraId="4ADD1B73" w14:textId="77777777" w:rsidR="00656205" w:rsidRPr="00611315" w:rsidRDefault="00656205" w:rsidP="00656205">
      <w:pPr>
        <w:jc w:val="both"/>
        <w:rPr>
          <w:rFonts w:ascii="Verdana" w:hAnsi="Verdana" w:cs="Arial"/>
          <w:sz w:val="22"/>
          <w:szCs w:val="22"/>
        </w:rPr>
      </w:pPr>
    </w:p>
    <w:p w14:paraId="696F8D39" w14:textId="3B452BD4" w:rsidR="00FE440C" w:rsidRPr="00611315" w:rsidRDefault="00656205" w:rsidP="00656205">
      <w:pPr>
        <w:jc w:val="both"/>
        <w:rPr>
          <w:rFonts w:ascii="Verdana" w:hAnsi="Verdana" w:cs="Arial"/>
          <w:sz w:val="22"/>
          <w:szCs w:val="22"/>
        </w:rPr>
      </w:pPr>
      <w:r w:rsidRPr="00611315">
        <w:rPr>
          <w:rFonts w:ascii="Verdana" w:hAnsi="Verdana" w:cs="Arial"/>
          <w:sz w:val="22"/>
          <w:szCs w:val="22"/>
        </w:rPr>
        <w:t>Actualmente</w:t>
      </w:r>
      <w:r w:rsidR="0DB33249" w:rsidRPr="00611315">
        <w:rPr>
          <w:rFonts w:ascii="Verdana" w:hAnsi="Verdana" w:cs="Arial"/>
          <w:sz w:val="22"/>
          <w:szCs w:val="22"/>
        </w:rPr>
        <w:t>,</w:t>
      </w:r>
      <w:r w:rsidRPr="00611315">
        <w:rPr>
          <w:rFonts w:ascii="Verdana" w:hAnsi="Verdana" w:cs="Arial"/>
          <w:sz w:val="22"/>
          <w:szCs w:val="22"/>
        </w:rPr>
        <w:t xml:space="preserve"> los Documentos Tipo de Infraestructura </w:t>
      </w:r>
      <w:r w:rsidR="00E83C77" w:rsidRPr="00611315">
        <w:rPr>
          <w:rFonts w:ascii="Verdana" w:hAnsi="Verdana" w:cs="Arial"/>
          <w:sz w:val="22"/>
          <w:szCs w:val="22"/>
        </w:rPr>
        <w:t>de Agua Potable y Saneamiento Básico</w:t>
      </w:r>
      <w:r w:rsidRPr="00611315">
        <w:rPr>
          <w:rFonts w:ascii="Verdana" w:hAnsi="Verdana" w:cs="Arial"/>
          <w:sz w:val="22"/>
          <w:szCs w:val="22"/>
        </w:rPr>
        <w:t xml:space="preserve"> que se encuentran vigentes establecen como factores de calidad, con una asignación de 1</w:t>
      </w:r>
      <w:r w:rsidR="007F01BE" w:rsidRPr="00611315">
        <w:rPr>
          <w:rFonts w:ascii="Verdana" w:hAnsi="Verdana" w:cs="Arial"/>
          <w:sz w:val="22"/>
          <w:szCs w:val="22"/>
        </w:rPr>
        <w:t>0</w:t>
      </w:r>
      <w:r w:rsidRPr="00611315">
        <w:rPr>
          <w:rFonts w:ascii="Verdana" w:hAnsi="Verdana" w:cs="Arial"/>
          <w:sz w:val="22"/>
          <w:szCs w:val="22"/>
        </w:rPr>
        <w:t xml:space="preserve"> puntos al oferente que manifieste su intención de obtener el puntaje por este aspecto, para las siguientes consideraciones: a) </w:t>
      </w:r>
      <w:r w:rsidR="00EC290B" w:rsidRPr="00611315">
        <w:rPr>
          <w:rFonts w:ascii="Verdana" w:hAnsi="Verdana" w:cs="Arial"/>
          <w:sz w:val="22"/>
          <w:szCs w:val="22"/>
        </w:rPr>
        <w:t>Implementación del programa de gerencia de proyectos</w:t>
      </w:r>
      <w:r w:rsidRPr="00611315">
        <w:rPr>
          <w:rFonts w:ascii="Verdana" w:hAnsi="Verdana" w:cs="Arial"/>
          <w:sz w:val="22"/>
          <w:szCs w:val="22"/>
        </w:rPr>
        <w:t xml:space="preserve">, b) </w:t>
      </w:r>
      <w:r w:rsidR="005C1993" w:rsidRPr="00611315">
        <w:rPr>
          <w:rFonts w:ascii="Verdana" w:hAnsi="Verdana" w:cs="Arial"/>
          <w:sz w:val="22"/>
          <w:szCs w:val="22"/>
        </w:rPr>
        <w:t xml:space="preserve">Disponibilidad y condiciones funcionales de la maquinaria de obra </w:t>
      </w:r>
      <w:r w:rsidRPr="00611315">
        <w:rPr>
          <w:rFonts w:ascii="Verdana" w:hAnsi="Verdana" w:cs="Arial"/>
          <w:sz w:val="22"/>
          <w:szCs w:val="22"/>
        </w:rPr>
        <w:t xml:space="preserve">y c) </w:t>
      </w:r>
      <w:r w:rsidR="005C1993" w:rsidRPr="00611315">
        <w:rPr>
          <w:rFonts w:ascii="Verdana" w:hAnsi="Verdana" w:cs="Arial"/>
          <w:sz w:val="22"/>
          <w:szCs w:val="22"/>
        </w:rPr>
        <w:t>Presentación de un plan de calidad</w:t>
      </w:r>
      <w:r w:rsidRPr="00611315">
        <w:rPr>
          <w:rFonts w:ascii="Verdana" w:hAnsi="Verdana" w:cs="Arial"/>
          <w:sz w:val="22"/>
          <w:szCs w:val="22"/>
        </w:rPr>
        <w:t xml:space="preserve">, como se muestra en la siguiente </w:t>
      </w:r>
      <w:r w:rsidR="004D3E82" w:rsidRPr="00611315">
        <w:rPr>
          <w:rFonts w:ascii="Verdana" w:hAnsi="Verdana" w:cs="Arial"/>
          <w:sz w:val="22"/>
          <w:szCs w:val="22"/>
        </w:rPr>
        <w:t>tabla</w:t>
      </w:r>
      <w:r w:rsidRPr="00611315">
        <w:rPr>
          <w:rFonts w:ascii="Verdana" w:hAnsi="Verdana" w:cs="Arial"/>
          <w:sz w:val="22"/>
          <w:szCs w:val="22"/>
        </w:rPr>
        <w:t>:</w:t>
      </w:r>
    </w:p>
    <w:p w14:paraId="1F72D855" w14:textId="028DE292" w:rsidR="00656205" w:rsidRPr="00611315" w:rsidRDefault="00656205" w:rsidP="00656205">
      <w:pPr>
        <w:jc w:val="both"/>
        <w:rPr>
          <w:rFonts w:ascii="Verdana" w:hAnsi="Verdana" w:cs="Arial"/>
          <w:sz w:val="22"/>
          <w:szCs w:val="22"/>
        </w:rPr>
      </w:pPr>
    </w:p>
    <w:p w14:paraId="3B7C8E18" w14:textId="76953F5F" w:rsidR="00C2444E" w:rsidRPr="00954F93" w:rsidRDefault="004D3E82" w:rsidP="00954F93">
      <w:pPr>
        <w:pStyle w:val="Descripcin"/>
        <w:jc w:val="center"/>
        <w:rPr>
          <w:rFonts w:ascii="Verdana" w:hAnsi="Verdana" w:cs="Arial"/>
          <w:sz w:val="22"/>
          <w:szCs w:val="22"/>
        </w:rPr>
      </w:pPr>
      <w:bookmarkStart w:id="469" w:name="_Toc231368693"/>
      <w:bookmarkStart w:id="470" w:name="_Toc180136833"/>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C8378C">
        <w:rPr>
          <w:rFonts w:ascii="Verdana" w:hAnsi="Verdana"/>
          <w:noProof/>
          <w:sz w:val="22"/>
          <w:szCs w:val="22"/>
        </w:rPr>
        <w:t>26</w:t>
      </w:r>
      <w:r w:rsidRPr="00611315">
        <w:rPr>
          <w:rFonts w:ascii="Verdana" w:hAnsi="Verdana"/>
          <w:sz w:val="22"/>
          <w:szCs w:val="22"/>
        </w:rPr>
        <w:fldChar w:fldCharType="end"/>
      </w:r>
      <w:r w:rsidRPr="00611315">
        <w:rPr>
          <w:rFonts w:ascii="Verdana" w:hAnsi="Verdana"/>
          <w:sz w:val="22"/>
          <w:szCs w:val="22"/>
        </w:rPr>
        <w:t>. Factores de calidad actuales</w:t>
      </w:r>
      <w:bookmarkEnd w:id="469"/>
      <w:r w:rsidRPr="00611315">
        <w:rPr>
          <w:rFonts w:ascii="Verdana" w:hAnsi="Verdana" w:cs="Arial"/>
          <w:sz w:val="22"/>
          <w:szCs w:val="22"/>
        </w:rPr>
        <w:t xml:space="preserve"> </w:t>
      </w:r>
    </w:p>
    <w:tbl>
      <w:tblPr>
        <w:tblStyle w:val="Tablaconcuadrcula51"/>
        <w:tblW w:w="0" w:type="auto"/>
        <w:jc w:val="center"/>
        <w:tblLook w:val="04A0" w:firstRow="1" w:lastRow="0" w:firstColumn="1" w:lastColumn="0" w:noHBand="0" w:noVBand="1"/>
      </w:tblPr>
      <w:tblGrid>
        <w:gridCol w:w="6418"/>
        <w:gridCol w:w="2356"/>
      </w:tblGrid>
      <w:tr w:rsidR="00C2444E" w:rsidRPr="00611315" w14:paraId="0831B801" w14:textId="77777777" w:rsidTr="007C7404">
        <w:trPr>
          <w:trHeight w:val="284"/>
          <w:jc w:val="center"/>
        </w:trPr>
        <w:tc>
          <w:tcPr>
            <w:tcW w:w="6418" w:type="dxa"/>
            <w:tcBorders>
              <w:top w:val="double" w:sz="4" w:space="0" w:color="auto"/>
              <w:left w:val="double" w:sz="4" w:space="0" w:color="auto"/>
              <w:bottom w:val="single" w:sz="4" w:space="0" w:color="auto"/>
              <w:right w:val="single" w:sz="4" w:space="0" w:color="auto"/>
            </w:tcBorders>
            <w:shd w:val="clear" w:color="auto" w:fill="404040"/>
            <w:vAlign w:val="center"/>
            <w:hideMark/>
          </w:tcPr>
          <w:p w14:paraId="66EE68BE" w14:textId="77777777" w:rsidR="00C2444E" w:rsidRPr="00611315" w:rsidRDefault="00C2444E" w:rsidP="00C2444E">
            <w:pPr>
              <w:spacing w:line="276" w:lineRule="auto"/>
              <w:jc w:val="center"/>
              <w:rPr>
                <w:rFonts w:ascii="Verdana" w:hAnsi="Verdana" w:cs="Arial"/>
                <w:b/>
                <w:iCs/>
                <w:color w:val="FFFFFF"/>
                <w:sz w:val="20"/>
                <w:szCs w:val="20"/>
                <w:lang w:eastAsia="en-US"/>
              </w:rPr>
            </w:pPr>
            <w:r w:rsidRPr="00611315">
              <w:rPr>
                <w:rFonts w:ascii="Verdana" w:hAnsi="Verdana" w:cs="Arial"/>
                <w:b/>
                <w:iCs/>
                <w:color w:val="FFFFFF"/>
                <w:sz w:val="20"/>
                <w:szCs w:val="20"/>
                <w:lang w:eastAsia="en-US"/>
              </w:rPr>
              <w:t>Concepto</w:t>
            </w:r>
          </w:p>
        </w:tc>
        <w:tc>
          <w:tcPr>
            <w:tcW w:w="2356" w:type="dxa"/>
            <w:tcBorders>
              <w:top w:val="double" w:sz="4" w:space="0" w:color="auto"/>
              <w:left w:val="single" w:sz="4" w:space="0" w:color="auto"/>
              <w:bottom w:val="single" w:sz="4" w:space="0" w:color="auto"/>
              <w:right w:val="double" w:sz="4" w:space="0" w:color="auto"/>
            </w:tcBorders>
            <w:shd w:val="clear" w:color="auto" w:fill="404040"/>
            <w:vAlign w:val="center"/>
            <w:hideMark/>
          </w:tcPr>
          <w:p w14:paraId="633520A1" w14:textId="77777777" w:rsidR="00C2444E" w:rsidRPr="00611315" w:rsidRDefault="00C2444E" w:rsidP="00C2444E">
            <w:pPr>
              <w:spacing w:line="276" w:lineRule="auto"/>
              <w:jc w:val="center"/>
              <w:rPr>
                <w:rFonts w:ascii="Verdana" w:hAnsi="Verdana" w:cs="Arial"/>
                <w:b/>
                <w:iCs/>
                <w:color w:val="FFFFFF"/>
                <w:sz w:val="20"/>
                <w:szCs w:val="20"/>
                <w:lang w:eastAsia="en-US"/>
              </w:rPr>
            </w:pPr>
            <w:r w:rsidRPr="00611315">
              <w:rPr>
                <w:rFonts w:ascii="Verdana" w:hAnsi="Verdana" w:cs="Arial"/>
                <w:b/>
                <w:iCs/>
                <w:color w:val="FFFFFF"/>
                <w:sz w:val="20"/>
                <w:szCs w:val="20"/>
                <w:lang w:eastAsia="en-US"/>
              </w:rPr>
              <w:t xml:space="preserve">Puntaje </w:t>
            </w:r>
          </w:p>
        </w:tc>
      </w:tr>
      <w:tr w:rsidR="00C2444E" w:rsidRPr="00611315" w14:paraId="4B18E7D1" w14:textId="77777777" w:rsidTr="007C7404">
        <w:trPr>
          <w:trHeight w:val="572"/>
          <w:jc w:val="center"/>
        </w:trPr>
        <w:tc>
          <w:tcPr>
            <w:tcW w:w="6418" w:type="dxa"/>
            <w:tcBorders>
              <w:top w:val="single" w:sz="4" w:space="0" w:color="auto"/>
              <w:left w:val="double" w:sz="4" w:space="0" w:color="auto"/>
              <w:bottom w:val="single" w:sz="4" w:space="0" w:color="auto"/>
              <w:right w:val="single" w:sz="4" w:space="0" w:color="auto"/>
            </w:tcBorders>
            <w:vAlign w:val="center"/>
            <w:hideMark/>
          </w:tcPr>
          <w:p w14:paraId="766CA6F9" w14:textId="77777777" w:rsidR="00C2444E" w:rsidRPr="00611315" w:rsidRDefault="00C2444E" w:rsidP="00C2444E">
            <w:pPr>
              <w:tabs>
                <w:tab w:val="left" w:pos="1039"/>
              </w:tabs>
              <w:spacing w:line="276" w:lineRule="auto"/>
              <w:jc w:val="center"/>
              <w:rPr>
                <w:rFonts w:ascii="Verdana" w:hAnsi="Verdana" w:cs="Arial"/>
                <w:iCs/>
                <w:color w:val="000000" w:themeColor="text1"/>
                <w:sz w:val="20"/>
                <w:szCs w:val="20"/>
                <w:lang w:eastAsia="es-CO"/>
              </w:rPr>
            </w:pPr>
            <w:bookmarkStart w:id="471" w:name="_Hlk97893119"/>
            <w:r w:rsidRPr="00611315">
              <w:rPr>
                <w:rFonts w:ascii="Verdana" w:hAnsi="Verdana" w:cs="Arial"/>
                <w:iCs/>
                <w:color w:val="000000" w:themeColor="text1"/>
                <w:sz w:val="20"/>
                <w:szCs w:val="20"/>
                <w:highlight w:val="lightGray"/>
                <w:lang w:eastAsia="es-CO"/>
              </w:rPr>
              <w:t>[La Entidad debe elegir una o algunas de las siguientes opciones de acuerdo con la justificación consignada en el estudio del sector y estudios y documentos previos:</w:t>
            </w:r>
          </w:p>
          <w:p w14:paraId="414E8988" w14:textId="77777777" w:rsidR="00C2444E" w:rsidRPr="00611315" w:rsidRDefault="00C2444E" w:rsidP="00C2444E">
            <w:pPr>
              <w:tabs>
                <w:tab w:val="left" w:pos="1039"/>
              </w:tabs>
              <w:spacing w:line="276" w:lineRule="auto"/>
              <w:jc w:val="center"/>
              <w:rPr>
                <w:rFonts w:ascii="Verdana" w:hAnsi="Verdana" w:cs="Arial"/>
                <w:iCs/>
                <w:color w:val="000000" w:themeColor="text1"/>
                <w:sz w:val="20"/>
                <w:szCs w:val="20"/>
                <w:highlight w:val="lightGray"/>
                <w:lang w:eastAsia="en-US"/>
              </w:rPr>
            </w:pPr>
            <w:r w:rsidRPr="00611315">
              <w:rPr>
                <w:rFonts w:ascii="Verdana" w:hAnsi="Verdana" w:cs="Arial"/>
                <w:iCs/>
                <w:color w:val="000000" w:themeColor="text1"/>
                <w:sz w:val="20"/>
                <w:szCs w:val="20"/>
                <w:highlight w:val="lightGray"/>
                <w:lang w:eastAsia="es-CO"/>
              </w:rPr>
              <w:t>(i) implementación del programa de gerencia de proyectos;</w:t>
            </w:r>
          </w:p>
          <w:p w14:paraId="7CFEEF9C" w14:textId="77777777" w:rsidR="00C2444E" w:rsidRPr="00611315" w:rsidRDefault="00C2444E" w:rsidP="00C2444E">
            <w:pPr>
              <w:tabs>
                <w:tab w:val="left" w:pos="1039"/>
              </w:tabs>
              <w:spacing w:line="276" w:lineRule="auto"/>
              <w:jc w:val="center"/>
              <w:rPr>
                <w:rFonts w:ascii="Verdana" w:hAnsi="Verdana" w:cs="Arial"/>
                <w:iCs/>
                <w:color w:val="000000" w:themeColor="text1"/>
                <w:sz w:val="20"/>
                <w:szCs w:val="20"/>
                <w:highlight w:val="lightGray"/>
                <w:lang w:eastAsia="es-CO"/>
              </w:rPr>
            </w:pPr>
            <w:r w:rsidRPr="00611315">
              <w:rPr>
                <w:rFonts w:ascii="Verdana" w:hAnsi="Verdana" w:cs="Arial"/>
                <w:iCs/>
                <w:color w:val="000000" w:themeColor="text1"/>
                <w:sz w:val="20"/>
                <w:szCs w:val="20"/>
                <w:highlight w:val="lightGray"/>
                <w:lang w:eastAsia="es-CO"/>
              </w:rPr>
              <w:t>(</w:t>
            </w:r>
            <w:proofErr w:type="spellStart"/>
            <w:r w:rsidRPr="00611315">
              <w:rPr>
                <w:rFonts w:ascii="Verdana" w:hAnsi="Verdana" w:cs="Arial"/>
                <w:iCs/>
                <w:color w:val="000000" w:themeColor="text1"/>
                <w:sz w:val="20"/>
                <w:szCs w:val="20"/>
                <w:highlight w:val="lightGray"/>
                <w:lang w:eastAsia="es-CO"/>
              </w:rPr>
              <w:t>ii</w:t>
            </w:r>
            <w:proofErr w:type="spellEnd"/>
            <w:r w:rsidRPr="00611315">
              <w:rPr>
                <w:rFonts w:ascii="Verdana" w:hAnsi="Verdana" w:cs="Arial"/>
                <w:iCs/>
                <w:color w:val="000000" w:themeColor="text1"/>
                <w:sz w:val="20"/>
                <w:szCs w:val="20"/>
                <w:highlight w:val="lightGray"/>
                <w:lang w:eastAsia="es-CO"/>
              </w:rPr>
              <w:t>) disponibilidad y condiciones funcionales de la maquinaria de obra;</w:t>
            </w:r>
          </w:p>
          <w:p w14:paraId="5B3B1F44" w14:textId="77777777" w:rsidR="00C2444E" w:rsidRPr="00611315" w:rsidRDefault="00C2444E" w:rsidP="00C2444E">
            <w:pPr>
              <w:tabs>
                <w:tab w:val="left" w:pos="1039"/>
              </w:tabs>
              <w:spacing w:line="276" w:lineRule="auto"/>
              <w:jc w:val="center"/>
              <w:rPr>
                <w:rFonts w:ascii="Verdana" w:hAnsi="Verdana" w:cs="Arial"/>
                <w:iCs/>
                <w:color w:val="000000" w:themeColor="text1"/>
                <w:sz w:val="20"/>
                <w:szCs w:val="20"/>
                <w:highlight w:val="lightGray"/>
                <w:lang w:eastAsia="en-US"/>
              </w:rPr>
            </w:pPr>
            <w:r w:rsidRPr="00611315">
              <w:rPr>
                <w:rFonts w:ascii="Verdana" w:hAnsi="Verdana" w:cs="Arial"/>
                <w:iCs/>
                <w:color w:val="000000" w:themeColor="text1"/>
                <w:sz w:val="20"/>
                <w:szCs w:val="20"/>
                <w:highlight w:val="lightGray"/>
                <w:lang w:eastAsia="es-CO"/>
              </w:rPr>
              <w:t>(</w:t>
            </w:r>
            <w:proofErr w:type="spellStart"/>
            <w:r w:rsidRPr="00611315">
              <w:rPr>
                <w:rFonts w:ascii="Verdana" w:hAnsi="Verdana" w:cs="Arial"/>
                <w:iCs/>
                <w:color w:val="000000" w:themeColor="text1"/>
                <w:sz w:val="20"/>
                <w:szCs w:val="20"/>
                <w:highlight w:val="lightGray"/>
                <w:lang w:eastAsia="es-CO"/>
              </w:rPr>
              <w:t>iii</w:t>
            </w:r>
            <w:proofErr w:type="spellEnd"/>
            <w:r w:rsidRPr="00611315">
              <w:rPr>
                <w:rFonts w:ascii="Verdana" w:hAnsi="Verdana" w:cs="Arial"/>
                <w:iCs/>
                <w:color w:val="000000" w:themeColor="text1"/>
                <w:sz w:val="20"/>
                <w:szCs w:val="20"/>
                <w:highlight w:val="lightGray"/>
                <w:lang w:eastAsia="es-CO"/>
              </w:rPr>
              <w:t>) presentación de un plan de calidad</w:t>
            </w:r>
          </w:p>
        </w:tc>
        <w:tc>
          <w:tcPr>
            <w:tcW w:w="2356" w:type="dxa"/>
            <w:tcBorders>
              <w:top w:val="single" w:sz="4" w:space="0" w:color="auto"/>
              <w:left w:val="single" w:sz="4" w:space="0" w:color="auto"/>
              <w:bottom w:val="single" w:sz="4" w:space="0" w:color="auto"/>
              <w:right w:val="double" w:sz="4" w:space="0" w:color="auto"/>
            </w:tcBorders>
            <w:vAlign w:val="center"/>
            <w:hideMark/>
          </w:tcPr>
          <w:p w14:paraId="062B6D9E" w14:textId="77777777" w:rsidR="00C2444E" w:rsidRPr="00611315" w:rsidRDefault="00C2444E" w:rsidP="00C2444E">
            <w:pPr>
              <w:spacing w:line="276" w:lineRule="auto"/>
              <w:jc w:val="center"/>
              <w:rPr>
                <w:rFonts w:ascii="Verdana" w:hAnsi="Verdana" w:cs="Arial"/>
                <w:iCs/>
                <w:color w:val="000000" w:themeColor="text1"/>
                <w:sz w:val="20"/>
                <w:szCs w:val="20"/>
                <w:lang w:eastAsia="en-US"/>
              </w:rPr>
            </w:pPr>
            <w:r w:rsidRPr="00611315">
              <w:rPr>
                <w:rFonts w:ascii="Verdana" w:hAnsi="Verdana" w:cs="Arial"/>
                <w:iCs/>
                <w:color w:val="000000" w:themeColor="text1"/>
                <w:sz w:val="20"/>
                <w:szCs w:val="20"/>
                <w:lang w:eastAsia="es-CO"/>
              </w:rPr>
              <w:t>19</w:t>
            </w:r>
          </w:p>
        </w:tc>
      </w:tr>
      <w:tr w:rsidR="00C2444E" w:rsidRPr="00611315" w14:paraId="29A99C1C" w14:textId="77777777" w:rsidTr="007C7404">
        <w:trPr>
          <w:trHeight w:val="256"/>
          <w:jc w:val="center"/>
        </w:trPr>
        <w:tc>
          <w:tcPr>
            <w:tcW w:w="6418" w:type="dxa"/>
            <w:tcBorders>
              <w:top w:val="single" w:sz="4" w:space="0" w:color="auto"/>
              <w:left w:val="double" w:sz="4" w:space="0" w:color="auto"/>
              <w:bottom w:val="double" w:sz="4" w:space="0" w:color="auto"/>
              <w:right w:val="single" w:sz="4" w:space="0" w:color="auto"/>
            </w:tcBorders>
            <w:vAlign w:val="center"/>
            <w:hideMark/>
          </w:tcPr>
          <w:p w14:paraId="15821738" w14:textId="77777777" w:rsidR="00C2444E" w:rsidRPr="00611315" w:rsidRDefault="00C2444E" w:rsidP="00C2444E">
            <w:pPr>
              <w:spacing w:line="276" w:lineRule="auto"/>
              <w:jc w:val="center"/>
              <w:rPr>
                <w:rFonts w:ascii="Verdana" w:hAnsi="Verdana" w:cs="Arial"/>
                <w:iCs/>
                <w:color w:val="000000" w:themeColor="text1"/>
                <w:sz w:val="20"/>
                <w:szCs w:val="20"/>
                <w:lang w:eastAsia="en-US"/>
              </w:rPr>
            </w:pPr>
            <w:r w:rsidRPr="00611315">
              <w:rPr>
                <w:rFonts w:ascii="Verdana" w:hAnsi="Verdana" w:cs="Arial"/>
                <w:iCs/>
                <w:color w:val="000000" w:themeColor="text1"/>
                <w:sz w:val="20"/>
                <w:szCs w:val="20"/>
                <w:lang w:eastAsia="es-CO"/>
              </w:rPr>
              <w:t>Total</w:t>
            </w:r>
          </w:p>
        </w:tc>
        <w:tc>
          <w:tcPr>
            <w:tcW w:w="2356" w:type="dxa"/>
            <w:tcBorders>
              <w:top w:val="single" w:sz="4" w:space="0" w:color="auto"/>
              <w:left w:val="single" w:sz="4" w:space="0" w:color="auto"/>
              <w:bottom w:val="double" w:sz="4" w:space="0" w:color="auto"/>
              <w:right w:val="double" w:sz="4" w:space="0" w:color="auto"/>
            </w:tcBorders>
            <w:vAlign w:val="center"/>
            <w:hideMark/>
          </w:tcPr>
          <w:p w14:paraId="3AC16E1A" w14:textId="77777777" w:rsidR="00C2444E" w:rsidRPr="00611315" w:rsidRDefault="00C2444E" w:rsidP="00C2444E">
            <w:pPr>
              <w:spacing w:line="276" w:lineRule="auto"/>
              <w:jc w:val="center"/>
              <w:rPr>
                <w:rFonts w:ascii="Verdana" w:hAnsi="Verdana" w:cs="Arial"/>
                <w:iCs/>
                <w:color w:val="000000" w:themeColor="text1"/>
                <w:sz w:val="20"/>
                <w:szCs w:val="20"/>
                <w:lang w:eastAsia="en-US"/>
              </w:rPr>
            </w:pPr>
            <w:r w:rsidRPr="00611315">
              <w:rPr>
                <w:rFonts w:ascii="Verdana" w:hAnsi="Verdana" w:cs="Arial"/>
                <w:iCs/>
                <w:color w:val="000000" w:themeColor="text1"/>
                <w:sz w:val="20"/>
                <w:szCs w:val="20"/>
                <w:lang w:eastAsia="es-CO"/>
              </w:rPr>
              <w:t>19</w:t>
            </w:r>
          </w:p>
        </w:tc>
      </w:tr>
    </w:tbl>
    <w:bookmarkEnd w:id="470"/>
    <w:bookmarkEnd w:id="471"/>
    <w:p w14:paraId="6F5DC16E" w14:textId="51F7A338" w:rsidR="00656205" w:rsidRPr="00C8378C" w:rsidRDefault="003F4FE1" w:rsidP="005C7E10">
      <w:pPr>
        <w:jc w:val="center"/>
        <w:rPr>
          <w:rFonts w:ascii="Verdana" w:hAnsi="Verdana" w:cs="Arial"/>
          <w:sz w:val="32"/>
          <w:szCs w:val="32"/>
        </w:rPr>
      </w:pPr>
      <w:r w:rsidRPr="00C8378C">
        <w:rPr>
          <w:rFonts w:ascii="Verdana" w:hAnsi="Verdana" w:cs="Arial"/>
          <w:b/>
          <w:bCs/>
          <w:sz w:val="22"/>
          <w:szCs w:val="22"/>
        </w:rPr>
        <w:t>Fuente</w:t>
      </w:r>
      <w:r w:rsidRPr="00C8378C">
        <w:rPr>
          <w:rFonts w:ascii="Verdana" w:hAnsi="Verdana" w:cs="Arial"/>
          <w:sz w:val="22"/>
          <w:szCs w:val="22"/>
        </w:rPr>
        <w:t xml:space="preserve">: </w:t>
      </w:r>
      <w:r w:rsidR="00FE440C" w:rsidRPr="00C8378C">
        <w:rPr>
          <w:rFonts w:ascii="Verdana" w:hAnsi="Verdana" w:cs="Arial"/>
          <w:sz w:val="22"/>
          <w:szCs w:val="22"/>
        </w:rPr>
        <w:t>Elaboración propia</w:t>
      </w:r>
    </w:p>
    <w:p w14:paraId="7A7EC6B2" w14:textId="77777777" w:rsidR="00656205" w:rsidRPr="00611315" w:rsidRDefault="00656205" w:rsidP="00656205">
      <w:pPr>
        <w:jc w:val="both"/>
        <w:rPr>
          <w:rFonts w:ascii="Verdana" w:hAnsi="Verdana" w:cs="Arial"/>
          <w:sz w:val="22"/>
          <w:szCs w:val="22"/>
          <w:highlight w:val="yellow"/>
        </w:rPr>
      </w:pPr>
    </w:p>
    <w:p w14:paraId="27DC130E" w14:textId="741F4AD7" w:rsidR="004000ED" w:rsidRPr="00611315" w:rsidRDefault="00656205" w:rsidP="00656205">
      <w:pPr>
        <w:jc w:val="both"/>
        <w:rPr>
          <w:rFonts w:ascii="Verdana" w:hAnsi="Verdana" w:cs="Arial"/>
          <w:sz w:val="22"/>
          <w:szCs w:val="22"/>
        </w:rPr>
      </w:pPr>
      <w:r w:rsidRPr="00611315">
        <w:rPr>
          <w:rFonts w:ascii="Verdana" w:hAnsi="Verdana" w:cs="Arial"/>
          <w:sz w:val="22"/>
          <w:szCs w:val="22"/>
        </w:rPr>
        <w:t>El Decreto 142 de 2023 establece disposiciones para la incorporación de criterios ambientales y sociales en los procesos de contratación pública</w:t>
      </w:r>
      <w:r w:rsidR="0069078F" w:rsidRPr="00611315">
        <w:rPr>
          <w:rFonts w:ascii="Verdana" w:hAnsi="Verdana" w:cs="Arial"/>
          <w:sz w:val="22"/>
          <w:szCs w:val="22"/>
        </w:rPr>
        <w:t xml:space="preserve"> y</w:t>
      </w:r>
      <w:r w:rsidRPr="00611315">
        <w:rPr>
          <w:rFonts w:ascii="Verdana" w:hAnsi="Verdana" w:cs="Arial"/>
          <w:sz w:val="22"/>
          <w:szCs w:val="22"/>
        </w:rPr>
        <w:t xml:space="preserve"> busca promover la sostenibilidad en las adquisiciones del Estado, considerando aspectos como la protección del medio ambiente, el desarrollo social y económico sostenible, así como la equidad y la transparencia en los </w:t>
      </w:r>
      <w:r w:rsidR="399A3130" w:rsidRPr="00611315">
        <w:rPr>
          <w:rFonts w:ascii="Verdana" w:hAnsi="Verdana" w:cs="Arial"/>
          <w:sz w:val="22"/>
          <w:szCs w:val="22"/>
        </w:rPr>
        <w:t>P</w:t>
      </w:r>
      <w:r w:rsidRPr="00611315">
        <w:rPr>
          <w:rFonts w:ascii="Verdana" w:hAnsi="Verdana" w:cs="Arial"/>
          <w:sz w:val="22"/>
          <w:szCs w:val="22"/>
        </w:rPr>
        <w:t xml:space="preserve">rocesos de </w:t>
      </w:r>
      <w:r w:rsidR="010BFEEF" w:rsidRPr="00611315">
        <w:rPr>
          <w:rFonts w:ascii="Verdana" w:hAnsi="Verdana" w:cs="Arial"/>
          <w:sz w:val="22"/>
          <w:szCs w:val="22"/>
        </w:rPr>
        <w:t>C</w:t>
      </w:r>
      <w:r w:rsidRPr="00611315">
        <w:rPr>
          <w:rFonts w:ascii="Verdana" w:hAnsi="Verdana" w:cs="Arial"/>
          <w:sz w:val="22"/>
          <w:szCs w:val="22"/>
        </w:rPr>
        <w:t>ontratación</w:t>
      </w:r>
      <w:r w:rsidR="0069078F" w:rsidRPr="00611315">
        <w:rPr>
          <w:rFonts w:ascii="Verdana" w:hAnsi="Verdana" w:cs="Arial"/>
          <w:sz w:val="22"/>
          <w:szCs w:val="22"/>
        </w:rPr>
        <w:t>,</w:t>
      </w:r>
      <w:r w:rsidR="00072265" w:rsidRPr="00611315">
        <w:rPr>
          <w:rFonts w:ascii="Verdana" w:hAnsi="Verdana" w:cs="Arial"/>
          <w:sz w:val="22"/>
          <w:szCs w:val="22"/>
        </w:rPr>
        <w:t xml:space="preserve"> en adición a ello, en</w:t>
      </w:r>
      <w:r w:rsidR="0069078F" w:rsidRPr="00611315">
        <w:rPr>
          <w:rFonts w:ascii="Verdana" w:hAnsi="Verdana" w:cs="Arial"/>
          <w:sz w:val="22"/>
          <w:szCs w:val="22"/>
        </w:rPr>
        <w:t xml:space="preserve"> </w:t>
      </w:r>
      <w:r w:rsidRPr="00611315">
        <w:rPr>
          <w:rFonts w:ascii="Verdana" w:hAnsi="Verdana" w:cs="Arial"/>
          <w:sz w:val="22"/>
          <w:szCs w:val="22"/>
        </w:rPr>
        <w:t xml:space="preserve">el </w:t>
      </w:r>
      <w:r w:rsidRPr="00611315">
        <w:rPr>
          <w:rFonts w:ascii="Verdana" w:hAnsi="Verdana" w:cs="Arial"/>
          <w:sz w:val="22"/>
          <w:szCs w:val="22"/>
        </w:rPr>
        <w:lastRenderedPageBreak/>
        <w:t xml:space="preserve">Título de emprendimiento comunal e incorporó criterios sociales y ambientales en la valoración de la oferta más favorable, de conformidad con el objeto del contrato.  </w:t>
      </w:r>
    </w:p>
    <w:p w14:paraId="3F82280E" w14:textId="77777777" w:rsidR="004000ED" w:rsidRPr="00611315" w:rsidRDefault="004000ED" w:rsidP="00656205">
      <w:pPr>
        <w:jc w:val="both"/>
        <w:rPr>
          <w:rFonts w:ascii="Verdana" w:hAnsi="Verdana" w:cs="Arial"/>
          <w:sz w:val="22"/>
          <w:szCs w:val="22"/>
        </w:rPr>
      </w:pPr>
    </w:p>
    <w:p w14:paraId="19323EFD" w14:textId="18AFDFE5" w:rsidR="00656205" w:rsidRPr="00611315" w:rsidRDefault="009A6138" w:rsidP="00656205">
      <w:pPr>
        <w:jc w:val="both"/>
        <w:rPr>
          <w:rFonts w:ascii="Verdana" w:hAnsi="Verdana" w:cs="Arial"/>
          <w:sz w:val="22"/>
          <w:szCs w:val="22"/>
        </w:rPr>
      </w:pPr>
      <w:r w:rsidRPr="00611315">
        <w:rPr>
          <w:rFonts w:ascii="Verdana" w:hAnsi="Verdana" w:cs="Arial"/>
          <w:sz w:val="22"/>
          <w:szCs w:val="22"/>
        </w:rPr>
        <w:t>Esta determinación conlleva a incorporar unos nuevos criterios en los factores de calidad, que se hace conforme a los principios de selección objetiva y a la determinación del ofrecimiento más favorable, establecido en el artículo 5 de la Ley 1150 de 2007, reglamentado por el artículo 2.2.1.1.2.2.2 del Decreto 1082 de 2015.</w:t>
      </w:r>
      <w:r w:rsidR="00656205" w:rsidRPr="00611315">
        <w:rPr>
          <w:rFonts w:ascii="Verdana" w:hAnsi="Verdana" w:cs="Arial"/>
          <w:sz w:val="22"/>
          <w:szCs w:val="22"/>
        </w:rPr>
        <w:t xml:space="preserve"> </w:t>
      </w:r>
    </w:p>
    <w:p w14:paraId="37A73931" w14:textId="77777777" w:rsidR="00656205" w:rsidRPr="00611315" w:rsidRDefault="00656205" w:rsidP="00656205">
      <w:pPr>
        <w:jc w:val="both"/>
        <w:rPr>
          <w:rFonts w:ascii="Verdana" w:hAnsi="Verdana" w:cs="Arial"/>
          <w:sz w:val="22"/>
          <w:szCs w:val="22"/>
          <w:highlight w:val="yellow"/>
        </w:rPr>
      </w:pPr>
    </w:p>
    <w:p w14:paraId="2549D901" w14:textId="50B0B397" w:rsidR="00656205" w:rsidRPr="00611315" w:rsidRDefault="00656205" w:rsidP="00656205">
      <w:pPr>
        <w:jc w:val="both"/>
        <w:rPr>
          <w:rFonts w:ascii="Verdana" w:hAnsi="Verdana" w:cs="Arial"/>
          <w:sz w:val="22"/>
          <w:szCs w:val="22"/>
        </w:rPr>
      </w:pPr>
      <w:r w:rsidRPr="00611315">
        <w:rPr>
          <w:rFonts w:ascii="Verdana" w:hAnsi="Verdana" w:cs="Arial"/>
          <w:sz w:val="22"/>
          <w:szCs w:val="22"/>
        </w:rPr>
        <w:t xml:space="preserve">Bajo estas consideraciones, en la modificación planteada se incorporaron los criterios </w:t>
      </w:r>
      <w:r w:rsidR="1FF66F3D" w:rsidRPr="00611315">
        <w:rPr>
          <w:rFonts w:ascii="Verdana" w:hAnsi="Verdana" w:cs="Arial"/>
          <w:sz w:val="22"/>
          <w:szCs w:val="22"/>
        </w:rPr>
        <w:t>a</w:t>
      </w:r>
      <w:r w:rsidRPr="00611315">
        <w:rPr>
          <w:rFonts w:ascii="Verdana" w:hAnsi="Verdana" w:cs="Arial"/>
          <w:sz w:val="22"/>
          <w:szCs w:val="22"/>
        </w:rPr>
        <w:t>mbiént</w:t>
      </w:r>
      <w:r w:rsidR="007A567C" w:rsidRPr="00611315">
        <w:rPr>
          <w:rFonts w:ascii="Verdana" w:hAnsi="Verdana" w:cs="Arial"/>
          <w:sz w:val="22"/>
          <w:szCs w:val="22"/>
        </w:rPr>
        <w:t>a</w:t>
      </w:r>
      <w:r w:rsidRPr="00611315">
        <w:rPr>
          <w:rFonts w:ascii="Verdana" w:hAnsi="Verdana" w:cs="Arial"/>
          <w:sz w:val="22"/>
          <w:szCs w:val="22"/>
        </w:rPr>
        <w:t>l</w:t>
      </w:r>
      <w:r w:rsidR="007A567C" w:rsidRPr="00611315">
        <w:rPr>
          <w:rFonts w:ascii="Verdana" w:hAnsi="Verdana" w:cs="Arial"/>
          <w:sz w:val="22"/>
          <w:szCs w:val="22"/>
        </w:rPr>
        <w:t>e</w:t>
      </w:r>
      <w:r w:rsidRPr="00611315">
        <w:rPr>
          <w:rFonts w:ascii="Verdana" w:hAnsi="Verdana" w:cs="Arial"/>
          <w:sz w:val="22"/>
          <w:szCs w:val="22"/>
        </w:rPr>
        <w:t xml:space="preserve">s y </w:t>
      </w:r>
      <w:r w:rsidR="0BC0F95E" w:rsidRPr="00611315">
        <w:rPr>
          <w:rFonts w:ascii="Verdana" w:hAnsi="Verdana" w:cs="Arial"/>
          <w:sz w:val="22"/>
          <w:szCs w:val="22"/>
        </w:rPr>
        <w:t>s</w:t>
      </w:r>
      <w:r w:rsidRPr="00611315">
        <w:rPr>
          <w:rFonts w:ascii="Verdana" w:hAnsi="Verdana" w:cs="Arial"/>
          <w:sz w:val="22"/>
          <w:szCs w:val="22"/>
        </w:rPr>
        <w:t xml:space="preserve">ociales como factores de calidad, en los cuales se determina otorgar un puntaje de </w:t>
      </w:r>
      <w:r w:rsidR="0030100F" w:rsidRPr="00611315">
        <w:rPr>
          <w:rFonts w:ascii="Verdana" w:hAnsi="Verdana" w:cs="Arial"/>
          <w:sz w:val="22"/>
          <w:szCs w:val="22"/>
        </w:rPr>
        <w:t>veinte (</w:t>
      </w:r>
      <w:r w:rsidRPr="00611315">
        <w:rPr>
          <w:rFonts w:ascii="Verdana" w:hAnsi="Verdana" w:cs="Arial"/>
          <w:sz w:val="22"/>
          <w:szCs w:val="22"/>
        </w:rPr>
        <w:t>20</w:t>
      </w:r>
      <w:r w:rsidR="0030100F" w:rsidRPr="00611315">
        <w:rPr>
          <w:rFonts w:ascii="Verdana" w:hAnsi="Verdana" w:cs="Arial"/>
          <w:sz w:val="22"/>
          <w:szCs w:val="22"/>
        </w:rPr>
        <w:t>)</w:t>
      </w:r>
      <w:r w:rsidRPr="00611315">
        <w:rPr>
          <w:rFonts w:ascii="Verdana" w:hAnsi="Verdana" w:cs="Arial"/>
          <w:sz w:val="22"/>
          <w:szCs w:val="22"/>
        </w:rPr>
        <w:t xml:space="preserve"> puntos al oferente que se comprometa, mediante la suscripción del </w:t>
      </w:r>
      <w:r w:rsidR="5C1418C1" w:rsidRPr="00611315">
        <w:rPr>
          <w:rFonts w:ascii="Verdana" w:hAnsi="Verdana" w:cs="Arial"/>
          <w:sz w:val="22"/>
          <w:szCs w:val="22"/>
        </w:rPr>
        <w:t>F</w:t>
      </w:r>
      <w:r w:rsidRPr="00611315">
        <w:rPr>
          <w:rFonts w:ascii="Verdana" w:hAnsi="Verdana" w:cs="Arial"/>
          <w:sz w:val="22"/>
          <w:szCs w:val="22"/>
        </w:rPr>
        <w:t xml:space="preserve">ormato 14 a incorporar los factores </w:t>
      </w:r>
      <w:r w:rsidR="0E8DD8EC" w:rsidRPr="00611315">
        <w:rPr>
          <w:rFonts w:ascii="Verdana" w:hAnsi="Verdana" w:cs="Arial"/>
          <w:sz w:val="22"/>
          <w:szCs w:val="22"/>
        </w:rPr>
        <w:t>a</w:t>
      </w:r>
      <w:r w:rsidRPr="00611315">
        <w:rPr>
          <w:rFonts w:ascii="Verdana" w:hAnsi="Verdana" w:cs="Arial"/>
          <w:sz w:val="22"/>
          <w:szCs w:val="22"/>
        </w:rPr>
        <w:t xml:space="preserve">mbientales y </w:t>
      </w:r>
      <w:r w:rsidR="405329A9" w:rsidRPr="00611315">
        <w:rPr>
          <w:rFonts w:ascii="Verdana" w:hAnsi="Verdana" w:cs="Arial"/>
          <w:sz w:val="22"/>
          <w:szCs w:val="22"/>
        </w:rPr>
        <w:t>s</w:t>
      </w:r>
      <w:r w:rsidRPr="00611315">
        <w:rPr>
          <w:rFonts w:ascii="Verdana" w:hAnsi="Verdana" w:cs="Arial"/>
          <w:sz w:val="22"/>
          <w:szCs w:val="22"/>
        </w:rPr>
        <w:t xml:space="preserve">ociales </w:t>
      </w:r>
      <w:r w:rsidR="007136AE" w:rsidRPr="00611315">
        <w:rPr>
          <w:rFonts w:ascii="Verdana" w:hAnsi="Verdana" w:cs="Arial"/>
          <w:sz w:val="22"/>
          <w:szCs w:val="22"/>
        </w:rPr>
        <w:t xml:space="preserve">aplicables </w:t>
      </w:r>
      <w:r w:rsidRPr="00611315">
        <w:rPr>
          <w:rFonts w:ascii="Verdana" w:hAnsi="Verdana" w:cs="Arial"/>
          <w:sz w:val="22"/>
          <w:szCs w:val="22"/>
        </w:rPr>
        <w:t>durante la ejecución del contrato, en el evento de resultar favorecido en el proceso de selección al cual aplica</w:t>
      </w:r>
      <w:r w:rsidR="000353C4" w:rsidRPr="00611315">
        <w:rPr>
          <w:rFonts w:ascii="Verdana" w:hAnsi="Verdana" w:cs="Arial"/>
          <w:sz w:val="22"/>
          <w:szCs w:val="22"/>
        </w:rPr>
        <w:t xml:space="preserve">. </w:t>
      </w:r>
      <w:r w:rsidRPr="00611315">
        <w:rPr>
          <w:rFonts w:ascii="Verdana" w:hAnsi="Verdana" w:cs="Arial"/>
          <w:sz w:val="22"/>
          <w:szCs w:val="22"/>
        </w:rPr>
        <w:t xml:space="preserve"> </w:t>
      </w:r>
      <w:r w:rsidR="10C96731" w:rsidRPr="00611315">
        <w:rPr>
          <w:rFonts w:ascii="Verdana" w:hAnsi="Verdana" w:cs="Arial"/>
          <w:sz w:val="22"/>
          <w:szCs w:val="22"/>
        </w:rPr>
        <w:t>D</w:t>
      </w:r>
      <w:r w:rsidRPr="00611315">
        <w:rPr>
          <w:rFonts w:ascii="Verdana" w:hAnsi="Verdana" w:cs="Arial"/>
          <w:sz w:val="22"/>
          <w:szCs w:val="22"/>
        </w:rPr>
        <w:t>e igual manera</w:t>
      </w:r>
      <w:r w:rsidR="356B1B72" w:rsidRPr="00611315">
        <w:rPr>
          <w:rFonts w:ascii="Verdana" w:hAnsi="Verdana" w:cs="Arial"/>
          <w:sz w:val="22"/>
          <w:szCs w:val="22"/>
        </w:rPr>
        <w:t>,</w:t>
      </w:r>
      <w:r w:rsidRPr="00611315">
        <w:rPr>
          <w:rFonts w:ascii="Verdana" w:hAnsi="Verdana" w:cs="Arial"/>
          <w:sz w:val="22"/>
          <w:szCs w:val="22"/>
        </w:rPr>
        <w:t xml:space="preserve"> se continua con la inclusión de los demás factores de calidad, otorgándoles un puntaje menor, tal como se muestra a continuación:</w:t>
      </w:r>
    </w:p>
    <w:p w14:paraId="629F2FD7" w14:textId="77777777" w:rsidR="004C33A5" w:rsidRPr="00611315" w:rsidRDefault="004C33A5" w:rsidP="00656205">
      <w:pPr>
        <w:jc w:val="both"/>
        <w:rPr>
          <w:rFonts w:ascii="Verdana" w:hAnsi="Verdana" w:cs="Arial"/>
          <w:sz w:val="22"/>
          <w:szCs w:val="22"/>
          <w:highlight w:val="yellow"/>
        </w:rPr>
      </w:pPr>
    </w:p>
    <w:p w14:paraId="7E9F936B" w14:textId="62A73903" w:rsidR="004C33A5" w:rsidRPr="00611315" w:rsidRDefault="004C33A5" w:rsidP="00447A32">
      <w:pPr>
        <w:pStyle w:val="Descripcin"/>
        <w:jc w:val="center"/>
        <w:rPr>
          <w:rFonts w:ascii="Verdana" w:hAnsi="Verdana"/>
          <w:sz w:val="22"/>
          <w:szCs w:val="22"/>
        </w:rPr>
      </w:pPr>
      <w:bookmarkStart w:id="472" w:name="_Toc180136834"/>
      <w:bookmarkStart w:id="473" w:name="_Toc231368694"/>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C8378C">
        <w:rPr>
          <w:rFonts w:ascii="Verdana" w:hAnsi="Verdana"/>
          <w:noProof/>
          <w:sz w:val="22"/>
          <w:szCs w:val="22"/>
        </w:rPr>
        <w:t>27</w:t>
      </w:r>
      <w:r w:rsidRPr="00611315">
        <w:rPr>
          <w:rFonts w:ascii="Verdana" w:hAnsi="Verdana"/>
          <w:sz w:val="22"/>
          <w:szCs w:val="22"/>
        </w:rPr>
        <w:fldChar w:fldCharType="end"/>
      </w:r>
      <w:r w:rsidRPr="00611315">
        <w:rPr>
          <w:rFonts w:ascii="Verdana" w:hAnsi="Verdana"/>
          <w:sz w:val="22"/>
          <w:szCs w:val="22"/>
        </w:rPr>
        <w:t>. Factores de calidad propu</w:t>
      </w:r>
      <w:r w:rsidR="00CF2B48" w:rsidRPr="00611315">
        <w:rPr>
          <w:rFonts w:ascii="Verdana" w:hAnsi="Verdana"/>
          <w:sz w:val="22"/>
          <w:szCs w:val="22"/>
        </w:rPr>
        <w:t>e</w:t>
      </w:r>
      <w:r w:rsidRPr="00611315">
        <w:rPr>
          <w:rFonts w:ascii="Verdana" w:hAnsi="Verdana"/>
          <w:sz w:val="22"/>
          <w:szCs w:val="22"/>
        </w:rPr>
        <w:t>sta actual</w:t>
      </w:r>
      <w:bookmarkEnd w:id="472"/>
      <w:bookmarkEnd w:id="473"/>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60"/>
        <w:gridCol w:w="1020"/>
      </w:tblGrid>
      <w:tr w:rsidR="0022778A" w:rsidRPr="00611315" w14:paraId="5871738D" w14:textId="77777777" w:rsidTr="00447A32">
        <w:trPr>
          <w:trHeight w:val="300"/>
          <w:jc w:val="center"/>
        </w:trPr>
        <w:tc>
          <w:tcPr>
            <w:tcW w:w="7860" w:type="dxa"/>
            <w:tcBorders>
              <w:top w:val="double" w:sz="6" w:space="0" w:color="auto"/>
              <w:left w:val="double" w:sz="6" w:space="0" w:color="auto"/>
              <w:bottom w:val="single" w:sz="6" w:space="0" w:color="auto"/>
              <w:right w:val="single" w:sz="6" w:space="0" w:color="auto"/>
            </w:tcBorders>
            <w:shd w:val="clear" w:color="auto" w:fill="404040" w:themeFill="text1" w:themeFillTint="BF"/>
            <w:vAlign w:val="center"/>
            <w:hideMark/>
          </w:tcPr>
          <w:p w14:paraId="0D7E8FA9" w14:textId="30A13A98" w:rsidR="0022778A" w:rsidRPr="00611315" w:rsidRDefault="0022778A" w:rsidP="00303AC1">
            <w:pPr>
              <w:jc w:val="center"/>
              <w:rPr>
                <w:rFonts w:ascii="Verdana" w:eastAsia="Verdana Pro" w:hAnsi="Verdana" w:cs="Verdana Pro"/>
                <w:color w:val="FFFFFF" w:themeColor="background1"/>
                <w:sz w:val="22"/>
                <w:szCs w:val="22"/>
                <w:lang w:eastAsia="en-US"/>
              </w:rPr>
            </w:pPr>
            <w:r w:rsidRPr="00611315">
              <w:rPr>
                <w:rFonts w:ascii="Verdana" w:eastAsia="Verdana Pro" w:hAnsi="Verdana" w:cs="Verdana Pro"/>
                <w:b/>
                <w:color w:val="FFFFFF" w:themeColor="background1"/>
                <w:sz w:val="22"/>
                <w:szCs w:val="22"/>
                <w:lang w:eastAsia="en-US"/>
              </w:rPr>
              <w:t>Concepto</w:t>
            </w:r>
          </w:p>
        </w:tc>
        <w:tc>
          <w:tcPr>
            <w:tcW w:w="1020" w:type="dxa"/>
            <w:tcBorders>
              <w:top w:val="double" w:sz="6" w:space="0" w:color="auto"/>
              <w:left w:val="single" w:sz="6" w:space="0" w:color="auto"/>
              <w:bottom w:val="single" w:sz="6" w:space="0" w:color="auto"/>
              <w:right w:val="double" w:sz="6" w:space="0" w:color="auto"/>
            </w:tcBorders>
            <w:shd w:val="clear" w:color="auto" w:fill="404040" w:themeFill="text1" w:themeFillTint="BF"/>
            <w:vAlign w:val="center"/>
            <w:hideMark/>
          </w:tcPr>
          <w:p w14:paraId="4B5A0B54" w14:textId="34519E3B" w:rsidR="0022778A" w:rsidRPr="00611315" w:rsidRDefault="0022778A" w:rsidP="00303AC1">
            <w:pPr>
              <w:jc w:val="center"/>
              <w:rPr>
                <w:rFonts w:ascii="Verdana" w:eastAsia="Verdana Pro" w:hAnsi="Verdana" w:cs="Verdana Pro"/>
                <w:color w:val="FFFFFF" w:themeColor="background1"/>
                <w:sz w:val="22"/>
                <w:szCs w:val="22"/>
                <w:lang w:eastAsia="en-US"/>
              </w:rPr>
            </w:pPr>
            <w:r w:rsidRPr="00611315">
              <w:rPr>
                <w:rFonts w:ascii="Verdana" w:eastAsia="Verdana Pro" w:hAnsi="Verdana" w:cs="Verdana Pro"/>
                <w:b/>
                <w:color w:val="FFFFFF" w:themeColor="background1"/>
                <w:sz w:val="22"/>
                <w:szCs w:val="22"/>
                <w:lang w:eastAsia="en-US"/>
              </w:rPr>
              <w:t>Puntaje</w:t>
            </w:r>
          </w:p>
        </w:tc>
      </w:tr>
      <w:tr w:rsidR="0022778A" w:rsidRPr="00611315" w14:paraId="0D2B559F" w14:textId="77777777" w:rsidTr="00447A32">
        <w:trPr>
          <w:trHeight w:val="300"/>
          <w:jc w:val="center"/>
        </w:trPr>
        <w:tc>
          <w:tcPr>
            <w:tcW w:w="7860" w:type="dxa"/>
            <w:tcBorders>
              <w:top w:val="single" w:sz="6" w:space="0" w:color="auto"/>
              <w:left w:val="double" w:sz="6" w:space="0" w:color="auto"/>
              <w:bottom w:val="single" w:sz="6" w:space="0" w:color="auto"/>
              <w:right w:val="single" w:sz="6" w:space="0" w:color="auto"/>
            </w:tcBorders>
            <w:vAlign w:val="center"/>
            <w:hideMark/>
          </w:tcPr>
          <w:p w14:paraId="136AC07E" w14:textId="3A2FFC13"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[La Entidad debe elegir una o algunas de las siguientes opciones, de acuerdo con la justificación consignada en el estudio del sector, estudios y documentos previos:</w:t>
            </w:r>
          </w:p>
          <w:p w14:paraId="01675434" w14:textId="5DE6390C"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(i) implementación del programa de gerencia de proyectos;</w:t>
            </w:r>
          </w:p>
          <w:p w14:paraId="74160BBB" w14:textId="64275A86"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w:t>
            </w:r>
            <w:proofErr w:type="spellStart"/>
            <w:r w:rsidRPr="00611315">
              <w:rPr>
                <w:rFonts w:ascii="Verdana" w:eastAsia="Verdana Pro" w:hAnsi="Verdana" w:cs="Verdana Pro"/>
                <w:sz w:val="22"/>
                <w:szCs w:val="22"/>
                <w:lang w:val="es-ES" w:eastAsia="en-US"/>
              </w:rPr>
              <w:t>ii</w:t>
            </w:r>
            <w:proofErr w:type="spellEnd"/>
            <w:r w:rsidRPr="00611315">
              <w:rPr>
                <w:rFonts w:ascii="Verdana" w:eastAsia="Verdana Pro" w:hAnsi="Verdana" w:cs="Verdana Pro"/>
                <w:sz w:val="22"/>
                <w:szCs w:val="22"/>
                <w:lang w:val="es-ES" w:eastAsia="en-US"/>
              </w:rPr>
              <w:t>) disponibilidad y condiciones funcionales de la maquinaria de obra;</w:t>
            </w:r>
          </w:p>
          <w:p w14:paraId="0CCCF1A9" w14:textId="54C8A65D"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w:t>
            </w:r>
            <w:proofErr w:type="spellStart"/>
            <w:r w:rsidRPr="00611315">
              <w:rPr>
                <w:rFonts w:ascii="Verdana" w:eastAsia="Verdana Pro" w:hAnsi="Verdana" w:cs="Verdana Pro"/>
                <w:sz w:val="22"/>
                <w:szCs w:val="22"/>
                <w:lang w:val="es-ES" w:eastAsia="en-US"/>
              </w:rPr>
              <w:t>iii</w:t>
            </w:r>
            <w:proofErr w:type="spellEnd"/>
            <w:r w:rsidRPr="00611315">
              <w:rPr>
                <w:rFonts w:ascii="Verdana" w:eastAsia="Verdana Pro" w:hAnsi="Verdana" w:cs="Verdana Pro"/>
                <w:sz w:val="22"/>
                <w:szCs w:val="22"/>
                <w:lang w:val="es-ES" w:eastAsia="en-US"/>
              </w:rPr>
              <w:t>) presentación de un plan de calidad;</w:t>
            </w:r>
          </w:p>
          <w:p w14:paraId="2D5F8EA0" w14:textId="30A315E7" w:rsidR="0022778A" w:rsidRPr="00611315" w:rsidRDefault="0022778A" w:rsidP="00303AC1">
            <w:pPr>
              <w:jc w:val="center"/>
              <w:rPr>
                <w:rFonts w:ascii="Verdana" w:eastAsia="Verdana Pro" w:hAnsi="Verdana" w:cs="Verdana Pro"/>
                <w:sz w:val="22"/>
                <w:szCs w:val="22"/>
                <w:lang w:eastAsia="en-US"/>
              </w:rPr>
            </w:pPr>
          </w:p>
        </w:tc>
        <w:tc>
          <w:tcPr>
            <w:tcW w:w="1020" w:type="dxa"/>
            <w:tcBorders>
              <w:top w:val="single" w:sz="6" w:space="0" w:color="auto"/>
              <w:left w:val="single" w:sz="6" w:space="0" w:color="auto"/>
              <w:bottom w:val="single" w:sz="6" w:space="0" w:color="auto"/>
              <w:right w:val="double" w:sz="6" w:space="0" w:color="auto"/>
            </w:tcBorders>
            <w:vAlign w:val="center"/>
            <w:hideMark/>
          </w:tcPr>
          <w:p w14:paraId="45EF6CBD" w14:textId="7B8C09C5"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10</w:t>
            </w:r>
          </w:p>
        </w:tc>
      </w:tr>
      <w:tr w:rsidR="0022778A" w:rsidRPr="00611315" w14:paraId="319FD715" w14:textId="77777777" w:rsidTr="00447A32">
        <w:trPr>
          <w:trHeight w:val="300"/>
          <w:jc w:val="center"/>
        </w:trPr>
        <w:tc>
          <w:tcPr>
            <w:tcW w:w="7860" w:type="dxa"/>
            <w:tcBorders>
              <w:top w:val="single" w:sz="6" w:space="0" w:color="auto"/>
              <w:left w:val="double" w:sz="6" w:space="0" w:color="auto"/>
              <w:bottom w:val="single" w:sz="6" w:space="0" w:color="auto"/>
              <w:right w:val="single" w:sz="6" w:space="0" w:color="auto"/>
            </w:tcBorders>
            <w:vAlign w:val="center"/>
            <w:hideMark/>
          </w:tcPr>
          <w:p w14:paraId="1D77B2F9" w14:textId="77777777" w:rsidR="00306C3E" w:rsidRPr="00611315" w:rsidRDefault="00306C3E" w:rsidP="00306C3E">
            <w:pPr>
              <w:jc w:val="center"/>
              <w:rPr>
                <w:rFonts w:ascii="Verdana" w:eastAsia="Verdana Pro" w:hAnsi="Verdana" w:cs="Verdana Pro"/>
                <w:sz w:val="22"/>
                <w:szCs w:val="22"/>
                <w:lang w:val="es-ES" w:eastAsia="en-US"/>
              </w:rPr>
            </w:pPr>
            <w:r w:rsidRPr="00611315">
              <w:rPr>
                <w:rFonts w:ascii="Verdana" w:eastAsia="Verdana Pro" w:hAnsi="Verdana" w:cs="Verdana Pro"/>
                <w:sz w:val="22"/>
                <w:szCs w:val="22"/>
                <w:lang w:val="es-ES" w:eastAsia="en-US"/>
              </w:rPr>
              <w:t>[La Entidad deberá incluir este criterio, el cual está sujeto al rango de cuantías de acuerdo con el Presupuesto Oficial del Proceso de Contratación:</w:t>
            </w:r>
          </w:p>
          <w:p w14:paraId="640B5300" w14:textId="566FE2C5" w:rsidR="0022778A" w:rsidRPr="00611315" w:rsidRDefault="00306C3E"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 xml:space="preserve">(i) Criterios Ambientales y Sociales  </w:t>
            </w:r>
          </w:p>
        </w:tc>
        <w:tc>
          <w:tcPr>
            <w:tcW w:w="1020" w:type="dxa"/>
            <w:tcBorders>
              <w:top w:val="single" w:sz="6" w:space="0" w:color="auto"/>
              <w:left w:val="single" w:sz="6" w:space="0" w:color="auto"/>
              <w:bottom w:val="single" w:sz="6" w:space="0" w:color="auto"/>
              <w:right w:val="double" w:sz="6" w:space="0" w:color="auto"/>
            </w:tcBorders>
            <w:vAlign w:val="center"/>
            <w:hideMark/>
          </w:tcPr>
          <w:p w14:paraId="217C1E37" w14:textId="33CF2510"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20</w:t>
            </w:r>
          </w:p>
        </w:tc>
      </w:tr>
      <w:tr w:rsidR="0022778A" w:rsidRPr="00611315" w14:paraId="27DF61FA" w14:textId="77777777" w:rsidTr="00447A32">
        <w:trPr>
          <w:trHeight w:val="300"/>
          <w:jc w:val="center"/>
        </w:trPr>
        <w:tc>
          <w:tcPr>
            <w:tcW w:w="7860" w:type="dxa"/>
            <w:tcBorders>
              <w:top w:val="single" w:sz="6" w:space="0" w:color="auto"/>
              <w:left w:val="double" w:sz="6" w:space="0" w:color="auto"/>
              <w:bottom w:val="double" w:sz="6" w:space="0" w:color="auto"/>
              <w:right w:val="single" w:sz="6" w:space="0" w:color="auto"/>
            </w:tcBorders>
            <w:vAlign w:val="center"/>
            <w:hideMark/>
          </w:tcPr>
          <w:p w14:paraId="737F135F" w14:textId="179F8084"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Total</w:t>
            </w:r>
          </w:p>
        </w:tc>
        <w:tc>
          <w:tcPr>
            <w:tcW w:w="1020" w:type="dxa"/>
            <w:tcBorders>
              <w:top w:val="single" w:sz="6" w:space="0" w:color="auto"/>
              <w:left w:val="single" w:sz="6" w:space="0" w:color="auto"/>
              <w:bottom w:val="double" w:sz="6" w:space="0" w:color="auto"/>
              <w:right w:val="double" w:sz="6" w:space="0" w:color="auto"/>
            </w:tcBorders>
            <w:vAlign w:val="center"/>
            <w:hideMark/>
          </w:tcPr>
          <w:p w14:paraId="6D1709C9" w14:textId="5D11FF2D" w:rsidR="0022778A" w:rsidRPr="00611315" w:rsidRDefault="0022778A" w:rsidP="00303AC1">
            <w:pPr>
              <w:jc w:val="center"/>
              <w:rPr>
                <w:rFonts w:ascii="Verdana" w:eastAsia="Verdana Pro" w:hAnsi="Verdana" w:cs="Verdana Pro"/>
                <w:sz w:val="22"/>
                <w:szCs w:val="22"/>
                <w:lang w:eastAsia="en-US"/>
              </w:rPr>
            </w:pPr>
            <w:r w:rsidRPr="00611315">
              <w:rPr>
                <w:rFonts w:ascii="Verdana" w:eastAsia="Verdana Pro" w:hAnsi="Verdana" w:cs="Verdana Pro"/>
                <w:sz w:val="22"/>
                <w:szCs w:val="22"/>
                <w:lang w:val="es-ES" w:eastAsia="en-US"/>
              </w:rPr>
              <w:t>30</w:t>
            </w:r>
          </w:p>
        </w:tc>
      </w:tr>
    </w:tbl>
    <w:p w14:paraId="62161D84" w14:textId="350D40CC" w:rsidR="00525BEB" w:rsidRPr="00C8378C" w:rsidRDefault="003F4FE1" w:rsidP="00525BEB">
      <w:pPr>
        <w:jc w:val="center"/>
        <w:rPr>
          <w:rFonts w:ascii="Verdana" w:hAnsi="Verdana" w:cs="Arial"/>
          <w:sz w:val="22"/>
          <w:szCs w:val="22"/>
        </w:rPr>
      </w:pPr>
      <w:r w:rsidRPr="00C8378C">
        <w:rPr>
          <w:rFonts w:ascii="Verdana" w:hAnsi="Verdana" w:cs="Arial"/>
          <w:b/>
          <w:bCs/>
          <w:sz w:val="22"/>
          <w:szCs w:val="22"/>
        </w:rPr>
        <w:t>Fuente</w:t>
      </w:r>
      <w:r w:rsidRPr="00C8378C">
        <w:rPr>
          <w:rFonts w:ascii="Verdana" w:hAnsi="Verdana" w:cs="Arial"/>
          <w:sz w:val="22"/>
          <w:szCs w:val="22"/>
        </w:rPr>
        <w:t xml:space="preserve">: </w:t>
      </w:r>
      <w:r w:rsidR="00525BEB" w:rsidRPr="00C8378C">
        <w:rPr>
          <w:rFonts w:ascii="Verdana" w:hAnsi="Verdana" w:cs="Arial"/>
          <w:sz w:val="22"/>
          <w:szCs w:val="22"/>
        </w:rPr>
        <w:t>Elaboración propia</w:t>
      </w:r>
    </w:p>
    <w:p w14:paraId="3DB9D7E6" w14:textId="356D9031" w:rsidR="00656205" w:rsidRPr="00611315" w:rsidRDefault="00656205" w:rsidP="00656205">
      <w:pPr>
        <w:jc w:val="both"/>
        <w:rPr>
          <w:rFonts w:ascii="Verdana" w:hAnsi="Verdana" w:cs="Arial"/>
          <w:sz w:val="22"/>
          <w:szCs w:val="22"/>
        </w:rPr>
      </w:pPr>
    </w:p>
    <w:p w14:paraId="1D9C796F" w14:textId="5CEDD2AE" w:rsidR="00656205" w:rsidRPr="00611315" w:rsidRDefault="00656205" w:rsidP="00656205">
      <w:pPr>
        <w:jc w:val="both"/>
        <w:rPr>
          <w:rFonts w:ascii="Verdana" w:hAnsi="Verdana" w:cs="Arial"/>
          <w:sz w:val="22"/>
          <w:szCs w:val="22"/>
        </w:rPr>
      </w:pPr>
      <w:r w:rsidRPr="00611315">
        <w:rPr>
          <w:rFonts w:ascii="Verdana" w:hAnsi="Verdana" w:cs="Arial"/>
          <w:sz w:val="22"/>
          <w:szCs w:val="22"/>
        </w:rPr>
        <w:t>En consecuencia</w:t>
      </w:r>
      <w:r w:rsidR="47CA0AE2" w:rsidRPr="00611315">
        <w:rPr>
          <w:rFonts w:ascii="Verdana" w:hAnsi="Verdana" w:cs="Arial"/>
          <w:sz w:val="22"/>
          <w:szCs w:val="22"/>
        </w:rPr>
        <w:t>,</w:t>
      </w:r>
      <w:r w:rsidRPr="00611315">
        <w:rPr>
          <w:rFonts w:ascii="Verdana" w:hAnsi="Verdana" w:cs="Arial"/>
          <w:sz w:val="22"/>
          <w:szCs w:val="22"/>
        </w:rPr>
        <w:t xml:space="preserve"> con las consideraciones ambientales y de sostenibilidad, vigentes y que guardan coherencia con el cambio climático, la Agencia promueve </w:t>
      </w:r>
      <w:r w:rsidR="3C4860D2" w:rsidRPr="00611315">
        <w:rPr>
          <w:rFonts w:ascii="Verdana" w:hAnsi="Verdana" w:cs="Arial"/>
          <w:sz w:val="22"/>
          <w:szCs w:val="22"/>
        </w:rPr>
        <w:t xml:space="preserve">la estructuración de Procesos de Contratación </w:t>
      </w:r>
      <w:r w:rsidRPr="00611315">
        <w:rPr>
          <w:rFonts w:ascii="Verdana" w:hAnsi="Verdana" w:cs="Arial"/>
          <w:sz w:val="22"/>
          <w:szCs w:val="22"/>
        </w:rPr>
        <w:t xml:space="preserve">sostenibles con el ambiente, teniendo en cuenta la importancia de minimizar el impacto ambiental y de contribuir con el uso eficiente de recursos y la adaptación al cambio climático, </w:t>
      </w:r>
      <w:r w:rsidR="00F8226F" w:rsidRPr="00611315">
        <w:rPr>
          <w:rFonts w:ascii="Verdana" w:hAnsi="Verdana" w:cs="Arial"/>
          <w:sz w:val="22"/>
          <w:szCs w:val="22"/>
        </w:rPr>
        <w:t>en concordancia con ello</w:t>
      </w:r>
      <w:r w:rsidRPr="00611315">
        <w:rPr>
          <w:rFonts w:ascii="Verdana" w:hAnsi="Verdana" w:cs="Arial"/>
          <w:sz w:val="22"/>
          <w:szCs w:val="22"/>
        </w:rPr>
        <w:t xml:space="preserve"> ha creado la “Guía de compras públicas sostenibles con el ambiente”.</w:t>
      </w:r>
    </w:p>
    <w:p w14:paraId="16EB59DD" w14:textId="77777777" w:rsidR="00656205" w:rsidRPr="00611315" w:rsidRDefault="00656205" w:rsidP="00656205">
      <w:pPr>
        <w:jc w:val="both"/>
        <w:rPr>
          <w:rFonts w:ascii="Verdana" w:hAnsi="Verdana" w:cs="Arial"/>
          <w:sz w:val="22"/>
          <w:szCs w:val="22"/>
        </w:rPr>
      </w:pPr>
    </w:p>
    <w:p w14:paraId="73A25C72" w14:textId="2AB84237" w:rsidR="00FA14A3" w:rsidRPr="00611315" w:rsidRDefault="00656205" w:rsidP="00656205">
      <w:pPr>
        <w:jc w:val="both"/>
        <w:rPr>
          <w:rFonts w:ascii="Verdana" w:hAnsi="Verdana" w:cs="Arial"/>
          <w:sz w:val="22"/>
          <w:szCs w:val="22"/>
        </w:rPr>
      </w:pPr>
      <w:r w:rsidRPr="00611315">
        <w:rPr>
          <w:rFonts w:ascii="Verdana" w:hAnsi="Verdana" w:cs="Arial"/>
          <w:sz w:val="22"/>
          <w:szCs w:val="22"/>
        </w:rPr>
        <w:lastRenderedPageBreak/>
        <w:t xml:space="preserve">Las compras públicas amigables con el medio ambiente generan beneficios económicos, ambientales, sociales y financieros, y resultan aplicables a la mayoría de los sectores económicos, </w:t>
      </w:r>
      <w:r w:rsidR="009D1166" w:rsidRPr="00611315">
        <w:rPr>
          <w:rFonts w:ascii="Verdana" w:hAnsi="Verdana" w:cs="Arial"/>
          <w:sz w:val="22"/>
          <w:szCs w:val="22"/>
        </w:rPr>
        <w:t>incluyendo los proyectos de agua potable y saneamiento básico</w:t>
      </w:r>
      <w:r w:rsidRPr="00611315">
        <w:rPr>
          <w:rFonts w:ascii="Verdana" w:hAnsi="Verdana" w:cs="Arial"/>
          <w:sz w:val="22"/>
          <w:szCs w:val="22"/>
        </w:rPr>
        <w:t>, en este aspecto conviene indicar que una compra es sostenible “cuando satisface la necesidad y contribuye a la protección del medio ambiente, la reducción en el consumo de recursos, o la inclusión y la justicia social durante el desarrollo de un proceso de compra pública".</w:t>
      </w:r>
    </w:p>
    <w:p w14:paraId="734B1BCF" w14:textId="77777777" w:rsidR="00FA14A3" w:rsidRPr="00611315" w:rsidRDefault="00FA14A3" w:rsidP="00656205">
      <w:pPr>
        <w:jc w:val="both"/>
        <w:rPr>
          <w:rFonts w:ascii="Verdana" w:hAnsi="Verdana" w:cs="Arial"/>
          <w:sz w:val="22"/>
          <w:szCs w:val="22"/>
        </w:rPr>
      </w:pPr>
    </w:p>
    <w:p w14:paraId="35110275" w14:textId="59691FE8" w:rsidR="00005728" w:rsidRPr="00611315" w:rsidRDefault="00656205" w:rsidP="00656205">
      <w:pPr>
        <w:jc w:val="both"/>
        <w:rPr>
          <w:rFonts w:ascii="Verdana" w:hAnsi="Verdana" w:cs="Arial"/>
          <w:sz w:val="22"/>
          <w:szCs w:val="22"/>
          <w:lang w:val="es-MX"/>
        </w:rPr>
      </w:pPr>
      <w:r w:rsidRPr="00611315">
        <w:rPr>
          <w:rFonts w:ascii="Verdana" w:hAnsi="Verdana" w:cs="Arial"/>
          <w:sz w:val="22"/>
          <w:szCs w:val="22"/>
        </w:rPr>
        <w:t>La incorporación</w:t>
      </w:r>
      <w:r w:rsidR="00C863AA" w:rsidRPr="00611315">
        <w:rPr>
          <w:rFonts w:ascii="Verdana" w:hAnsi="Verdana" w:cs="Arial"/>
          <w:sz w:val="22"/>
          <w:szCs w:val="22"/>
        </w:rPr>
        <w:t xml:space="preserve"> en el numeral 4.2.4.</w:t>
      </w:r>
      <w:r w:rsidR="00C15429" w:rsidRPr="00611315">
        <w:rPr>
          <w:rFonts w:ascii="Verdana" w:hAnsi="Verdana" w:cs="Arial"/>
          <w:sz w:val="22"/>
          <w:szCs w:val="22"/>
        </w:rPr>
        <w:t xml:space="preserve"> de</w:t>
      </w:r>
      <w:r w:rsidRPr="00611315">
        <w:rPr>
          <w:rFonts w:ascii="Verdana" w:hAnsi="Verdana" w:cs="Arial"/>
          <w:sz w:val="22"/>
          <w:szCs w:val="22"/>
        </w:rPr>
        <w:t xml:space="preserve"> </w:t>
      </w:r>
      <w:r w:rsidR="00AF6EED" w:rsidRPr="00611315">
        <w:rPr>
          <w:rFonts w:ascii="Verdana" w:hAnsi="Verdana" w:cs="Arial"/>
          <w:sz w:val="22"/>
          <w:szCs w:val="22"/>
        </w:rPr>
        <w:t>los Criterios Ambientales y Sociales dentro de los Factores de Calidad</w:t>
      </w:r>
      <w:r w:rsidRPr="00611315">
        <w:rPr>
          <w:rFonts w:ascii="Verdana" w:hAnsi="Verdana" w:cs="Arial"/>
          <w:sz w:val="22"/>
          <w:szCs w:val="22"/>
        </w:rPr>
        <w:t xml:space="preserve">, para </w:t>
      </w:r>
      <w:r w:rsidR="00C15429" w:rsidRPr="00611315">
        <w:rPr>
          <w:rFonts w:ascii="Verdana" w:hAnsi="Verdana" w:cs="Arial"/>
          <w:sz w:val="22"/>
          <w:szCs w:val="22"/>
        </w:rPr>
        <w:t xml:space="preserve">las </w:t>
      </w:r>
      <w:r w:rsidR="009E7F07" w:rsidRPr="00611315">
        <w:rPr>
          <w:rFonts w:ascii="Verdana" w:hAnsi="Verdana" w:cs="Arial"/>
          <w:sz w:val="22"/>
          <w:szCs w:val="22"/>
        </w:rPr>
        <w:t>modalidades</w:t>
      </w:r>
      <w:r w:rsidR="00C15429" w:rsidRPr="00611315">
        <w:rPr>
          <w:rFonts w:ascii="Verdana" w:hAnsi="Verdana" w:cs="Arial"/>
          <w:sz w:val="22"/>
          <w:szCs w:val="22"/>
        </w:rPr>
        <w:t xml:space="preserve"> de </w:t>
      </w:r>
      <w:r w:rsidRPr="00611315">
        <w:rPr>
          <w:rFonts w:ascii="Verdana" w:hAnsi="Verdana" w:cs="Arial"/>
          <w:sz w:val="22"/>
          <w:szCs w:val="22"/>
        </w:rPr>
        <w:t xml:space="preserve">licitación de obra pública </w:t>
      </w:r>
      <w:r w:rsidR="008C51ED" w:rsidRPr="00611315">
        <w:rPr>
          <w:rFonts w:ascii="Verdana" w:hAnsi="Verdana" w:cs="Arial"/>
          <w:sz w:val="22"/>
          <w:szCs w:val="22"/>
        </w:rPr>
        <w:t xml:space="preserve">y llave en mano </w:t>
      </w:r>
      <w:r w:rsidR="00914B7B" w:rsidRPr="00611315">
        <w:rPr>
          <w:rFonts w:ascii="Verdana" w:hAnsi="Verdana" w:cs="Arial"/>
          <w:sz w:val="22"/>
          <w:szCs w:val="22"/>
        </w:rPr>
        <w:t>se hace discrimina</w:t>
      </w:r>
      <w:r w:rsidR="008C51ED" w:rsidRPr="00611315">
        <w:rPr>
          <w:rFonts w:ascii="Verdana" w:hAnsi="Verdana" w:cs="Arial"/>
          <w:sz w:val="22"/>
          <w:szCs w:val="22"/>
        </w:rPr>
        <w:t>ndo</w:t>
      </w:r>
      <w:r w:rsidR="00A53622" w:rsidRPr="00611315">
        <w:rPr>
          <w:rFonts w:ascii="Verdana" w:hAnsi="Verdana" w:cs="Arial"/>
          <w:sz w:val="22"/>
          <w:szCs w:val="22"/>
        </w:rPr>
        <w:t xml:space="preserve"> los ve</w:t>
      </w:r>
      <w:r w:rsidR="009E7F07" w:rsidRPr="00611315">
        <w:rPr>
          <w:rFonts w:ascii="Verdana" w:hAnsi="Verdana" w:cs="Arial"/>
          <w:sz w:val="22"/>
          <w:szCs w:val="22"/>
        </w:rPr>
        <w:t>i</w:t>
      </w:r>
      <w:r w:rsidR="00A53622" w:rsidRPr="00611315">
        <w:rPr>
          <w:rFonts w:ascii="Verdana" w:hAnsi="Verdana" w:cs="Arial"/>
          <w:sz w:val="22"/>
          <w:szCs w:val="22"/>
        </w:rPr>
        <w:t xml:space="preserve">nte (20) puntos de la siguiente manera: a) </w:t>
      </w:r>
      <w:r w:rsidR="00914B7B" w:rsidRPr="00611315">
        <w:rPr>
          <w:rFonts w:ascii="Verdana" w:hAnsi="Verdana" w:cs="Arial"/>
          <w:sz w:val="22"/>
          <w:szCs w:val="22"/>
          <w:lang w:val="es-MX"/>
        </w:rPr>
        <w:t>die</w:t>
      </w:r>
      <w:r w:rsidR="00C1721F" w:rsidRPr="00611315">
        <w:rPr>
          <w:rFonts w:ascii="Verdana" w:hAnsi="Verdana" w:cs="Arial"/>
          <w:sz w:val="22"/>
          <w:szCs w:val="22"/>
          <w:lang w:val="es-MX"/>
        </w:rPr>
        <w:t xml:space="preserve">z y </w:t>
      </w:r>
      <w:r w:rsidR="00914B7B" w:rsidRPr="00611315">
        <w:rPr>
          <w:rFonts w:ascii="Verdana" w:hAnsi="Verdana" w:cs="Arial"/>
          <w:sz w:val="22"/>
          <w:szCs w:val="22"/>
          <w:lang w:val="es-MX"/>
        </w:rPr>
        <w:t xml:space="preserve">ocho (18) puntos al proponente que se comprometa a ofrecer los elementos que conforman el criterio ambiental y </w:t>
      </w:r>
      <w:r w:rsidR="00976035" w:rsidRPr="00611315">
        <w:rPr>
          <w:rFonts w:ascii="Verdana" w:hAnsi="Verdana" w:cs="Arial"/>
          <w:sz w:val="22"/>
          <w:szCs w:val="22"/>
          <w:lang w:val="es-MX"/>
        </w:rPr>
        <w:t xml:space="preserve">b) </w:t>
      </w:r>
      <w:r w:rsidR="00914B7B" w:rsidRPr="00611315">
        <w:rPr>
          <w:rFonts w:ascii="Verdana" w:hAnsi="Verdana" w:cs="Arial"/>
          <w:sz w:val="22"/>
          <w:szCs w:val="22"/>
          <w:lang w:val="es-MX"/>
        </w:rPr>
        <w:t>dos (2) puntos al proponente que se comprometa a ofrecer los elementos que conforman el criterio social, para un total de veinte puntos</w:t>
      </w:r>
      <w:r w:rsidR="0064038A" w:rsidRPr="00611315">
        <w:rPr>
          <w:rFonts w:ascii="Verdana" w:hAnsi="Verdana" w:cs="Arial"/>
          <w:sz w:val="22"/>
          <w:szCs w:val="22"/>
          <w:lang w:val="es-MX"/>
        </w:rPr>
        <w:t>.</w:t>
      </w:r>
      <w:r w:rsidR="00214CA1" w:rsidRPr="00611315">
        <w:rPr>
          <w:rFonts w:ascii="Verdana" w:hAnsi="Verdana" w:cs="Arial"/>
          <w:sz w:val="22"/>
          <w:szCs w:val="22"/>
          <w:lang w:val="es-MX"/>
        </w:rPr>
        <w:t xml:space="preserve"> </w:t>
      </w:r>
    </w:p>
    <w:p w14:paraId="0B32AC49" w14:textId="77777777" w:rsidR="00D63CAF" w:rsidRPr="00611315" w:rsidRDefault="00D63CAF" w:rsidP="00656205">
      <w:pPr>
        <w:jc w:val="both"/>
        <w:rPr>
          <w:rFonts w:ascii="Verdana" w:hAnsi="Verdana" w:cs="Arial"/>
          <w:sz w:val="22"/>
          <w:szCs w:val="22"/>
          <w:lang w:val="es-MX"/>
        </w:rPr>
      </w:pPr>
    </w:p>
    <w:p w14:paraId="7C4AF6B9" w14:textId="0CC31E8C" w:rsidR="00C15429" w:rsidRPr="00611315" w:rsidRDefault="00005728" w:rsidP="00656205">
      <w:pPr>
        <w:jc w:val="both"/>
        <w:rPr>
          <w:rFonts w:ascii="Verdana" w:hAnsi="Verdana" w:cs="Arial"/>
          <w:i/>
          <w:sz w:val="22"/>
          <w:szCs w:val="22"/>
        </w:rPr>
      </w:pPr>
      <w:r w:rsidRPr="00611315">
        <w:rPr>
          <w:rFonts w:ascii="Verdana" w:hAnsi="Verdana" w:cs="Arial"/>
          <w:sz w:val="22"/>
          <w:szCs w:val="22"/>
          <w:lang w:val="es-MX"/>
        </w:rPr>
        <w:t>Para</w:t>
      </w:r>
      <w:r w:rsidR="00214CA1" w:rsidRPr="00611315">
        <w:rPr>
          <w:rFonts w:ascii="Verdana" w:hAnsi="Verdana" w:cs="Arial"/>
          <w:sz w:val="22"/>
          <w:szCs w:val="22"/>
          <w:lang w:val="es-MX"/>
        </w:rPr>
        <w:t xml:space="preserve"> los proyectos que se ejecuten para la mod</w:t>
      </w:r>
      <w:r w:rsidRPr="00611315">
        <w:rPr>
          <w:rFonts w:ascii="Verdana" w:hAnsi="Verdana" w:cs="Arial"/>
          <w:sz w:val="22"/>
          <w:szCs w:val="22"/>
          <w:lang w:val="es-MX"/>
        </w:rPr>
        <w:t>a</w:t>
      </w:r>
      <w:r w:rsidR="00214CA1" w:rsidRPr="00611315">
        <w:rPr>
          <w:rFonts w:ascii="Verdana" w:hAnsi="Verdana" w:cs="Arial"/>
          <w:sz w:val="22"/>
          <w:szCs w:val="22"/>
          <w:lang w:val="es-MX"/>
        </w:rPr>
        <w:t xml:space="preserve">lidad </w:t>
      </w:r>
      <w:r w:rsidRPr="00611315">
        <w:rPr>
          <w:rFonts w:ascii="Verdana" w:hAnsi="Verdana" w:cs="Arial"/>
          <w:sz w:val="22"/>
          <w:szCs w:val="22"/>
          <w:lang w:val="es-MX"/>
        </w:rPr>
        <w:t xml:space="preserve">de </w:t>
      </w:r>
      <w:r w:rsidR="00214CA1" w:rsidRPr="00611315">
        <w:rPr>
          <w:rFonts w:ascii="Verdana" w:hAnsi="Verdana" w:cs="Arial"/>
          <w:sz w:val="22"/>
          <w:szCs w:val="22"/>
          <w:lang w:val="es-MX"/>
        </w:rPr>
        <w:t xml:space="preserve">“Llave en mano” </w:t>
      </w:r>
      <w:r w:rsidR="001972ED" w:rsidRPr="00611315">
        <w:rPr>
          <w:rFonts w:ascii="Verdana" w:hAnsi="Verdana" w:cs="Arial"/>
          <w:sz w:val="22"/>
          <w:szCs w:val="22"/>
          <w:lang w:val="es-MX"/>
        </w:rPr>
        <w:t xml:space="preserve">en el numeral 4.2.3.1. </w:t>
      </w:r>
      <w:r w:rsidR="00D63CAF" w:rsidRPr="00611315">
        <w:rPr>
          <w:rFonts w:ascii="Verdana" w:hAnsi="Verdana" w:cs="Arial"/>
          <w:sz w:val="22"/>
          <w:szCs w:val="22"/>
          <w:lang w:val="es-MX"/>
        </w:rPr>
        <w:t xml:space="preserve">“Criterios Ambientales para le </w:t>
      </w:r>
      <w:r w:rsidR="00081807" w:rsidRPr="00611315">
        <w:rPr>
          <w:rFonts w:ascii="Verdana" w:hAnsi="Verdana" w:cs="Arial"/>
          <w:sz w:val="22"/>
          <w:szCs w:val="22"/>
          <w:lang w:val="es-MX"/>
        </w:rPr>
        <w:t>etapa</w:t>
      </w:r>
      <w:r w:rsidR="00D63CAF" w:rsidRPr="00611315">
        <w:rPr>
          <w:rFonts w:ascii="Verdana" w:hAnsi="Verdana" w:cs="Arial"/>
          <w:sz w:val="22"/>
          <w:szCs w:val="22"/>
          <w:lang w:val="es-MX"/>
        </w:rPr>
        <w:t xml:space="preserve"> de construcción” </w:t>
      </w:r>
      <w:r w:rsidR="00214CA1" w:rsidRPr="00611315">
        <w:rPr>
          <w:rFonts w:ascii="Verdana" w:hAnsi="Verdana" w:cs="Arial"/>
          <w:sz w:val="22"/>
          <w:szCs w:val="22"/>
          <w:lang w:val="es-MX"/>
        </w:rPr>
        <w:t xml:space="preserve">se hace la diferenciación de </w:t>
      </w:r>
      <w:r w:rsidR="00081807" w:rsidRPr="00611315">
        <w:rPr>
          <w:rFonts w:ascii="Verdana" w:hAnsi="Verdana" w:cs="Arial"/>
          <w:sz w:val="22"/>
          <w:szCs w:val="22"/>
          <w:lang w:val="es-MX"/>
        </w:rPr>
        <w:t>otorgar</w:t>
      </w:r>
      <w:r w:rsidR="00214CA1" w:rsidRPr="00611315">
        <w:rPr>
          <w:rFonts w:ascii="Verdana" w:hAnsi="Verdana" w:cs="Arial"/>
          <w:sz w:val="22"/>
          <w:szCs w:val="22"/>
          <w:lang w:val="es-MX"/>
        </w:rPr>
        <w:t xml:space="preserve"> diez y</w:t>
      </w:r>
      <w:r w:rsidRPr="00611315">
        <w:rPr>
          <w:rFonts w:ascii="Verdana" w:hAnsi="Verdana" w:cs="Arial"/>
          <w:sz w:val="22"/>
          <w:szCs w:val="22"/>
          <w:lang w:val="es-MX"/>
        </w:rPr>
        <w:t xml:space="preserve"> siete </w:t>
      </w:r>
      <w:r w:rsidR="00214CA1" w:rsidRPr="00611315">
        <w:rPr>
          <w:rFonts w:ascii="Verdana" w:hAnsi="Verdana" w:cs="Arial"/>
          <w:sz w:val="22"/>
          <w:szCs w:val="22"/>
          <w:lang w:val="es-MX"/>
        </w:rPr>
        <w:t>(1</w:t>
      </w:r>
      <w:r w:rsidRPr="00611315">
        <w:rPr>
          <w:rFonts w:ascii="Verdana" w:hAnsi="Verdana" w:cs="Arial"/>
          <w:sz w:val="22"/>
          <w:szCs w:val="22"/>
          <w:lang w:val="es-MX"/>
        </w:rPr>
        <w:t>7</w:t>
      </w:r>
      <w:r w:rsidR="00214CA1" w:rsidRPr="00611315">
        <w:rPr>
          <w:rFonts w:ascii="Verdana" w:hAnsi="Verdana" w:cs="Arial"/>
          <w:sz w:val="22"/>
          <w:szCs w:val="22"/>
          <w:lang w:val="es-MX"/>
        </w:rPr>
        <w:t xml:space="preserve">) puntos para la etapa de construcción y </w:t>
      </w:r>
      <w:r w:rsidR="00E241BD" w:rsidRPr="00611315">
        <w:rPr>
          <w:rFonts w:ascii="Verdana" w:hAnsi="Verdana" w:cs="Arial"/>
          <w:sz w:val="22"/>
          <w:szCs w:val="22"/>
          <w:lang w:val="es-MX"/>
        </w:rPr>
        <w:t xml:space="preserve">en el numeral 4.2.3.2 se señala que se </w:t>
      </w:r>
      <w:r w:rsidR="00081807" w:rsidRPr="00611315">
        <w:rPr>
          <w:rFonts w:ascii="Verdana" w:hAnsi="Verdana" w:cs="Arial"/>
          <w:sz w:val="22"/>
          <w:szCs w:val="22"/>
          <w:lang w:val="es-MX"/>
        </w:rPr>
        <w:t>otorgara</w:t>
      </w:r>
      <w:r w:rsidR="00E241BD" w:rsidRPr="00611315">
        <w:rPr>
          <w:rFonts w:ascii="Verdana" w:hAnsi="Verdana" w:cs="Arial"/>
          <w:sz w:val="22"/>
          <w:szCs w:val="22"/>
          <w:lang w:val="es-MX"/>
        </w:rPr>
        <w:t xml:space="preserve"> </w:t>
      </w:r>
      <w:r w:rsidR="00214CA1" w:rsidRPr="00611315">
        <w:rPr>
          <w:rFonts w:ascii="Verdana" w:hAnsi="Verdana" w:cs="Arial"/>
          <w:sz w:val="22"/>
          <w:szCs w:val="22"/>
          <w:lang w:val="es-MX"/>
        </w:rPr>
        <w:t>un (1) punto para la etapa de estudios y diseños.</w:t>
      </w:r>
    </w:p>
    <w:p w14:paraId="37606D7E" w14:textId="77777777" w:rsidR="00CF2B48" w:rsidRPr="00611315" w:rsidRDefault="00CF2B48" w:rsidP="00656205">
      <w:pPr>
        <w:jc w:val="both"/>
        <w:rPr>
          <w:rFonts w:ascii="Verdana" w:hAnsi="Verdana" w:cs="Arial"/>
          <w:i/>
          <w:sz w:val="22"/>
          <w:szCs w:val="22"/>
        </w:rPr>
      </w:pPr>
    </w:p>
    <w:p w14:paraId="0F6C176D" w14:textId="313EFFD8" w:rsidR="00684DD7" w:rsidRPr="00611315" w:rsidRDefault="00887371" w:rsidP="00656205">
      <w:pPr>
        <w:jc w:val="both"/>
        <w:rPr>
          <w:rFonts w:ascii="Verdana" w:hAnsi="Verdana" w:cs="Arial"/>
          <w:sz w:val="22"/>
          <w:szCs w:val="22"/>
          <w:lang w:val="es-MX"/>
        </w:rPr>
      </w:pPr>
      <w:r w:rsidRPr="00611315">
        <w:rPr>
          <w:rFonts w:ascii="Verdana" w:hAnsi="Verdana" w:cs="Arial"/>
          <w:sz w:val="22"/>
          <w:szCs w:val="22"/>
          <w:lang w:val="es-MX"/>
        </w:rPr>
        <w:t>Para acreditar dicho compromiso,</w:t>
      </w:r>
      <w:r w:rsidR="005E7EAB" w:rsidRPr="00611315">
        <w:rPr>
          <w:rFonts w:ascii="Verdana" w:hAnsi="Verdana" w:cs="Arial"/>
          <w:sz w:val="22"/>
          <w:szCs w:val="22"/>
          <w:lang w:val="es-MX"/>
        </w:rPr>
        <w:t xml:space="preserve"> el proponente deberá presentar el Formato 12, suscrito bajo la gravedad de juramento, en el que conste que asume la totalidad de las actividades contempladas para cada una de las opciones planteadas, dependiendo de</w:t>
      </w:r>
      <w:r w:rsidR="00684DD7" w:rsidRPr="00611315">
        <w:rPr>
          <w:rFonts w:ascii="Verdana" w:hAnsi="Verdana" w:cs="Arial"/>
          <w:sz w:val="22"/>
          <w:szCs w:val="22"/>
          <w:lang w:val="es-MX"/>
        </w:rPr>
        <w:t xml:space="preserve"> un rango de</w:t>
      </w:r>
      <w:r w:rsidR="005E7EAB" w:rsidRPr="00611315">
        <w:rPr>
          <w:rFonts w:ascii="Verdana" w:hAnsi="Verdana" w:cs="Arial"/>
          <w:sz w:val="22"/>
          <w:szCs w:val="22"/>
          <w:lang w:val="es-MX"/>
        </w:rPr>
        <w:t>l Presupuesto Oficial del proceso de contratación</w:t>
      </w:r>
    </w:p>
    <w:p w14:paraId="3872D3A6" w14:textId="77777777" w:rsidR="00656205" w:rsidRPr="00611315" w:rsidRDefault="00656205" w:rsidP="00656205">
      <w:pPr>
        <w:jc w:val="both"/>
        <w:rPr>
          <w:rFonts w:ascii="Verdana" w:hAnsi="Verdana" w:cs="Arial"/>
          <w:sz w:val="22"/>
          <w:szCs w:val="22"/>
        </w:rPr>
      </w:pPr>
    </w:p>
    <w:p w14:paraId="487BF906" w14:textId="344F37B6" w:rsidR="000D616F" w:rsidRPr="000F455A" w:rsidRDefault="00BE2021" w:rsidP="000D616F">
      <w:pPr>
        <w:spacing w:line="257" w:lineRule="auto"/>
        <w:jc w:val="both"/>
        <w:rPr>
          <w:rFonts w:ascii="Verdana" w:eastAsia="Arial" w:hAnsi="Verdana" w:cs="Arial"/>
          <w:sz w:val="22"/>
          <w:szCs w:val="22"/>
        </w:rPr>
      </w:pPr>
      <w:r w:rsidRPr="000F455A">
        <w:rPr>
          <w:rFonts w:ascii="Verdana" w:eastAsia="Arial" w:hAnsi="Verdana" w:cs="Arial"/>
          <w:sz w:val="22"/>
          <w:szCs w:val="22"/>
        </w:rPr>
        <w:t xml:space="preserve">En este contexto, se definieron los siguientes rangos de SMMLV que están en función del presupuesto oficial aplicable al proceso de selección, sobre los cuales </w:t>
      </w:r>
      <w:r w:rsidR="00504D14" w:rsidRPr="000F455A">
        <w:rPr>
          <w:rFonts w:ascii="Verdana" w:eastAsia="Arial" w:hAnsi="Verdana" w:cs="Arial"/>
          <w:sz w:val="22"/>
          <w:szCs w:val="22"/>
        </w:rPr>
        <w:t>deben aplicarse las opciones que se describen más adelante.</w:t>
      </w:r>
    </w:p>
    <w:p w14:paraId="0281358A" w14:textId="00C4CDEA" w:rsidR="798044E5" w:rsidRPr="000F455A" w:rsidRDefault="798044E5" w:rsidP="00954F93">
      <w:pPr>
        <w:spacing w:line="257" w:lineRule="auto"/>
        <w:jc w:val="both"/>
        <w:rPr>
          <w:rFonts w:ascii="Verdana" w:eastAsia="Arial" w:hAnsi="Verdana" w:cs="Arial"/>
          <w:sz w:val="22"/>
          <w:szCs w:val="22"/>
        </w:rPr>
      </w:pPr>
    </w:p>
    <w:p w14:paraId="02D69AE7" w14:textId="5FC3BDED" w:rsidR="00592263" w:rsidRPr="000F455A" w:rsidRDefault="00592263" w:rsidP="00B21089">
      <w:pPr>
        <w:pStyle w:val="Descripcin"/>
        <w:jc w:val="center"/>
        <w:rPr>
          <w:rFonts w:ascii="Verdana" w:hAnsi="Verdana"/>
          <w:sz w:val="22"/>
          <w:szCs w:val="22"/>
          <w:lang w:eastAsia="es-CO"/>
        </w:rPr>
      </w:pPr>
      <w:bookmarkStart w:id="474" w:name="_Toc231368695"/>
      <w:r w:rsidRPr="000F455A">
        <w:rPr>
          <w:rFonts w:ascii="Verdana" w:hAnsi="Verdana"/>
          <w:sz w:val="22"/>
          <w:szCs w:val="22"/>
        </w:rPr>
        <w:t xml:space="preserve">Tabla </w:t>
      </w:r>
      <w:r w:rsidRPr="000F455A">
        <w:rPr>
          <w:rFonts w:ascii="Verdana" w:hAnsi="Verdana"/>
          <w:sz w:val="22"/>
          <w:szCs w:val="22"/>
        </w:rPr>
        <w:fldChar w:fldCharType="begin"/>
      </w:r>
      <w:r w:rsidRPr="000F455A">
        <w:rPr>
          <w:rFonts w:ascii="Verdana" w:hAnsi="Verdana"/>
          <w:sz w:val="22"/>
          <w:szCs w:val="22"/>
        </w:rPr>
        <w:instrText xml:space="preserve"> SEQ Tabla \* ARABIC </w:instrText>
      </w:r>
      <w:r w:rsidRPr="000F455A">
        <w:rPr>
          <w:rFonts w:ascii="Verdana" w:hAnsi="Verdana"/>
          <w:sz w:val="22"/>
          <w:szCs w:val="22"/>
        </w:rPr>
        <w:fldChar w:fldCharType="separate"/>
      </w:r>
      <w:r w:rsidR="00081807">
        <w:rPr>
          <w:rFonts w:ascii="Verdana" w:hAnsi="Verdana"/>
          <w:noProof/>
          <w:sz w:val="22"/>
          <w:szCs w:val="22"/>
        </w:rPr>
        <w:t>28</w:t>
      </w:r>
      <w:r w:rsidRPr="000F455A">
        <w:rPr>
          <w:rFonts w:ascii="Verdana" w:hAnsi="Verdana"/>
          <w:sz w:val="22"/>
          <w:szCs w:val="22"/>
        </w:rPr>
        <w:fldChar w:fldCharType="end"/>
      </w:r>
      <w:r w:rsidRPr="000F455A">
        <w:rPr>
          <w:rFonts w:ascii="Verdana" w:hAnsi="Verdana"/>
          <w:sz w:val="22"/>
          <w:szCs w:val="22"/>
        </w:rPr>
        <w:t xml:space="preserve">. </w:t>
      </w:r>
      <w:r w:rsidR="00E27404" w:rsidRPr="000F455A">
        <w:rPr>
          <w:rFonts w:ascii="Verdana" w:hAnsi="Verdana"/>
          <w:sz w:val="22"/>
          <w:szCs w:val="22"/>
        </w:rPr>
        <w:t>Opciones aplicables en función de los Rangos de SMMLV</w:t>
      </w:r>
      <w:bookmarkEnd w:id="474"/>
    </w:p>
    <w:tbl>
      <w:tblPr>
        <w:tblW w:w="7789" w:type="dxa"/>
        <w:tblInd w:w="1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78"/>
        <w:gridCol w:w="4111"/>
      </w:tblGrid>
      <w:tr w:rsidR="00BC430D" w:rsidRPr="000F455A" w14:paraId="2BF6BAEB" w14:textId="77777777" w:rsidTr="00954F93">
        <w:trPr>
          <w:trHeight w:val="300"/>
          <w:tblHeader/>
        </w:trPr>
        <w:tc>
          <w:tcPr>
            <w:tcW w:w="3678"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19D49D15" w14:textId="53C789C9" w:rsidR="007E5901" w:rsidRPr="000F455A" w:rsidRDefault="009D2BD5" w:rsidP="00B21089">
            <w:pPr>
              <w:jc w:val="center"/>
              <w:rPr>
                <w:rFonts w:ascii="Verdana" w:eastAsia="Arial" w:hAnsi="Verdana" w:cs="Arial"/>
                <w:b/>
                <w:bCs/>
                <w:sz w:val="22"/>
                <w:szCs w:val="22"/>
                <w:lang w:eastAsia="es-CO"/>
              </w:rPr>
            </w:pPr>
            <w:r w:rsidRPr="000F455A">
              <w:rPr>
                <w:rFonts w:ascii="Verdana" w:eastAsia="Arial" w:hAnsi="Verdana" w:cs="Arial"/>
                <w:b/>
                <w:bCs/>
                <w:sz w:val="22"/>
                <w:szCs w:val="22"/>
                <w:lang w:eastAsia="es-CO"/>
              </w:rPr>
              <w:t>Rango de SMMLV</w:t>
            </w:r>
          </w:p>
        </w:tc>
        <w:tc>
          <w:tcPr>
            <w:tcW w:w="4111" w:type="dxa"/>
            <w:tcBorders>
              <w:top w:val="single" w:sz="6" w:space="0" w:color="auto"/>
              <w:left w:val="single" w:sz="6" w:space="0" w:color="auto"/>
              <w:bottom w:val="single" w:sz="6" w:space="0" w:color="auto"/>
              <w:right w:val="single" w:sz="6" w:space="0" w:color="auto"/>
            </w:tcBorders>
            <w:shd w:val="clear" w:color="auto" w:fill="000000" w:themeFill="text1"/>
            <w:hideMark/>
          </w:tcPr>
          <w:p w14:paraId="2D4E3291" w14:textId="1795B6C0" w:rsidR="68B51EAA" w:rsidRPr="000F455A" w:rsidRDefault="009E7F07" w:rsidP="00B21089">
            <w:pPr>
              <w:jc w:val="center"/>
              <w:rPr>
                <w:rFonts w:ascii="Verdana" w:eastAsia="Arial" w:hAnsi="Verdana" w:cs="Arial"/>
                <w:b/>
                <w:bCs/>
                <w:sz w:val="22"/>
                <w:szCs w:val="22"/>
                <w:lang w:eastAsia="es-CO"/>
              </w:rPr>
            </w:pPr>
            <w:r w:rsidRPr="000F455A">
              <w:rPr>
                <w:rFonts w:ascii="Verdana" w:eastAsia="Arial" w:hAnsi="Verdana" w:cs="Arial"/>
                <w:b/>
                <w:bCs/>
                <w:sz w:val="22"/>
                <w:szCs w:val="22"/>
                <w:lang w:eastAsia="es-CO"/>
              </w:rPr>
              <w:t>Opción</w:t>
            </w:r>
            <w:r w:rsidR="009D2BD5" w:rsidRPr="000F455A">
              <w:rPr>
                <w:rFonts w:ascii="Verdana" w:eastAsia="Arial" w:hAnsi="Verdana" w:cs="Arial"/>
                <w:b/>
                <w:bCs/>
                <w:sz w:val="22"/>
                <w:szCs w:val="22"/>
                <w:lang w:eastAsia="es-CO"/>
              </w:rPr>
              <w:t xml:space="preserve"> aplicable</w:t>
            </w:r>
          </w:p>
        </w:tc>
      </w:tr>
      <w:tr w:rsidR="007E5901" w:rsidRPr="000F455A" w14:paraId="333EB9B3" w14:textId="77777777" w:rsidTr="00954F93">
        <w:trPr>
          <w:trHeight w:val="300"/>
        </w:trPr>
        <w:tc>
          <w:tcPr>
            <w:tcW w:w="3678" w:type="dxa"/>
            <w:tcBorders>
              <w:top w:val="single" w:sz="6" w:space="0" w:color="auto"/>
              <w:left w:val="single" w:sz="6" w:space="0" w:color="auto"/>
              <w:bottom w:val="single" w:sz="6" w:space="0" w:color="auto"/>
              <w:right w:val="single" w:sz="6" w:space="0" w:color="auto"/>
            </w:tcBorders>
            <w:hideMark/>
          </w:tcPr>
          <w:p w14:paraId="336DA5D5" w14:textId="65909367" w:rsidR="007E5901" w:rsidRPr="00954F93" w:rsidRDefault="009D2BD5" w:rsidP="00954F93">
            <w:pPr>
              <w:jc w:val="center"/>
              <w:rPr>
                <w:rFonts w:ascii="Verdana" w:eastAsia="Arial" w:hAnsi="Verdana" w:cs="Arial"/>
                <w:sz w:val="22"/>
                <w:szCs w:val="22"/>
                <w:lang w:val="es-ES" w:eastAsia="es-CO"/>
              </w:rPr>
            </w:pPr>
            <w:r w:rsidRPr="00954F93">
              <w:rPr>
                <w:rFonts w:ascii="Verdana" w:eastAsia="Arial" w:hAnsi="Verdana" w:cs="Arial"/>
                <w:sz w:val="22"/>
                <w:szCs w:val="22"/>
                <w:lang w:val="es-ES" w:eastAsia="es-CO"/>
              </w:rPr>
              <w:t>Menor o igual a 1000 SMMLV</w:t>
            </w:r>
          </w:p>
        </w:tc>
        <w:tc>
          <w:tcPr>
            <w:tcW w:w="4111" w:type="dxa"/>
            <w:tcBorders>
              <w:top w:val="single" w:sz="6" w:space="0" w:color="auto"/>
              <w:left w:val="single" w:sz="6" w:space="0" w:color="auto"/>
              <w:bottom w:val="single" w:sz="6" w:space="0" w:color="auto"/>
              <w:right w:val="single" w:sz="6" w:space="0" w:color="auto"/>
            </w:tcBorders>
            <w:hideMark/>
          </w:tcPr>
          <w:p w14:paraId="7FC492C0" w14:textId="524002FD" w:rsidR="60FC096A" w:rsidRPr="000F455A" w:rsidRDefault="009D2BD5" w:rsidP="00B21089">
            <w:pPr>
              <w:jc w:val="center"/>
              <w:rPr>
                <w:rFonts w:ascii="Verdana" w:eastAsia="Arial" w:hAnsi="Verdana" w:cs="Arial"/>
                <w:sz w:val="22"/>
                <w:szCs w:val="22"/>
                <w:lang w:val="es-ES" w:eastAsia="es-CO"/>
              </w:rPr>
            </w:pPr>
            <w:r w:rsidRPr="000F455A">
              <w:rPr>
                <w:rFonts w:ascii="Verdana" w:eastAsia="Arial" w:hAnsi="Verdana" w:cs="Arial"/>
                <w:sz w:val="22"/>
                <w:szCs w:val="22"/>
                <w:lang w:eastAsia="es-CO"/>
              </w:rPr>
              <w:t>Opción 1</w:t>
            </w:r>
          </w:p>
        </w:tc>
      </w:tr>
      <w:tr w:rsidR="007E5901" w:rsidRPr="000F455A" w14:paraId="49B2994A" w14:textId="77777777" w:rsidTr="00954F93">
        <w:trPr>
          <w:trHeight w:val="300"/>
        </w:trPr>
        <w:tc>
          <w:tcPr>
            <w:tcW w:w="3678" w:type="dxa"/>
            <w:tcBorders>
              <w:top w:val="single" w:sz="6" w:space="0" w:color="auto"/>
              <w:left w:val="single" w:sz="6" w:space="0" w:color="auto"/>
              <w:bottom w:val="single" w:sz="6" w:space="0" w:color="auto"/>
              <w:right w:val="single" w:sz="6" w:space="0" w:color="auto"/>
            </w:tcBorders>
            <w:hideMark/>
          </w:tcPr>
          <w:p w14:paraId="0866DBE0" w14:textId="7CBF858A" w:rsidR="007E5901" w:rsidRPr="00954F93" w:rsidRDefault="00F24838" w:rsidP="00954F93">
            <w:pPr>
              <w:jc w:val="center"/>
              <w:rPr>
                <w:rFonts w:ascii="Verdana" w:eastAsia="Arial" w:hAnsi="Verdana" w:cs="Arial"/>
                <w:sz w:val="22"/>
                <w:szCs w:val="22"/>
                <w:lang w:eastAsia="es-CO"/>
              </w:rPr>
            </w:pPr>
            <w:r w:rsidRPr="000F455A">
              <w:rPr>
                <w:rFonts w:ascii="Verdana" w:eastAsia="Arial" w:hAnsi="Verdana" w:cs="Arial"/>
                <w:sz w:val="22"/>
                <w:szCs w:val="22"/>
                <w:lang w:eastAsia="es-CO"/>
              </w:rPr>
              <w:t>Entre 1001 y 13000 SMMLV</w:t>
            </w:r>
          </w:p>
        </w:tc>
        <w:tc>
          <w:tcPr>
            <w:tcW w:w="4111" w:type="dxa"/>
            <w:tcBorders>
              <w:top w:val="single" w:sz="6" w:space="0" w:color="auto"/>
              <w:left w:val="single" w:sz="6" w:space="0" w:color="auto"/>
              <w:bottom w:val="single" w:sz="6" w:space="0" w:color="auto"/>
              <w:right w:val="single" w:sz="6" w:space="0" w:color="auto"/>
            </w:tcBorders>
            <w:hideMark/>
          </w:tcPr>
          <w:p w14:paraId="6AC604CA" w14:textId="5A72F2F8" w:rsidR="41C4EE12" w:rsidRPr="000F455A" w:rsidRDefault="00F24838" w:rsidP="00B21089">
            <w:pPr>
              <w:jc w:val="center"/>
              <w:rPr>
                <w:rFonts w:ascii="Verdana" w:eastAsia="Arial" w:hAnsi="Verdana" w:cs="Arial"/>
                <w:sz w:val="22"/>
                <w:szCs w:val="22"/>
                <w:lang w:val="es-ES" w:eastAsia="es-CO"/>
              </w:rPr>
            </w:pPr>
            <w:r w:rsidRPr="000F455A">
              <w:rPr>
                <w:rFonts w:ascii="Verdana" w:eastAsia="Arial" w:hAnsi="Verdana" w:cs="Arial"/>
                <w:sz w:val="22"/>
                <w:szCs w:val="22"/>
                <w:lang w:eastAsia="es-CO"/>
              </w:rPr>
              <w:t>Opción 2</w:t>
            </w:r>
          </w:p>
        </w:tc>
      </w:tr>
      <w:tr w:rsidR="007E5901" w:rsidRPr="000F455A" w14:paraId="2DE54833" w14:textId="77777777" w:rsidTr="00954F93">
        <w:trPr>
          <w:trHeight w:val="300"/>
        </w:trPr>
        <w:tc>
          <w:tcPr>
            <w:tcW w:w="3678" w:type="dxa"/>
            <w:tcBorders>
              <w:top w:val="single" w:sz="6" w:space="0" w:color="auto"/>
              <w:left w:val="single" w:sz="6" w:space="0" w:color="auto"/>
              <w:bottom w:val="single" w:sz="6" w:space="0" w:color="auto"/>
              <w:right w:val="single" w:sz="6" w:space="0" w:color="auto"/>
            </w:tcBorders>
            <w:hideMark/>
          </w:tcPr>
          <w:p w14:paraId="63AF98E7" w14:textId="06E00D68" w:rsidR="007E5901" w:rsidRPr="00954F93" w:rsidRDefault="00B21089" w:rsidP="00954F93">
            <w:pPr>
              <w:jc w:val="center"/>
              <w:rPr>
                <w:rFonts w:ascii="Verdana" w:eastAsia="Arial" w:hAnsi="Verdana" w:cs="Arial"/>
                <w:sz w:val="22"/>
                <w:szCs w:val="22"/>
                <w:lang w:val="es-ES" w:eastAsia="es-CO"/>
              </w:rPr>
            </w:pPr>
            <w:r w:rsidRPr="000F455A">
              <w:rPr>
                <w:rFonts w:ascii="Verdana" w:eastAsia="Arial" w:hAnsi="Verdana" w:cs="Arial"/>
                <w:sz w:val="22"/>
                <w:szCs w:val="22"/>
                <w:lang w:eastAsia="es-CO"/>
              </w:rPr>
              <w:t>Mayor a 13001 SMMLV</w:t>
            </w:r>
          </w:p>
        </w:tc>
        <w:tc>
          <w:tcPr>
            <w:tcW w:w="4111" w:type="dxa"/>
            <w:tcBorders>
              <w:top w:val="single" w:sz="6" w:space="0" w:color="auto"/>
              <w:left w:val="single" w:sz="6" w:space="0" w:color="auto"/>
              <w:bottom w:val="single" w:sz="6" w:space="0" w:color="auto"/>
              <w:right w:val="single" w:sz="6" w:space="0" w:color="auto"/>
            </w:tcBorders>
            <w:hideMark/>
          </w:tcPr>
          <w:p w14:paraId="18DE9420" w14:textId="5C6F052E" w:rsidR="56D4CB78" w:rsidRPr="000F455A" w:rsidRDefault="00B21089" w:rsidP="00B21089">
            <w:pPr>
              <w:jc w:val="center"/>
              <w:rPr>
                <w:rFonts w:ascii="Verdana" w:eastAsia="Arial" w:hAnsi="Verdana" w:cs="Arial"/>
                <w:sz w:val="22"/>
                <w:szCs w:val="22"/>
                <w:lang w:val="es-ES" w:eastAsia="es-CO"/>
              </w:rPr>
            </w:pPr>
            <w:r w:rsidRPr="000F455A">
              <w:rPr>
                <w:rFonts w:ascii="Verdana" w:eastAsia="Arial" w:hAnsi="Verdana" w:cs="Arial"/>
                <w:sz w:val="22"/>
                <w:szCs w:val="22"/>
                <w:lang w:eastAsia="es-CO"/>
              </w:rPr>
              <w:t>Opción 3</w:t>
            </w:r>
          </w:p>
        </w:tc>
      </w:tr>
    </w:tbl>
    <w:p w14:paraId="7866EBE9" w14:textId="58C2C8F3" w:rsidR="007E5901" w:rsidRDefault="00592263" w:rsidP="00B21089">
      <w:pPr>
        <w:jc w:val="center"/>
        <w:rPr>
          <w:rFonts w:ascii="Verdana" w:eastAsia="Arial" w:hAnsi="Verdana" w:cs="Arial"/>
          <w:sz w:val="22"/>
          <w:szCs w:val="22"/>
          <w:lang w:eastAsia="es-CO"/>
        </w:rPr>
      </w:pPr>
      <w:r w:rsidRPr="00081807">
        <w:rPr>
          <w:rFonts w:ascii="Verdana" w:eastAsia="Arial" w:hAnsi="Verdana" w:cs="Arial"/>
          <w:b/>
          <w:bCs/>
          <w:sz w:val="22"/>
          <w:szCs w:val="22"/>
          <w:lang w:eastAsia="es-CO"/>
        </w:rPr>
        <w:t>Fuente</w:t>
      </w:r>
      <w:r w:rsidRPr="00081807">
        <w:rPr>
          <w:rFonts w:ascii="Verdana" w:eastAsia="Arial" w:hAnsi="Verdana" w:cs="Arial"/>
          <w:sz w:val="22"/>
          <w:szCs w:val="22"/>
          <w:lang w:eastAsia="es-CO"/>
        </w:rPr>
        <w:t>: Elaboración propia</w:t>
      </w:r>
    </w:p>
    <w:p w14:paraId="607E0EB6" w14:textId="77777777" w:rsidR="00081807" w:rsidRPr="00081807" w:rsidRDefault="00081807" w:rsidP="00B21089">
      <w:pPr>
        <w:jc w:val="center"/>
        <w:rPr>
          <w:rFonts w:ascii="Verdana" w:eastAsia="Arial" w:hAnsi="Verdana" w:cs="Arial"/>
          <w:sz w:val="22"/>
          <w:szCs w:val="22"/>
          <w:lang w:eastAsia="es-CO"/>
        </w:rPr>
      </w:pPr>
    </w:p>
    <w:p w14:paraId="5DF0BDDE" w14:textId="77777777" w:rsidR="00592263" w:rsidRPr="000F455A" w:rsidRDefault="00592263" w:rsidP="00592263">
      <w:pPr>
        <w:jc w:val="center"/>
        <w:rPr>
          <w:rFonts w:ascii="Verdana" w:eastAsia="Arial" w:hAnsi="Verdana" w:cs="Arial"/>
          <w:sz w:val="16"/>
          <w:szCs w:val="16"/>
          <w:lang w:eastAsia="es-CO"/>
        </w:rPr>
      </w:pPr>
    </w:p>
    <w:p w14:paraId="693A753F" w14:textId="1ECC724E" w:rsidR="00B93C82" w:rsidRPr="000F455A" w:rsidRDefault="00B93C82" w:rsidP="00B93C82">
      <w:pPr>
        <w:jc w:val="both"/>
        <w:rPr>
          <w:rFonts w:ascii="Verdana" w:eastAsia="Arial" w:hAnsi="Verdana" w:cs="Arial"/>
          <w:b/>
          <w:bCs/>
          <w:lang w:val="es-MX"/>
        </w:rPr>
      </w:pPr>
      <w:r w:rsidRPr="000F455A">
        <w:rPr>
          <w:rFonts w:ascii="Verdana" w:eastAsia="Arial" w:hAnsi="Verdana" w:cs="Arial"/>
          <w:b/>
          <w:bCs/>
          <w:lang w:val="es-MX"/>
        </w:rPr>
        <w:lastRenderedPageBreak/>
        <w:t>CRITERIO AMBIENTALES INCORPORADOS Y APLICABLES PARA CADA UNA DE LAS OPCIONES</w:t>
      </w:r>
    </w:p>
    <w:p w14:paraId="5860FB32" w14:textId="77777777" w:rsidR="003406C1" w:rsidRPr="000F455A" w:rsidRDefault="003406C1" w:rsidP="00B93C82">
      <w:pPr>
        <w:jc w:val="both"/>
        <w:rPr>
          <w:rFonts w:ascii="Verdana" w:eastAsia="Arial" w:hAnsi="Verdana" w:cs="Arial"/>
          <w:b/>
          <w:bCs/>
          <w:lang w:val="es-MX"/>
        </w:rPr>
      </w:pPr>
    </w:p>
    <w:p w14:paraId="58EA153C" w14:textId="6370F208" w:rsidR="003406C1" w:rsidRPr="00611315" w:rsidRDefault="003406C1" w:rsidP="00954F93">
      <w:pPr>
        <w:spacing w:line="276" w:lineRule="auto"/>
        <w:jc w:val="both"/>
        <w:rPr>
          <w:rFonts w:ascii="Verdana" w:hAnsi="Verdana" w:cs="Arial"/>
          <w:b/>
          <w:bCs/>
          <w:sz w:val="22"/>
          <w:lang w:val="es-ES"/>
        </w:rPr>
      </w:pPr>
      <w:r w:rsidRPr="000F455A">
        <w:rPr>
          <w:rFonts w:ascii="Verdana" w:hAnsi="Verdana" w:cs="Arial"/>
          <w:b/>
          <w:bCs/>
          <w:sz w:val="22"/>
        </w:rPr>
        <w:t>Opción 1: Para Procesos de Contratación con Presupuesto Igual o menor a 1000 SMMLV:</w:t>
      </w:r>
    </w:p>
    <w:p w14:paraId="02B0D878" w14:textId="77777777" w:rsidR="00B93C82" w:rsidRPr="00611315" w:rsidRDefault="00B93C82" w:rsidP="00B93C82">
      <w:pPr>
        <w:jc w:val="both"/>
        <w:rPr>
          <w:rFonts w:ascii="Verdana" w:hAnsi="Verdana" w:cs="Arial"/>
          <w:sz w:val="22"/>
          <w:szCs w:val="22"/>
          <w:highlight w:val="yellow"/>
        </w:rPr>
      </w:pPr>
    </w:p>
    <w:p w14:paraId="0837D55A" w14:textId="77777777" w:rsidR="00DE0D45" w:rsidRPr="00611315" w:rsidRDefault="00DE0D45" w:rsidP="00DE0D45">
      <w:pPr>
        <w:numPr>
          <w:ilvl w:val="0"/>
          <w:numId w:val="109"/>
        </w:num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Presentar e implementar un programa para el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orientado a la reducción del consumo de agua potable en las actividades constructivas y su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durante la ejecución del proyecto. Estas acciones deben ser técnicamente viables de acuerdo con lo establecido en la normatividad vigente y especialmente en el decreto 1076 de 2015 en lo relativo a usos de aguas lluvias sin concesión.</w:t>
      </w:r>
    </w:p>
    <w:p w14:paraId="61008D6C"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6D3E5D1F" w14:textId="2ED068E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Como parte de su implementación se debe garantizar el aprovechamiento de agua lluvia como fuente alternativa para usos no potables, lo anterior en consideración con lo establecido en los </w:t>
      </w:r>
      <w:r w:rsidR="009B58A4" w:rsidRPr="00611315">
        <w:rPr>
          <w:rFonts w:ascii="Verdana" w:eastAsiaTheme="minorHAnsi" w:hAnsi="Verdana" w:cstheme="minorBidi"/>
          <w:color w:val="000000"/>
          <w:sz w:val="22"/>
          <w:szCs w:val="22"/>
          <w:lang w:val="es-MX" w:eastAsia="en-US"/>
        </w:rPr>
        <w:t>artículos</w:t>
      </w:r>
      <w:r w:rsidRPr="00611315">
        <w:rPr>
          <w:rFonts w:ascii="Verdana" w:eastAsiaTheme="minorHAnsi" w:hAnsi="Verdana" w:cstheme="minorBidi"/>
          <w:color w:val="000000"/>
          <w:sz w:val="22"/>
          <w:szCs w:val="22"/>
          <w:lang w:val="es-MX" w:eastAsia="en-US"/>
        </w:rPr>
        <w:t xml:space="preserve"> 2.2.3.2.16.1 al 2.2.3.2.16.3 del decreto 1076 de 2015. Sin embargo, deben estar orientadas a aspectos como: </w:t>
      </w:r>
    </w:p>
    <w:p w14:paraId="0C8755E4"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3EF6C766"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Aprovechamiento durante la ejecución de las obras, evitando el uso de agua cruda o potable para este fin.</w:t>
      </w:r>
    </w:p>
    <w:p w14:paraId="1C4C570B" w14:textId="7BDAB934"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themeColor="text1"/>
          <w:sz w:val="20"/>
          <w:szCs w:val="22"/>
          <w:lang w:eastAsia="en-US"/>
        </w:rPr>
      </w:pPr>
      <w:r w:rsidRPr="00611315">
        <w:rPr>
          <w:rFonts w:ascii="Verdana" w:eastAsiaTheme="minorHAnsi" w:hAnsi="Verdana" w:cstheme="minorBidi"/>
          <w:color w:val="000000" w:themeColor="text1"/>
          <w:sz w:val="20"/>
          <w:szCs w:val="22"/>
          <w:lang w:eastAsia="en-US"/>
        </w:rPr>
        <w:t xml:space="preserve">Limpieza de áreas de obra, control de polvo, </w:t>
      </w:r>
      <w:r w:rsidR="009B58A4">
        <w:rPr>
          <w:rFonts w:ascii="Verdana" w:eastAsiaTheme="minorHAnsi" w:hAnsi="Verdana" w:cstheme="minorBidi"/>
          <w:color w:val="000000" w:themeColor="text1"/>
          <w:sz w:val="20"/>
          <w:szCs w:val="22"/>
          <w:lang w:eastAsia="en-US"/>
        </w:rPr>
        <w:t>descarga</w:t>
      </w:r>
      <w:r w:rsidRPr="00611315">
        <w:rPr>
          <w:rFonts w:ascii="Verdana" w:eastAsiaTheme="minorHAnsi" w:hAnsi="Verdana" w:cstheme="minorBidi"/>
          <w:color w:val="000000"/>
          <w:sz w:val="22"/>
          <w:szCs w:val="22"/>
          <w:lang w:val="es-MX" w:eastAsia="en-US"/>
        </w:rPr>
        <w:t xml:space="preserve"> de sanitarios, lavado de pisos, entre otros</w:t>
      </w:r>
      <w:r w:rsidRPr="00611315">
        <w:rPr>
          <w:rFonts w:ascii="Verdana" w:eastAsiaTheme="minorHAnsi" w:hAnsi="Verdana" w:cstheme="minorBidi"/>
          <w:color w:val="000000" w:themeColor="text1"/>
          <w:sz w:val="20"/>
          <w:szCs w:val="22"/>
          <w:lang w:eastAsia="en-US"/>
        </w:rPr>
        <w:t xml:space="preserve"> usos similares.</w:t>
      </w:r>
    </w:p>
    <w:p w14:paraId="37B4034F"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themeColor="text1"/>
          <w:sz w:val="20"/>
          <w:szCs w:val="22"/>
          <w:lang w:eastAsia="en-US"/>
        </w:rPr>
        <w:t xml:space="preserve">Dependiendo el alcance del proyecto, aprovechamiento en actividades de riego, por ejemplo, </w:t>
      </w:r>
      <w:r w:rsidRPr="00611315">
        <w:rPr>
          <w:rFonts w:ascii="Verdana" w:eastAsiaTheme="minorHAnsi" w:hAnsi="Verdana" w:cstheme="minorBidi"/>
          <w:color w:val="000000"/>
          <w:sz w:val="22"/>
          <w:szCs w:val="22"/>
          <w:lang w:val="es-MX" w:eastAsia="en-US"/>
        </w:rPr>
        <w:t>Instalación de sistemas de riego eficientes.</w:t>
      </w:r>
    </w:p>
    <w:p w14:paraId="0FEFBE07"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7B59BB3A"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dicho programa, el contratista tendrá que incluir un indicador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las aguas lluvias”, que permita medir el impacto de las acciones propuestas, </w:t>
      </w:r>
      <w:r w:rsidRPr="00611315">
        <w:rPr>
          <w:rFonts w:ascii="Verdana" w:eastAsia="Aptos" w:hAnsi="Verdana"/>
          <w:color w:val="000000" w:themeColor="text1"/>
          <w:sz w:val="22"/>
          <w:szCs w:val="22"/>
          <w:lang w:eastAsia="en-US"/>
        </w:rPr>
        <w:t xml:space="preserve">mediante </w:t>
      </w:r>
      <w:r w:rsidRPr="00611315">
        <w:rPr>
          <w:rFonts w:ascii="Verdana" w:eastAsia="Aptos" w:hAnsi="Verdana"/>
          <w:b/>
          <w:bCs/>
          <w:color w:val="000000" w:themeColor="text1"/>
          <w:sz w:val="22"/>
          <w:szCs w:val="22"/>
          <w:lang w:eastAsia="en-US"/>
        </w:rPr>
        <w:t>por lo menos dos (2) acciones</w:t>
      </w:r>
      <w:r w:rsidRPr="00611315">
        <w:rPr>
          <w:rFonts w:ascii="Verdana" w:eastAsia="Aptos" w:hAnsi="Verdana"/>
          <w:color w:val="000000" w:themeColor="text1"/>
          <w:sz w:val="22"/>
          <w:szCs w:val="22"/>
          <w:lang w:eastAsia="en-US"/>
        </w:rPr>
        <w:t xml:space="preserve"> prácticas que reduzcan la demanda y optimicen su uso</w:t>
      </w:r>
      <w:r w:rsidRPr="00611315">
        <w:rPr>
          <w:rFonts w:ascii="Verdana" w:eastAsiaTheme="minorHAnsi" w:hAnsi="Verdana" w:cstheme="minorBidi"/>
          <w:color w:val="000000"/>
          <w:sz w:val="22"/>
          <w:szCs w:val="22"/>
          <w:lang w:val="es-MX" w:eastAsia="en-US"/>
        </w:rPr>
        <w:t xml:space="preserve"> y como mínimo deberá incluir:</w:t>
      </w:r>
    </w:p>
    <w:p w14:paraId="3C70921D"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45A2278B" w14:textId="77777777" w:rsidR="00DE0D45" w:rsidRPr="00611315" w:rsidRDefault="00DE0D45" w:rsidP="00DE0D45">
      <w:pPr>
        <w:numPr>
          <w:ilvl w:val="0"/>
          <w:numId w:val="107"/>
        </w:numPr>
        <w:spacing w:after="160" w:line="278" w:lineRule="auto"/>
        <w:ind w:left="1776"/>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Meta de eficiencia o reducción del consumo de agua potable o cruda.</w:t>
      </w:r>
    </w:p>
    <w:p w14:paraId="78D3E47F" w14:textId="77777777" w:rsidR="00DE0D45" w:rsidRPr="00611315" w:rsidRDefault="00DE0D45" w:rsidP="00DE0D45">
      <w:pPr>
        <w:numPr>
          <w:ilvl w:val="0"/>
          <w:numId w:val="107"/>
        </w:numPr>
        <w:spacing w:after="160" w:line="278" w:lineRule="auto"/>
        <w:ind w:left="1776"/>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Periodicidad de seguimiento, la cual deberá realizarse como mínimo de forma mensual o trimestral.</w:t>
      </w:r>
    </w:p>
    <w:p w14:paraId="605EACAF" w14:textId="77777777" w:rsidR="00704298" w:rsidRPr="00611315" w:rsidRDefault="00704298" w:rsidP="00954F93">
      <w:pPr>
        <w:spacing w:after="160" w:line="278" w:lineRule="auto"/>
        <w:ind w:left="1776"/>
        <w:contextualSpacing/>
        <w:jc w:val="both"/>
        <w:rPr>
          <w:rFonts w:ascii="Verdana" w:eastAsiaTheme="minorHAnsi" w:hAnsi="Verdana" w:cstheme="minorBidi"/>
          <w:color w:val="000000"/>
          <w:sz w:val="22"/>
          <w:szCs w:val="22"/>
          <w:lang w:val="es-MX" w:eastAsia="en-US"/>
        </w:rPr>
      </w:pPr>
    </w:p>
    <w:p w14:paraId="73F1D6A4" w14:textId="1B37713B" w:rsidR="00DE0D45" w:rsidRPr="00611315" w:rsidRDefault="00DE0D45" w:rsidP="00DE0D45">
      <w:pPr>
        <w:spacing w:after="160" w:line="259" w:lineRule="auto"/>
        <w:ind w:left="284"/>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caso de que la entidad cuente con un Programa de Uso Eficiente y Ahorro de Agua – PUEAA, el programa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presentado por el contratista deberá incorporar acciones de Uso </w:t>
      </w:r>
      <w:r w:rsidR="009B58A4" w:rsidRPr="00611315">
        <w:rPr>
          <w:rFonts w:ascii="Verdana" w:eastAsiaTheme="minorHAnsi" w:hAnsi="Verdana" w:cstheme="minorBidi"/>
          <w:color w:val="000000"/>
          <w:sz w:val="22"/>
          <w:szCs w:val="22"/>
          <w:lang w:val="es-MX" w:eastAsia="en-US"/>
        </w:rPr>
        <w:t>Eficiente</w:t>
      </w:r>
      <w:r w:rsidRPr="00611315">
        <w:rPr>
          <w:rFonts w:ascii="Verdana" w:eastAsiaTheme="minorHAnsi" w:hAnsi="Verdana" w:cstheme="minorBidi"/>
          <w:color w:val="000000"/>
          <w:sz w:val="22"/>
          <w:szCs w:val="22"/>
          <w:lang w:val="es-MX" w:eastAsia="en-US"/>
        </w:rPr>
        <w:t xml:space="preserve"> y Ahorro del Agua en el marco de la </w:t>
      </w:r>
      <w:r w:rsidRPr="00611315">
        <w:rPr>
          <w:rFonts w:ascii="Verdana" w:eastAsiaTheme="minorHAnsi" w:hAnsi="Verdana" w:cstheme="minorBidi"/>
          <w:color w:val="000000"/>
          <w:sz w:val="22"/>
          <w:szCs w:val="22"/>
          <w:lang w:val="es-MX" w:eastAsia="en-US"/>
        </w:rPr>
        <w:lastRenderedPageBreak/>
        <w:t xml:space="preserve">ejecución del </w:t>
      </w:r>
      <w:r w:rsidR="009B58A4" w:rsidRPr="00611315">
        <w:rPr>
          <w:rFonts w:ascii="Verdana" w:eastAsiaTheme="minorHAnsi" w:hAnsi="Verdana" w:cstheme="minorBidi"/>
          <w:color w:val="000000"/>
          <w:sz w:val="22"/>
          <w:szCs w:val="22"/>
          <w:lang w:val="es-MX" w:eastAsia="en-US"/>
        </w:rPr>
        <w:t>proyecto</w:t>
      </w:r>
      <w:r w:rsidRPr="00611315">
        <w:rPr>
          <w:rFonts w:ascii="Verdana" w:eastAsiaTheme="minorHAnsi" w:hAnsi="Verdana" w:cstheme="minorBidi"/>
          <w:color w:val="000000"/>
          <w:sz w:val="22"/>
          <w:szCs w:val="22"/>
          <w:lang w:val="es-MX" w:eastAsia="en-US"/>
        </w:rPr>
        <w:t xml:space="preserve"> en la etapa de construcción, diferentes a las contempladas en el PUEAA.</w:t>
      </w:r>
    </w:p>
    <w:p w14:paraId="1FC4512F" w14:textId="77777777" w:rsidR="00DE0D45" w:rsidRPr="00611315" w:rsidRDefault="00DE0D45" w:rsidP="00DE0D45">
      <w:pPr>
        <w:spacing w:after="160" w:line="259" w:lineRule="auto"/>
        <w:ind w:left="284"/>
        <w:contextualSpacing/>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496B3870" w14:textId="77777777" w:rsidR="00DE0D45" w:rsidRPr="00611315" w:rsidRDefault="00DE0D45" w:rsidP="00DE0D45">
      <w:pPr>
        <w:spacing w:after="160" w:line="259" w:lineRule="auto"/>
        <w:ind w:left="360"/>
        <w:contextualSpacing/>
        <w:jc w:val="both"/>
        <w:rPr>
          <w:rFonts w:ascii="Verdana" w:eastAsia="Aptos" w:hAnsi="Verdana"/>
          <w:color w:val="000000" w:themeColor="text1"/>
          <w:sz w:val="22"/>
          <w:szCs w:val="22"/>
          <w:lang w:val="es-MX" w:eastAsia="en-US"/>
        </w:rPr>
      </w:pPr>
    </w:p>
    <w:p w14:paraId="3160FBA7" w14:textId="41FA85BA" w:rsidR="00DE0D45" w:rsidRPr="00611315" w:rsidRDefault="00DE0D45" w:rsidP="00DE0D45">
      <w:pPr>
        <w:spacing w:after="160" w:line="259" w:lineRule="auto"/>
        <w:ind w:left="284"/>
        <w:jc w:val="both"/>
        <w:rPr>
          <w:rFonts w:ascii="Verdana" w:eastAsia="Verdana" w:hAnsi="Verdana" w:cs="Verdana"/>
          <w:color w:val="000000" w:themeColor="text1"/>
          <w:sz w:val="20"/>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9B58A4"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contrato, el contratista debe realizar la entrega de los registros o reportes de volúmenes de agua lluvia utilizada para los diferentes </w:t>
      </w:r>
      <w:proofErr w:type="spellStart"/>
      <w:r w:rsidRPr="00611315">
        <w:rPr>
          <w:rFonts w:ascii="Verdana" w:eastAsiaTheme="minorHAnsi" w:hAnsi="Verdana" w:cstheme="minorBidi"/>
          <w:color w:val="000000"/>
          <w:sz w:val="22"/>
          <w:szCs w:val="22"/>
          <w:lang w:val="es-MX" w:eastAsia="en-US"/>
        </w:rPr>
        <w:t>reusos</w:t>
      </w:r>
      <w:proofErr w:type="spellEnd"/>
      <w:r w:rsidRPr="00611315">
        <w:rPr>
          <w:rFonts w:ascii="Verdana" w:eastAsiaTheme="minorHAnsi" w:hAnsi="Verdana" w:cstheme="minorBidi"/>
          <w:color w:val="000000"/>
          <w:sz w:val="22"/>
          <w:szCs w:val="22"/>
          <w:lang w:val="es-MX" w:eastAsia="en-US"/>
        </w:rPr>
        <w:t xml:space="preserve">. </w:t>
      </w:r>
    </w:p>
    <w:p w14:paraId="70A2FCC6" w14:textId="77777777" w:rsidR="00DE0D45" w:rsidRPr="00611315" w:rsidRDefault="00DE0D45" w:rsidP="00DE0D45">
      <w:pPr>
        <w:numPr>
          <w:ilvl w:val="0"/>
          <w:numId w:val="108"/>
        </w:numPr>
        <w:spacing w:after="160" w:line="259" w:lineRule="auto"/>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Diseñar e implementar campañas de divulgación dirigidas al personal de la obra o a la comunidad beneficiaria del proyecto en materia de educación, sensibilización y capacitación en temas ambientales relacionados por ejemplo, con la gestión de residuos de construcción y demolición, uso y manejo adecuado del suelo, conflictos socio ambientales y medidas de manejo, reglamentación ambiental, atención de emergencias ambientales, gestión de residuos peligrosos, manejo de sustancias químicas, el uso eficiente y ahorro del agua, entre otros.</w:t>
      </w:r>
    </w:p>
    <w:p w14:paraId="37C8203B"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13894B48"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Estas campañas deberán incluir, entre otras temáticas, la promoción del aprovechamiento de aguas lluvias en viviendas y en instalaciones no residenciales, especialmente en zonas con déficit de disponibilidad del recurso hídrico.</w:t>
      </w:r>
    </w:p>
    <w:p w14:paraId="1519C673"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18DEF396" w14:textId="036ED6BB"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 xml:space="preserve">Durante la </w:t>
      </w:r>
      <w:r w:rsidR="009B58A4" w:rsidRPr="00611315">
        <w:rPr>
          <w:rFonts w:ascii="Verdana" w:eastAsia="Verdana" w:hAnsi="Verdana" w:cs="Verdana"/>
          <w:color w:val="000000" w:themeColor="text1"/>
          <w:sz w:val="22"/>
          <w:szCs w:val="22"/>
          <w:lang w:val="es-MX" w:eastAsia="en-US"/>
        </w:rPr>
        <w:t>ejecución</w:t>
      </w:r>
      <w:r w:rsidRPr="00611315">
        <w:rPr>
          <w:rFonts w:ascii="Verdana" w:eastAsia="Verdana" w:hAnsi="Verdana" w:cs="Verdana"/>
          <w:color w:val="000000" w:themeColor="text1"/>
          <w:sz w:val="22"/>
          <w:szCs w:val="22"/>
          <w:lang w:val="es-MX" w:eastAsia="en-US"/>
        </w:rPr>
        <w:t xml:space="preserve"> del contrato, el contratista debe entregar el plan o estrategia de campañas de divulgación, piezas pedagógicas o de comunicación. Así como, los registros de actividades realizadas (listas de asistencia, fotografías, memorias o informes), y reportes que evidencien el desarrollo de jornadas de educación, sensibilización o capacitación dirigidas a los usuarios.</w:t>
      </w:r>
    </w:p>
    <w:p w14:paraId="3C3371BF"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1C9F8554" w14:textId="77777777"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Garantizar que para la ejecución de la </w:t>
      </w:r>
      <w:r w:rsidRPr="00426EDD">
        <w:rPr>
          <w:rFonts w:ascii="Verdana" w:eastAsia="Arial" w:hAnsi="Verdana" w:cs="Arial"/>
          <w:color w:val="000000" w:themeColor="text1"/>
          <w:sz w:val="22"/>
          <w:szCs w:val="22"/>
          <w:lang w:val="es-MX" w:eastAsia="en-US"/>
        </w:rPr>
        <w:t xml:space="preserve">infraestructura de agua potable y saneamiento básico que se construya, se utilicen por lo menos cinco (5) materiales con atributos ambientales, tales como: i) contenido reciclado, </w:t>
      </w:r>
      <w:proofErr w:type="spellStart"/>
      <w:r w:rsidRPr="00426EDD">
        <w:rPr>
          <w:rFonts w:ascii="Verdana" w:eastAsia="Arial" w:hAnsi="Verdana" w:cs="Arial"/>
          <w:color w:val="000000" w:themeColor="text1"/>
          <w:sz w:val="22"/>
          <w:szCs w:val="22"/>
          <w:lang w:val="es-MX" w:eastAsia="en-US"/>
        </w:rPr>
        <w:t>ii</w:t>
      </w:r>
      <w:proofErr w:type="spellEnd"/>
      <w:r w:rsidRPr="00426EDD">
        <w:rPr>
          <w:rFonts w:ascii="Verdana" w:eastAsia="Arial" w:hAnsi="Verdana" w:cs="Arial"/>
          <w:color w:val="000000" w:themeColor="text1"/>
          <w:sz w:val="22"/>
          <w:szCs w:val="22"/>
          <w:lang w:val="es-MX" w:eastAsia="en-US"/>
        </w:rPr>
        <w:t xml:space="preserve">) bajo impacto ambiental, </w:t>
      </w:r>
      <w:proofErr w:type="spellStart"/>
      <w:r w:rsidRPr="00426EDD">
        <w:rPr>
          <w:rFonts w:ascii="Verdana" w:eastAsia="Arial" w:hAnsi="Verdana" w:cs="Arial"/>
          <w:color w:val="000000" w:themeColor="text1"/>
          <w:sz w:val="22"/>
          <w:szCs w:val="22"/>
          <w:lang w:val="es-MX" w:eastAsia="en-US"/>
        </w:rPr>
        <w:t>iii</w:t>
      </w:r>
      <w:proofErr w:type="spellEnd"/>
      <w:r w:rsidRPr="00426EDD">
        <w:rPr>
          <w:rFonts w:ascii="Verdana" w:eastAsia="Arial" w:hAnsi="Verdana" w:cs="Arial"/>
          <w:color w:val="000000" w:themeColor="text1"/>
          <w:sz w:val="22"/>
          <w:szCs w:val="22"/>
          <w:lang w:val="es-MX" w:eastAsia="en-US"/>
        </w:rPr>
        <w:t xml:space="preserve">) certificaciones o etiquetas ambientales reconocidas, o </w:t>
      </w:r>
      <w:proofErr w:type="spellStart"/>
      <w:r w:rsidRPr="00426EDD">
        <w:rPr>
          <w:rFonts w:ascii="Verdana" w:eastAsia="Arial" w:hAnsi="Verdana" w:cs="Arial"/>
          <w:color w:val="000000" w:themeColor="text1"/>
          <w:sz w:val="22"/>
          <w:szCs w:val="22"/>
          <w:lang w:val="es-MX" w:eastAsia="en-US"/>
        </w:rPr>
        <w:t>iv</w:t>
      </w:r>
      <w:proofErr w:type="spellEnd"/>
      <w:r w:rsidRPr="00611315">
        <w:rPr>
          <w:rFonts w:ascii="Verdana" w:eastAsia="Arial" w:hAnsi="Verdana" w:cs="Arial"/>
          <w:color w:val="000000" w:themeColor="text1"/>
          <w:sz w:val="22"/>
          <w:szCs w:val="22"/>
          <w:lang w:val="es-MX" w:eastAsia="en-US"/>
        </w:rPr>
        <w:t>) tecnologías innovadoras de bajo costo que contribuyan a la sostenibilidad del proyecto.</w:t>
      </w:r>
    </w:p>
    <w:p w14:paraId="2ECAB24C" w14:textId="77777777" w:rsidR="00DE0D45" w:rsidRPr="00611315" w:rsidRDefault="00DE0D45" w:rsidP="00DE0D45">
      <w:pPr>
        <w:spacing w:line="276" w:lineRule="auto"/>
        <w:contextualSpacing/>
        <w:jc w:val="both"/>
        <w:rPr>
          <w:rFonts w:ascii="Verdana" w:eastAsia="Arial" w:hAnsi="Verdana" w:cs="Arial"/>
          <w:color w:val="000000" w:themeColor="text1"/>
          <w:sz w:val="22"/>
          <w:szCs w:val="22"/>
          <w:lang w:val="es-MX" w:eastAsia="en-US"/>
        </w:rPr>
      </w:pPr>
    </w:p>
    <w:p w14:paraId="3126CBBA" w14:textId="353C3EFD"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Durante la </w:t>
      </w:r>
      <w:r w:rsidR="009B58A4" w:rsidRPr="00611315">
        <w:rPr>
          <w:rFonts w:ascii="Verdana" w:eastAsia="Arial" w:hAnsi="Verdana" w:cs="Arial"/>
          <w:color w:val="000000" w:themeColor="text1"/>
          <w:sz w:val="22"/>
          <w:szCs w:val="22"/>
          <w:lang w:val="es-MX" w:eastAsia="en-US"/>
        </w:rPr>
        <w:t>ejecución</w:t>
      </w:r>
      <w:r w:rsidRPr="00611315">
        <w:rPr>
          <w:rFonts w:ascii="Verdana" w:eastAsia="Arial" w:hAnsi="Verdana" w:cs="Arial"/>
          <w:color w:val="000000" w:themeColor="text1"/>
          <w:sz w:val="22"/>
          <w:szCs w:val="22"/>
          <w:lang w:val="es-MX" w:eastAsia="en-US"/>
        </w:rPr>
        <w:t xml:space="preserve"> del contrato, el contratista deberá hacer entrega de las fichas técnicas de los materiales y/o los certificados de las etiquetas ambientales, emitido </w:t>
      </w:r>
      <w:r w:rsidRPr="00611315">
        <w:rPr>
          <w:rFonts w:ascii="Verdana" w:eastAsia="Arial" w:hAnsi="Verdana" w:cs="Arial"/>
          <w:color w:val="000000" w:themeColor="text1"/>
          <w:sz w:val="22"/>
          <w:szCs w:val="22"/>
          <w:lang w:val="es-MX" w:eastAsia="en-US"/>
        </w:rPr>
        <w:lastRenderedPageBreak/>
        <w:t>por una entidad debidamente acreditada, donde se evidencie el cumplimiento del criterio.</w:t>
      </w:r>
    </w:p>
    <w:p w14:paraId="3862684D" w14:textId="77777777" w:rsidR="00DE0D45" w:rsidRPr="00611315" w:rsidRDefault="00DE0D45" w:rsidP="00DE0D45">
      <w:pPr>
        <w:spacing w:line="276" w:lineRule="auto"/>
        <w:contextualSpacing/>
        <w:jc w:val="both"/>
        <w:rPr>
          <w:rFonts w:ascii="Verdana" w:eastAsia="Arial" w:hAnsi="Verdana" w:cs="Arial"/>
          <w:color w:val="000000" w:themeColor="text1"/>
          <w:sz w:val="22"/>
          <w:szCs w:val="22"/>
          <w:lang w:val="es-MX" w:eastAsia="en-US"/>
        </w:rPr>
      </w:pPr>
    </w:p>
    <w:p w14:paraId="3248219F" w14:textId="77777777" w:rsidR="00DE0D45" w:rsidRPr="00611315" w:rsidRDefault="00DE0D45" w:rsidP="00DE0D45">
      <w:pPr>
        <w:spacing w:line="276" w:lineRule="auto"/>
        <w:jc w:val="both"/>
        <w:rPr>
          <w:rFonts w:ascii="Verdana" w:eastAsia="Arial" w:hAnsi="Verdana" w:cs="Arial"/>
          <w:b/>
          <w:bCs/>
          <w:color w:val="000000" w:themeColor="text1"/>
          <w:sz w:val="22"/>
          <w:szCs w:val="22"/>
          <w:u w:val="single"/>
          <w:lang w:val="es-MX" w:eastAsia="en-US"/>
        </w:rPr>
      </w:pPr>
      <w:r w:rsidRPr="00611315">
        <w:rPr>
          <w:rFonts w:ascii="Verdana" w:eastAsiaTheme="minorHAnsi" w:hAnsi="Verdana" w:cs="Arial"/>
          <w:b/>
          <w:bCs/>
          <w:sz w:val="22"/>
          <w:szCs w:val="22"/>
          <w:lang w:eastAsia="en-US"/>
        </w:rPr>
        <w:t xml:space="preserve">Opción 2: Para Procesos de Contratación con Presupuestos entre </w:t>
      </w:r>
      <w:r w:rsidRPr="00611315">
        <w:rPr>
          <w:rFonts w:ascii="Verdana" w:eastAsia="Arial" w:hAnsi="Verdana" w:cs="Arial"/>
          <w:b/>
          <w:bCs/>
          <w:color w:val="000000" w:themeColor="text1"/>
          <w:sz w:val="22"/>
          <w:szCs w:val="22"/>
          <w:lang w:val="es-MX" w:eastAsia="en-US"/>
        </w:rPr>
        <w:t>1.001 y 13.000 SMMLV:</w:t>
      </w:r>
    </w:p>
    <w:p w14:paraId="143EADD3" w14:textId="77777777" w:rsidR="00DE0D45" w:rsidRPr="00611315" w:rsidRDefault="00DE0D45" w:rsidP="00DE0D45">
      <w:pPr>
        <w:spacing w:line="276" w:lineRule="auto"/>
        <w:jc w:val="both"/>
        <w:rPr>
          <w:rFonts w:ascii="Verdana" w:eastAsia="Arial" w:hAnsi="Verdana" w:cs="Arial"/>
          <w:color w:val="000000" w:themeColor="text1"/>
          <w:sz w:val="22"/>
          <w:szCs w:val="22"/>
          <w:lang w:val="es" w:eastAsia="en-US"/>
        </w:rPr>
      </w:pPr>
      <w:r w:rsidRPr="00611315">
        <w:rPr>
          <w:rFonts w:ascii="Verdana" w:eastAsia="Arial" w:hAnsi="Verdana" w:cs="Arial"/>
          <w:color w:val="000000" w:themeColor="text1"/>
          <w:sz w:val="22"/>
          <w:szCs w:val="22"/>
          <w:lang w:val="es" w:eastAsia="en-US"/>
        </w:rPr>
        <w:t xml:space="preserve"> </w:t>
      </w:r>
    </w:p>
    <w:p w14:paraId="439F420E" w14:textId="77777777" w:rsidR="00DE0D45" w:rsidRPr="00611315" w:rsidRDefault="00DE0D45" w:rsidP="00DE0D45">
      <w:pPr>
        <w:numPr>
          <w:ilvl w:val="0"/>
          <w:numId w:val="109"/>
        </w:num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Presentar e implementar un programa para el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orientado a la reducción del consumo de agua potable en las actividades constructivas y su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durante la ejecución del proyecto. Estas acciones deben ser técnicamente viables de acuerdo con lo establecido en la normatividad vigente y especialmente en el decreto 1076 de 2015 en lo relativo a usos de aguas lluvias sin concesión.</w:t>
      </w:r>
    </w:p>
    <w:p w14:paraId="4FB5FB16"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136E5954" w14:textId="16AA13A4"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Como parte de su implementación se debe garantizar el aprovechamiento de agua lluvia como fuente alternativa para usos no potables, lo anterior en consideración con lo establecido en los </w:t>
      </w:r>
      <w:r w:rsidR="00493FBB" w:rsidRPr="00611315">
        <w:rPr>
          <w:rFonts w:ascii="Verdana" w:eastAsiaTheme="minorHAnsi" w:hAnsi="Verdana" w:cstheme="minorBidi"/>
          <w:color w:val="000000"/>
          <w:sz w:val="22"/>
          <w:szCs w:val="22"/>
          <w:lang w:val="es-MX" w:eastAsia="en-US"/>
        </w:rPr>
        <w:t>artículos</w:t>
      </w:r>
      <w:r w:rsidRPr="00611315">
        <w:rPr>
          <w:rFonts w:ascii="Verdana" w:eastAsiaTheme="minorHAnsi" w:hAnsi="Verdana" w:cstheme="minorBidi"/>
          <w:color w:val="000000"/>
          <w:sz w:val="22"/>
          <w:szCs w:val="22"/>
          <w:lang w:val="es-MX" w:eastAsia="en-US"/>
        </w:rPr>
        <w:t xml:space="preserve"> 2.2.3.2.16.1 al 2.2.3.2.16.3 del decreto 1076 de 2015. Sin embargo, deben estar orientadas a aspectos como: </w:t>
      </w:r>
    </w:p>
    <w:p w14:paraId="0B65B94B"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58823A8D"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Aprovechamiento durante la ejecución de las obras, evitando el uso de agua cruda o potable para este fin.</w:t>
      </w:r>
    </w:p>
    <w:p w14:paraId="170D17EE" w14:textId="585507F3"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themeColor="text1"/>
          <w:sz w:val="22"/>
          <w:szCs w:val="22"/>
          <w:lang w:eastAsia="en-US"/>
        </w:rPr>
      </w:pPr>
      <w:r w:rsidRPr="00611315">
        <w:rPr>
          <w:rFonts w:ascii="Verdana" w:eastAsiaTheme="minorHAnsi" w:hAnsi="Verdana" w:cstheme="minorBidi"/>
          <w:color w:val="000000" w:themeColor="text1"/>
          <w:sz w:val="22"/>
          <w:szCs w:val="22"/>
          <w:lang w:eastAsia="en-US"/>
        </w:rPr>
        <w:t xml:space="preserve">Limpieza de áreas de obra, control de polvo, </w:t>
      </w:r>
      <w:r w:rsidR="00493FBB">
        <w:rPr>
          <w:rFonts w:ascii="Verdana" w:eastAsiaTheme="minorHAnsi" w:hAnsi="Verdana" w:cstheme="minorBidi"/>
          <w:color w:val="000000" w:themeColor="text1"/>
          <w:sz w:val="22"/>
          <w:szCs w:val="22"/>
          <w:lang w:eastAsia="en-US"/>
        </w:rPr>
        <w:t>descarga</w:t>
      </w:r>
      <w:r w:rsidRPr="00611315">
        <w:rPr>
          <w:rFonts w:ascii="Verdana" w:eastAsiaTheme="minorHAnsi" w:hAnsi="Verdana" w:cstheme="minorBidi"/>
          <w:color w:val="000000"/>
          <w:sz w:val="22"/>
          <w:szCs w:val="22"/>
          <w:lang w:val="es-MX" w:eastAsia="en-US"/>
        </w:rPr>
        <w:t xml:space="preserve"> de sanitarios, lavado de pisos, entre otros</w:t>
      </w:r>
      <w:r w:rsidRPr="00611315">
        <w:rPr>
          <w:rFonts w:ascii="Verdana" w:eastAsiaTheme="minorHAnsi" w:hAnsi="Verdana" w:cstheme="minorBidi"/>
          <w:color w:val="000000" w:themeColor="text1"/>
          <w:sz w:val="22"/>
          <w:szCs w:val="22"/>
          <w:lang w:eastAsia="en-US"/>
        </w:rPr>
        <w:t xml:space="preserve"> usos similares.</w:t>
      </w:r>
    </w:p>
    <w:p w14:paraId="6C5BBDBB"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themeColor="text1"/>
          <w:sz w:val="22"/>
          <w:szCs w:val="22"/>
          <w:lang w:eastAsia="en-US"/>
        </w:rPr>
        <w:t xml:space="preserve">Dependiendo el alcance del proyecto, aprovechamiento en actividades de riego, por ejemplo, </w:t>
      </w:r>
      <w:r w:rsidRPr="00611315">
        <w:rPr>
          <w:rFonts w:ascii="Verdana" w:eastAsiaTheme="minorHAnsi" w:hAnsi="Verdana" w:cstheme="minorBidi"/>
          <w:color w:val="000000"/>
          <w:sz w:val="22"/>
          <w:szCs w:val="22"/>
          <w:lang w:val="es-MX" w:eastAsia="en-US"/>
        </w:rPr>
        <w:t>Instalación de sistemas de riego eficientes.</w:t>
      </w:r>
    </w:p>
    <w:p w14:paraId="168A9896"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5E0C6A50"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dicho programa, el contratista tendrá que incluir un indicador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las aguas lluvias”, que permita medir el impacto de las acciones propuestas, </w:t>
      </w:r>
      <w:r w:rsidRPr="00611315">
        <w:rPr>
          <w:rFonts w:ascii="Verdana" w:eastAsia="Aptos" w:hAnsi="Verdana"/>
          <w:color w:val="000000" w:themeColor="text1"/>
          <w:sz w:val="22"/>
          <w:szCs w:val="22"/>
          <w:lang w:eastAsia="en-US"/>
        </w:rPr>
        <w:t xml:space="preserve">mediante </w:t>
      </w:r>
      <w:r w:rsidRPr="00611315">
        <w:rPr>
          <w:rFonts w:ascii="Verdana" w:eastAsia="Aptos" w:hAnsi="Verdana"/>
          <w:b/>
          <w:bCs/>
          <w:color w:val="000000" w:themeColor="text1"/>
          <w:sz w:val="22"/>
          <w:szCs w:val="22"/>
          <w:lang w:eastAsia="en-US"/>
        </w:rPr>
        <w:t>por lo menos dos (2) acciones</w:t>
      </w:r>
      <w:r w:rsidRPr="00611315">
        <w:rPr>
          <w:rFonts w:ascii="Verdana" w:eastAsia="Aptos" w:hAnsi="Verdana"/>
          <w:color w:val="000000" w:themeColor="text1"/>
          <w:sz w:val="22"/>
          <w:szCs w:val="22"/>
          <w:lang w:eastAsia="en-US"/>
        </w:rPr>
        <w:t xml:space="preserve"> prácticas que reduzcan la demanda y optimicen su uso</w:t>
      </w:r>
      <w:r w:rsidRPr="00611315">
        <w:rPr>
          <w:rFonts w:ascii="Verdana" w:eastAsiaTheme="minorHAnsi" w:hAnsi="Verdana" w:cstheme="minorBidi"/>
          <w:color w:val="000000"/>
          <w:sz w:val="22"/>
          <w:szCs w:val="22"/>
          <w:lang w:val="es-MX" w:eastAsia="en-US"/>
        </w:rPr>
        <w:t xml:space="preserve"> y como mínimo deberá incluir:</w:t>
      </w:r>
    </w:p>
    <w:p w14:paraId="1D576544"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3CD4B240" w14:textId="77777777" w:rsidR="00DE0D45" w:rsidRPr="00611315" w:rsidRDefault="00DE0D45" w:rsidP="00DE0D45">
      <w:pPr>
        <w:numPr>
          <w:ilvl w:val="0"/>
          <w:numId w:val="114"/>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Meta de eficiencia o reducción del consumo de agua potable o cruda.</w:t>
      </w:r>
    </w:p>
    <w:p w14:paraId="46C72534" w14:textId="77777777" w:rsidR="00DE0D45" w:rsidRPr="00611315" w:rsidRDefault="00DE0D45" w:rsidP="00DE0D45">
      <w:pPr>
        <w:numPr>
          <w:ilvl w:val="0"/>
          <w:numId w:val="114"/>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Periodicidad de seguimiento, la cual deberá realizarse como mínimo de forma mensual o trimestral.</w:t>
      </w:r>
    </w:p>
    <w:p w14:paraId="03704DE6" w14:textId="77777777" w:rsidR="00704298" w:rsidRPr="00611315" w:rsidRDefault="00704298" w:rsidP="00954F93">
      <w:pPr>
        <w:spacing w:after="160" w:line="278" w:lineRule="auto"/>
        <w:ind w:left="1068"/>
        <w:contextualSpacing/>
        <w:jc w:val="both"/>
        <w:rPr>
          <w:rFonts w:ascii="Verdana" w:eastAsiaTheme="minorHAnsi" w:hAnsi="Verdana" w:cstheme="minorBidi"/>
          <w:color w:val="000000"/>
          <w:sz w:val="22"/>
          <w:szCs w:val="22"/>
          <w:lang w:val="es-MX" w:eastAsia="en-US"/>
        </w:rPr>
      </w:pPr>
    </w:p>
    <w:p w14:paraId="60EB2191" w14:textId="5F568BF7" w:rsidR="00DE0D45" w:rsidRPr="00611315" w:rsidRDefault="00DE0D45" w:rsidP="00DE0D45">
      <w:pPr>
        <w:spacing w:after="160" w:line="259" w:lineRule="auto"/>
        <w:ind w:left="284"/>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caso de que la entidad cuente con un Programa de Uso Eficiente y Ahorro de Agua – PUEAA, el programa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presentado por el contratista deberá incorporar acciones de Uso </w:t>
      </w:r>
      <w:r w:rsidR="00263EB4" w:rsidRPr="00611315">
        <w:rPr>
          <w:rFonts w:ascii="Verdana" w:eastAsiaTheme="minorHAnsi" w:hAnsi="Verdana" w:cstheme="minorBidi"/>
          <w:color w:val="000000"/>
          <w:sz w:val="22"/>
          <w:szCs w:val="22"/>
          <w:lang w:val="es-MX" w:eastAsia="en-US"/>
        </w:rPr>
        <w:t>Eficiente</w:t>
      </w:r>
      <w:r w:rsidRPr="00611315">
        <w:rPr>
          <w:rFonts w:ascii="Verdana" w:eastAsiaTheme="minorHAnsi" w:hAnsi="Verdana" w:cstheme="minorBidi"/>
          <w:color w:val="000000"/>
          <w:sz w:val="22"/>
          <w:szCs w:val="22"/>
          <w:lang w:val="es-MX" w:eastAsia="en-US"/>
        </w:rPr>
        <w:t xml:space="preserve"> y Ahorro del Agua en el marco de la </w:t>
      </w:r>
      <w:r w:rsidRPr="00611315">
        <w:rPr>
          <w:rFonts w:ascii="Verdana" w:eastAsiaTheme="minorHAnsi" w:hAnsi="Verdana" w:cstheme="minorBidi"/>
          <w:color w:val="000000"/>
          <w:sz w:val="22"/>
          <w:szCs w:val="22"/>
          <w:lang w:val="es-MX" w:eastAsia="en-US"/>
        </w:rPr>
        <w:lastRenderedPageBreak/>
        <w:t xml:space="preserve">ejecución del </w:t>
      </w:r>
      <w:r w:rsidR="00263EB4" w:rsidRPr="00611315">
        <w:rPr>
          <w:rFonts w:ascii="Verdana" w:eastAsiaTheme="minorHAnsi" w:hAnsi="Verdana" w:cstheme="minorBidi"/>
          <w:color w:val="000000"/>
          <w:sz w:val="22"/>
          <w:szCs w:val="22"/>
          <w:lang w:val="es-MX" w:eastAsia="en-US"/>
        </w:rPr>
        <w:t>proyecto</w:t>
      </w:r>
      <w:r w:rsidRPr="00611315">
        <w:rPr>
          <w:rFonts w:ascii="Verdana" w:eastAsiaTheme="minorHAnsi" w:hAnsi="Verdana" w:cstheme="minorBidi"/>
          <w:color w:val="000000"/>
          <w:sz w:val="22"/>
          <w:szCs w:val="22"/>
          <w:lang w:val="es-MX" w:eastAsia="en-US"/>
        </w:rPr>
        <w:t xml:space="preserve"> en la etapa de construcción, diferentes a las contempladas en el PUEAA.</w:t>
      </w:r>
    </w:p>
    <w:p w14:paraId="3773A42C" w14:textId="77777777" w:rsidR="00DE0D45" w:rsidRPr="00611315" w:rsidRDefault="00DE0D45" w:rsidP="00DE0D45">
      <w:pPr>
        <w:spacing w:after="160" w:line="259" w:lineRule="auto"/>
        <w:ind w:left="284"/>
        <w:contextualSpacing/>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6A6E066C" w14:textId="77777777" w:rsidR="00DE0D45" w:rsidRPr="00611315" w:rsidRDefault="00DE0D45" w:rsidP="00DE0D45">
      <w:pPr>
        <w:spacing w:after="160" w:line="259" w:lineRule="auto"/>
        <w:ind w:left="284"/>
        <w:contextualSpacing/>
        <w:jc w:val="both"/>
        <w:rPr>
          <w:rFonts w:ascii="Verdana" w:eastAsia="Aptos" w:hAnsi="Verdana"/>
          <w:color w:val="000000" w:themeColor="text1"/>
          <w:sz w:val="22"/>
          <w:szCs w:val="22"/>
          <w:lang w:val="es-MX" w:eastAsia="en-US"/>
        </w:rPr>
      </w:pPr>
    </w:p>
    <w:p w14:paraId="19F9404B" w14:textId="5B1856BF" w:rsidR="00DE0D45" w:rsidRPr="00611315" w:rsidRDefault="00DE0D45" w:rsidP="00DE0D45">
      <w:pPr>
        <w:spacing w:after="160" w:line="259" w:lineRule="auto"/>
        <w:ind w:left="284"/>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263EB4"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contrato, el contratista debe realizar la entrega de los registros o reportes de volúmenes de agua lluvia utilizada para los diferentes </w:t>
      </w:r>
      <w:proofErr w:type="spellStart"/>
      <w:r w:rsidRPr="00611315">
        <w:rPr>
          <w:rFonts w:ascii="Verdana" w:eastAsiaTheme="minorHAnsi" w:hAnsi="Verdana" w:cstheme="minorBidi"/>
          <w:color w:val="000000"/>
          <w:sz w:val="22"/>
          <w:szCs w:val="22"/>
          <w:lang w:val="es-MX" w:eastAsia="en-US"/>
        </w:rPr>
        <w:t>reusos</w:t>
      </w:r>
      <w:proofErr w:type="spellEnd"/>
      <w:r w:rsidRPr="00611315">
        <w:rPr>
          <w:rFonts w:ascii="Verdana" w:eastAsiaTheme="minorHAnsi" w:hAnsi="Verdana" w:cstheme="minorBidi"/>
          <w:color w:val="000000"/>
          <w:sz w:val="22"/>
          <w:szCs w:val="22"/>
          <w:lang w:val="es-MX" w:eastAsia="en-US"/>
        </w:rPr>
        <w:t xml:space="preserve">. </w:t>
      </w:r>
    </w:p>
    <w:p w14:paraId="0A2435AC"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2A2BB258" w14:textId="77777777" w:rsidR="00DE0D45" w:rsidRPr="00611315" w:rsidRDefault="00DE0D45" w:rsidP="00DE0D45">
      <w:pPr>
        <w:numPr>
          <w:ilvl w:val="0"/>
          <w:numId w:val="108"/>
        </w:numPr>
        <w:spacing w:after="160" w:line="259" w:lineRule="auto"/>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Diseñar e implementar campañas de divulgación dirigidas al personal de la obra o a la comunidad beneficiaria del proyecto en materia de educación, sensibilización y capacitación en temas ambientales relacionados por ejemplo, con la gestión de residuos de construcción y demolición, uso y manejo adecuado del suelo, conflictos socio ambientales y medidas de manejo, reglamentación ambiental, atención de emergencias ambientales, gestión de residuos peligrosos, manejo de sustancias químicas, el uso eficiente y ahorro del agua, entre otros.</w:t>
      </w:r>
    </w:p>
    <w:p w14:paraId="6965AFE9"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7D1A6498"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Estas campañas deberán incluir, entre otras temáticas, la promoción del aprovechamiento de aguas lluvias en viviendas y en instalaciones no residenciales, especialmente en zonas con déficit de disponibilidad del recurso hídrico.</w:t>
      </w:r>
    </w:p>
    <w:p w14:paraId="78920B15"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15C02C2D" w14:textId="7173AA25"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 xml:space="preserve">Durante la </w:t>
      </w:r>
      <w:r w:rsidR="00263EB4" w:rsidRPr="00611315">
        <w:rPr>
          <w:rFonts w:ascii="Verdana" w:eastAsia="Verdana" w:hAnsi="Verdana" w:cs="Verdana"/>
          <w:color w:val="000000" w:themeColor="text1"/>
          <w:sz w:val="22"/>
          <w:szCs w:val="22"/>
          <w:lang w:val="es-MX" w:eastAsia="en-US"/>
        </w:rPr>
        <w:t>ejecución</w:t>
      </w:r>
      <w:r w:rsidRPr="00611315">
        <w:rPr>
          <w:rFonts w:ascii="Verdana" w:eastAsia="Verdana" w:hAnsi="Verdana" w:cs="Verdana"/>
          <w:color w:val="000000" w:themeColor="text1"/>
          <w:sz w:val="22"/>
          <w:szCs w:val="22"/>
          <w:lang w:val="es-MX" w:eastAsia="en-US"/>
        </w:rPr>
        <w:t xml:space="preserve"> del contrato, el contratista debe entregar el plan o estrategia de campañas de divulgación, piezas pedagógicas o de comunicación. Así como, los registros de actividades realizadas (listas de asistencia, fotografías, memorias o informes), y reportes que evidencien el desarrollo de jornadas de educación, sensibilización o capacitación dirigidas a los usuarios.</w:t>
      </w:r>
    </w:p>
    <w:p w14:paraId="086B8475"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1FC52245" w14:textId="77777777"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Garantizar que para la ejecución de la </w:t>
      </w:r>
      <w:r w:rsidRPr="00493FBB">
        <w:rPr>
          <w:rFonts w:ascii="Verdana" w:eastAsia="Arial" w:hAnsi="Verdana" w:cs="Arial"/>
          <w:color w:val="000000" w:themeColor="text1"/>
          <w:sz w:val="22"/>
          <w:szCs w:val="22"/>
          <w:lang w:val="es-MX" w:eastAsia="en-US"/>
        </w:rPr>
        <w:t xml:space="preserve">infraestructura de agua potable y saneamiento básico que se construya, se utilicen por lo menos cinco (5) materiales con atributos ambientales, tales como: i) contenido reciclado, </w:t>
      </w:r>
      <w:proofErr w:type="spellStart"/>
      <w:r w:rsidRPr="00493FBB">
        <w:rPr>
          <w:rFonts w:ascii="Verdana" w:eastAsia="Arial" w:hAnsi="Verdana" w:cs="Arial"/>
          <w:color w:val="000000" w:themeColor="text1"/>
          <w:sz w:val="22"/>
          <w:szCs w:val="22"/>
          <w:lang w:val="es-MX" w:eastAsia="en-US"/>
        </w:rPr>
        <w:t>ii</w:t>
      </w:r>
      <w:proofErr w:type="spellEnd"/>
      <w:r w:rsidRPr="00493FBB">
        <w:rPr>
          <w:rFonts w:ascii="Verdana" w:eastAsia="Arial" w:hAnsi="Verdana" w:cs="Arial"/>
          <w:color w:val="000000" w:themeColor="text1"/>
          <w:sz w:val="22"/>
          <w:szCs w:val="22"/>
          <w:lang w:val="es-MX" w:eastAsia="en-US"/>
        </w:rPr>
        <w:t>) bajo</w:t>
      </w:r>
      <w:r w:rsidRPr="00611315">
        <w:rPr>
          <w:rFonts w:ascii="Verdana" w:eastAsia="Arial" w:hAnsi="Verdana" w:cs="Arial"/>
          <w:color w:val="000000" w:themeColor="text1"/>
          <w:sz w:val="22"/>
          <w:szCs w:val="22"/>
          <w:lang w:val="es-MX" w:eastAsia="en-US"/>
        </w:rPr>
        <w:t xml:space="preserve"> impacto ambiental, </w:t>
      </w:r>
      <w:proofErr w:type="spellStart"/>
      <w:r w:rsidRPr="00611315">
        <w:rPr>
          <w:rFonts w:ascii="Verdana" w:eastAsia="Arial" w:hAnsi="Verdana" w:cs="Arial"/>
          <w:color w:val="000000" w:themeColor="text1"/>
          <w:sz w:val="22"/>
          <w:szCs w:val="22"/>
          <w:lang w:val="es-MX" w:eastAsia="en-US"/>
        </w:rPr>
        <w:t>iii</w:t>
      </w:r>
      <w:proofErr w:type="spellEnd"/>
      <w:r w:rsidRPr="00611315">
        <w:rPr>
          <w:rFonts w:ascii="Verdana" w:eastAsia="Arial" w:hAnsi="Verdana" w:cs="Arial"/>
          <w:color w:val="000000" w:themeColor="text1"/>
          <w:sz w:val="22"/>
          <w:szCs w:val="22"/>
          <w:lang w:val="es-MX" w:eastAsia="en-US"/>
        </w:rPr>
        <w:t xml:space="preserve">) certificaciones o etiquetas ambientales reconocidas, o </w:t>
      </w:r>
      <w:proofErr w:type="spellStart"/>
      <w:r w:rsidRPr="00611315">
        <w:rPr>
          <w:rFonts w:ascii="Verdana" w:eastAsia="Arial" w:hAnsi="Verdana" w:cs="Arial"/>
          <w:color w:val="000000" w:themeColor="text1"/>
          <w:sz w:val="22"/>
          <w:szCs w:val="22"/>
          <w:lang w:val="es-MX" w:eastAsia="en-US"/>
        </w:rPr>
        <w:t>iv</w:t>
      </w:r>
      <w:proofErr w:type="spellEnd"/>
      <w:r w:rsidRPr="00611315">
        <w:rPr>
          <w:rFonts w:ascii="Verdana" w:eastAsia="Arial" w:hAnsi="Verdana" w:cs="Arial"/>
          <w:color w:val="000000" w:themeColor="text1"/>
          <w:sz w:val="22"/>
          <w:szCs w:val="22"/>
          <w:lang w:val="es-MX" w:eastAsia="en-US"/>
        </w:rPr>
        <w:t>) tecnologías innovadoras de bajo costo que contribuyan a la sostenibilidad del proyecto.</w:t>
      </w:r>
    </w:p>
    <w:p w14:paraId="68C07985" w14:textId="77777777" w:rsidR="00DE0D45" w:rsidRPr="00611315" w:rsidRDefault="00DE0D45" w:rsidP="00DE0D45">
      <w:pPr>
        <w:spacing w:line="276" w:lineRule="auto"/>
        <w:contextualSpacing/>
        <w:jc w:val="both"/>
        <w:rPr>
          <w:rFonts w:ascii="Verdana" w:eastAsia="Arial" w:hAnsi="Verdana" w:cs="Arial"/>
          <w:color w:val="000000" w:themeColor="text1"/>
          <w:sz w:val="22"/>
          <w:szCs w:val="22"/>
          <w:lang w:val="es-MX" w:eastAsia="en-US"/>
        </w:rPr>
      </w:pPr>
    </w:p>
    <w:p w14:paraId="3B02D5F5" w14:textId="68F8365F"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Durante la </w:t>
      </w:r>
      <w:r w:rsidR="00263EB4" w:rsidRPr="00611315">
        <w:rPr>
          <w:rFonts w:ascii="Verdana" w:eastAsia="Arial" w:hAnsi="Verdana" w:cs="Arial"/>
          <w:color w:val="000000" w:themeColor="text1"/>
          <w:sz w:val="22"/>
          <w:szCs w:val="22"/>
          <w:lang w:val="es-MX" w:eastAsia="en-US"/>
        </w:rPr>
        <w:t>ejecución</w:t>
      </w:r>
      <w:r w:rsidRPr="00611315">
        <w:rPr>
          <w:rFonts w:ascii="Verdana" w:eastAsia="Arial" w:hAnsi="Verdana" w:cs="Arial"/>
          <w:color w:val="000000" w:themeColor="text1"/>
          <w:sz w:val="22"/>
          <w:szCs w:val="22"/>
          <w:lang w:val="es-MX" w:eastAsia="en-US"/>
        </w:rPr>
        <w:t xml:space="preserve"> del contrato, el contratista deberá hacer entrega de las fichas técnicas de los materiales y/o los certificados de las etiquetas ambientales, emitido </w:t>
      </w:r>
      <w:r w:rsidRPr="00611315">
        <w:rPr>
          <w:rFonts w:ascii="Verdana" w:eastAsia="Arial" w:hAnsi="Verdana" w:cs="Arial"/>
          <w:color w:val="000000" w:themeColor="text1"/>
          <w:sz w:val="22"/>
          <w:szCs w:val="22"/>
          <w:lang w:val="es-MX" w:eastAsia="en-US"/>
        </w:rPr>
        <w:lastRenderedPageBreak/>
        <w:t>por una entidad debidamente acreditada, donde se evidencie el cumplimiento del criterio.</w:t>
      </w:r>
    </w:p>
    <w:p w14:paraId="76D6EE65"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2E848317" w14:textId="77777777"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“Presentar e implementar un programa en el que se busque incorporar acciones o estrategias para el uso sostenible del suelo, mediante por lo menos la implementación de </w:t>
      </w:r>
      <w:r w:rsidRPr="00611315">
        <w:rPr>
          <w:rFonts w:ascii="Verdana" w:eastAsia="Arial" w:hAnsi="Verdana" w:cs="Arial"/>
          <w:b/>
          <w:bCs/>
          <w:color w:val="000000" w:themeColor="text1"/>
          <w:sz w:val="22"/>
          <w:szCs w:val="22"/>
          <w:lang w:val="es-MX" w:eastAsia="en-US"/>
        </w:rPr>
        <w:t>dos (2) acciones</w:t>
      </w:r>
      <w:r w:rsidRPr="00611315">
        <w:rPr>
          <w:rFonts w:ascii="Verdana" w:eastAsia="Arial" w:hAnsi="Verdana" w:cs="Arial"/>
          <w:color w:val="000000" w:themeColor="text1"/>
          <w:sz w:val="22"/>
          <w:szCs w:val="22"/>
          <w:lang w:val="es-MX" w:eastAsia="en-US"/>
        </w:rPr>
        <w:t xml:space="preserve"> </w:t>
      </w:r>
      <w:r w:rsidRPr="00611315">
        <w:rPr>
          <w:rFonts w:ascii="Verdana" w:eastAsia="Arial" w:hAnsi="Verdana" w:cs="Arial"/>
          <w:b/>
          <w:bCs/>
          <w:color w:val="000000" w:themeColor="text1"/>
          <w:sz w:val="22"/>
          <w:szCs w:val="22"/>
          <w:lang w:val="es-MX" w:eastAsia="en-US"/>
        </w:rPr>
        <w:t>o prácticas</w:t>
      </w:r>
      <w:r w:rsidRPr="00611315">
        <w:rPr>
          <w:rFonts w:ascii="Verdana" w:eastAsia="Arial" w:hAnsi="Verdana" w:cs="Arial"/>
          <w:color w:val="000000" w:themeColor="text1"/>
          <w:sz w:val="22"/>
          <w:szCs w:val="22"/>
          <w:lang w:val="es-MX" w:eastAsia="en-US"/>
        </w:rPr>
        <w:t xml:space="preserve"> para reducir la demanda y optimizar el uso del suelo en proyectos de construcción de infraestructura de Agua Potable y Saneamiento Básico.</w:t>
      </w:r>
    </w:p>
    <w:p w14:paraId="2CA5E080"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72A24B7D"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Estas acciones buscan proteger la integridad física de la infraestructura, y garantizar que el suelo continúe cumpliendo sus funciones de regulación climática y filtrado de agua, esenciales para la sostenibilidad del servicio de agua potable. Para lo anterior se proponen las siguientes acciones basadas en los principios de integralidad y sostenibilidad del recurso suelo:</w:t>
      </w:r>
    </w:p>
    <w:p w14:paraId="5736F511"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72647459" w14:textId="77777777" w:rsidR="00DE0D45" w:rsidRPr="00611315" w:rsidRDefault="00DE0D45" w:rsidP="00DE0D45">
      <w:pPr>
        <w:numPr>
          <w:ilvl w:val="2"/>
          <w:numId w:val="116"/>
        </w:numPr>
        <w:spacing w:after="160"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Planificación Basada en la Vocación de Uso</w:t>
      </w:r>
      <w:r w:rsidRPr="00611315">
        <w:rPr>
          <w:rFonts w:ascii="Verdana" w:eastAsia="Arial" w:hAnsi="Verdana" w:cs="Arial"/>
          <w:color w:val="000000" w:themeColor="text1"/>
          <w:sz w:val="22"/>
          <w:szCs w:val="22"/>
          <w:lang w:val="es-MX" w:eastAsia="en-US"/>
        </w:rPr>
        <w:t>: Consultar mapas de vocación de uso del suelo para identificar áreas de alta sensibilidad ambiental o suelos con vocación de conservación que deben evitarse.</w:t>
      </w:r>
    </w:p>
    <w:p w14:paraId="12D07F1C" w14:textId="77777777" w:rsidR="00DE0D45" w:rsidRPr="00611315" w:rsidRDefault="00DE0D45" w:rsidP="00DE0D45">
      <w:pPr>
        <w:spacing w:line="276" w:lineRule="auto"/>
        <w:ind w:left="180"/>
        <w:contextualSpacing/>
        <w:jc w:val="both"/>
        <w:rPr>
          <w:rFonts w:ascii="Verdana" w:eastAsia="Arial" w:hAnsi="Verdana" w:cs="Arial"/>
          <w:b/>
          <w:bCs/>
          <w:color w:val="000000" w:themeColor="text1"/>
          <w:sz w:val="22"/>
          <w:szCs w:val="22"/>
          <w:lang w:val="es-MX" w:eastAsia="en-US"/>
        </w:rPr>
      </w:pPr>
    </w:p>
    <w:p w14:paraId="63A9038D" w14:textId="77777777" w:rsidR="00DE0D45" w:rsidRPr="00611315" w:rsidRDefault="00DE0D45" w:rsidP="00DE0D45">
      <w:pPr>
        <w:numPr>
          <w:ilvl w:val="2"/>
          <w:numId w:val="116"/>
        </w:numPr>
        <w:spacing w:after="160"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Implementación de Obras Biomecánicas</w:t>
      </w:r>
      <w:r w:rsidRPr="00611315">
        <w:rPr>
          <w:rFonts w:ascii="Verdana" w:eastAsia="Arial" w:hAnsi="Verdana" w:cs="Arial"/>
          <w:color w:val="000000" w:themeColor="text1"/>
          <w:sz w:val="22"/>
          <w:szCs w:val="22"/>
          <w:lang w:val="es-MX" w:eastAsia="en-US"/>
        </w:rPr>
        <w:t xml:space="preserve">: Realizar la </w:t>
      </w:r>
      <w:proofErr w:type="spellStart"/>
      <w:r w:rsidRPr="00611315">
        <w:rPr>
          <w:rFonts w:ascii="Verdana" w:eastAsia="Arial" w:hAnsi="Verdana" w:cs="Arial"/>
          <w:color w:val="000000" w:themeColor="text1"/>
          <w:sz w:val="22"/>
          <w:szCs w:val="22"/>
          <w:lang w:val="es-MX" w:eastAsia="en-US"/>
        </w:rPr>
        <w:t>revegetalización</w:t>
      </w:r>
      <w:proofErr w:type="spellEnd"/>
      <w:r w:rsidRPr="00611315">
        <w:rPr>
          <w:rFonts w:ascii="Verdana" w:eastAsia="Arial" w:hAnsi="Verdana" w:cs="Arial"/>
          <w:color w:val="000000" w:themeColor="text1"/>
          <w:sz w:val="22"/>
          <w:szCs w:val="22"/>
          <w:lang w:val="es-MX" w:eastAsia="en-US"/>
        </w:rPr>
        <w:t xml:space="preserve"> de taludes inmediatamente después de la intervención para amarrar el suelo y reactivar los ciclos de materia orgánica. Construir trinchos, terrazas o gaviones para estabilizar terrenos en pendiente donde se instale infraestructura, evitando deslizamientos y la pérdida de suelo por erosión hídrica.</w:t>
      </w:r>
    </w:p>
    <w:p w14:paraId="65FA22C5" w14:textId="77777777" w:rsidR="00DE0D45" w:rsidRPr="00611315" w:rsidRDefault="00DE0D45" w:rsidP="00DE0D45">
      <w:pPr>
        <w:spacing w:line="276" w:lineRule="auto"/>
        <w:ind w:left="180"/>
        <w:jc w:val="both"/>
        <w:rPr>
          <w:rFonts w:ascii="Verdana" w:eastAsia="Arial" w:hAnsi="Verdana" w:cs="Arial"/>
          <w:color w:val="000000" w:themeColor="text1"/>
          <w:sz w:val="22"/>
          <w:szCs w:val="22"/>
          <w:lang w:val="es-MX" w:eastAsia="en-US"/>
        </w:rPr>
      </w:pPr>
    </w:p>
    <w:p w14:paraId="4814C4A5" w14:textId="77777777" w:rsidR="00DE0D45" w:rsidRPr="00611315" w:rsidRDefault="00DE0D45" w:rsidP="00DE0D45">
      <w:pPr>
        <w:numPr>
          <w:ilvl w:val="2"/>
          <w:numId w:val="116"/>
        </w:numPr>
        <w:spacing w:after="160"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Gestión Integral de los Flujos de Agua</w:t>
      </w:r>
      <w:r w:rsidRPr="00611315">
        <w:rPr>
          <w:rFonts w:ascii="Verdana" w:eastAsia="Arial" w:hAnsi="Verdana" w:cs="Arial"/>
          <w:color w:val="000000" w:themeColor="text1"/>
          <w:sz w:val="22"/>
          <w:szCs w:val="22"/>
          <w:lang w:val="es-MX" w:eastAsia="en-US"/>
        </w:rPr>
        <w:t>: Incorporar zanjas de infiltración o banquetas en el entorno de las obras para capturar la escorrentía superficial y facilitar la purificación del agua a través del perfil del suelo. Trazar senderos y zonas de circulación específicas en las áreas de las plantas de tratamiento para evitar la compactación del suelo circundante por el tránsito de operarios o vehículos.</w:t>
      </w:r>
    </w:p>
    <w:p w14:paraId="5FC8C90D" w14:textId="77777777" w:rsidR="00DE0D45" w:rsidRPr="00611315" w:rsidRDefault="00DE0D45" w:rsidP="00DE0D45">
      <w:pPr>
        <w:spacing w:line="276" w:lineRule="auto"/>
        <w:ind w:left="180"/>
        <w:jc w:val="both"/>
        <w:rPr>
          <w:rFonts w:ascii="Verdana" w:eastAsia="Arial" w:hAnsi="Verdana" w:cs="Arial"/>
          <w:color w:val="000000" w:themeColor="text1"/>
          <w:sz w:val="22"/>
          <w:szCs w:val="22"/>
          <w:lang w:val="es-MX" w:eastAsia="en-US"/>
        </w:rPr>
      </w:pPr>
    </w:p>
    <w:p w14:paraId="34D5F321" w14:textId="77777777" w:rsidR="00DE0D45" w:rsidRPr="00611315" w:rsidRDefault="00DE0D45" w:rsidP="00DE0D45">
      <w:pPr>
        <w:numPr>
          <w:ilvl w:val="2"/>
          <w:numId w:val="116"/>
        </w:numPr>
        <w:spacing w:after="160"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lastRenderedPageBreak/>
        <w:t>Manejo de Residuos Orgánicos y Recuperación de Capas Superficiales</w:t>
      </w:r>
      <w:r w:rsidRPr="00611315">
        <w:rPr>
          <w:rFonts w:ascii="Verdana" w:eastAsia="Arial" w:hAnsi="Verdana" w:cs="Arial"/>
          <w:color w:val="000000" w:themeColor="text1"/>
          <w:sz w:val="22"/>
          <w:szCs w:val="22"/>
          <w:lang w:val="es-MX" w:eastAsia="en-US"/>
        </w:rPr>
        <w:t>: Durante la excavación, separar y conservar los horizontes superficiales ricos en materia orgánica para su posterior reutilización en la restauración del área intervenida.</w:t>
      </w:r>
    </w:p>
    <w:p w14:paraId="0EDD190D" w14:textId="77777777" w:rsidR="00DE0D45" w:rsidRPr="00611315" w:rsidRDefault="00DE0D45" w:rsidP="00DE0D45">
      <w:pPr>
        <w:spacing w:after="160" w:line="259" w:lineRule="auto"/>
        <w:ind w:left="180"/>
        <w:contextualSpacing/>
        <w:jc w:val="both"/>
        <w:rPr>
          <w:rFonts w:ascii="Verdana" w:eastAsia="Arial" w:hAnsi="Verdana" w:cs="Arial"/>
          <w:color w:val="000000" w:themeColor="text1"/>
          <w:sz w:val="22"/>
          <w:szCs w:val="22"/>
          <w:lang w:val="es-MX" w:eastAsia="en-US"/>
        </w:rPr>
      </w:pPr>
    </w:p>
    <w:p w14:paraId="5316B5F4" w14:textId="77777777" w:rsidR="00DE0D45" w:rsidRPr="00611315" w:rsidRDefault="00DE0D45" w:rsidP="00DE0D45">
      <w:pPr>
        <w:numPr>
          <w:ilvl w:val="2"/>
          <w:numId w:val="116"/>
        </w:numPr>
        <w:spacing w:after="160"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Conservación de la Humedad y Cobertura Vegetal</w:t>
      </w:r>
      <w:r w:rsidRPr="00611315">
        <w:rPr>
          <w:rFonts w:ascii="Verdana" w:eastAsia="Arial" w:hAnsi="Verdana" w:cs="Arial"/>
          <w:color w:val="000000" w:themeColor="text1"/>
          <w:sz w:val="22"/>
          <w:szCs w:val="22"/>
          <w:lang w:val="es-MX" w:eastAsia="en-US"/>
        </w:rPr>
        <w:t>: Utilizar acolchado (</w:t>
      </w:r>
      <w:proofErr w:type="spellStart"/>
      <w:r w:rsidRPr="00611315">
        <w:rPr>
          <w:rFonts w:ascii="Verdana" w:eastAsia="Arial" w:hAnsi="Verdana" w:cs="Arial"/>
          <w:color w:val="000000" w:themeColor="text1"/>
          <w:sz w:val="22"/>
          <w:szCs w:val="22"/>
          <w:lang w:val="es-MX" w:eastAsia="en-US"/>
        </w:rPr>
        <w:t>mulching</w:t>
      </w:r>
      <w:proofErr w:type="spellEnd"/>
      <w:r w:rsidRPr="00611315">
        <w:rPr>
          <w:rFonts w:ascii="Verdana" w:eastAsia="Arial" w:hAnsi="Verdana" w:cs="Arial"/>
          <w:color w:val="000000" w:themeColor="text1"/>
          <w:sz w:val="22"/>
          <w:szCs w:val="22"/>
          <w:lang w:val="es-MX" w:eastAsia="en-US"/>
        </w:rPr>
        <w:t>) o coberturas permanentes de material seco en las áreas descubiertas durante la obra para reducir la pérdida de agua por evapotranspiración y prevenir el encostramiento superficial.</w:t>
      </w:r>
    </w:p>
    <w:p w14:paraId="294F2E41" w14:textId="77777777" w:rsidR="00DE0D45" w:rsidRPr="00611315" w:rsidRDefault="00DE0D45" w:rsidP="00DE0D45">
      <w:pPr>
        <w:spacing w:after="160" w:line="259" w:lineRule="auto"/>
        <w:ind w:left="720"/>
        <w:contextualSpacing/>
        <w:jc w:val="both"/>
        <w:rPr>
          <w:rFonts w:ascii="Verdana" w:eastAsia="Arial" w:hAnsi="Verdana" w:cs="Arial"/>
          <w:color w:val="000000" w:themeColor="text1"/>
          <w:sz w:val="22"/>
          <w:szCs w:val="22"/>
          <w:lang w:val="es-MX" w:eastAsia="en-US"/>
        </w:rPr>
      </w:pPr>
    </w:p>
    <w:p w14:paraId="0009CD68" w14:textId="639CA23B" w:rsidR="00DE0D45" w:rsidRPr="00611315" w:rsidRDefault="00DE0D45" w:rsidP="00E37873">
      <w:pPr>
        <w:spacing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Nota:</w:t>
      </w:r>
      <w:r w:rsidRPr="00611315">
        <w:rPr>
          <w:rFonts w:ascii="Verdana" w:eastAsia="Arial" w:hAnsi="Verdana" w:cs="Arial"/>
          <w:color w:val="000000" w:themeColor="text1"/>
          <w:sz w:val="22"/>
          <w:szCs w:val="22"/>
          <w:lang w:val="es-MX" w:eastAsia="en-US"/>
        </w:rPr>
        <w:t xml:space="preserve"> La entidad definirá dentro de las anteriores acciones, las que se acomoden a la naturaleza del proyecto de Agua Potable y Saneamiento Básico que se ejecuté y eliminará las que no se requieran, de manera que el contratista durante la ejecución </w:t>
      </w:r>
      <w:proofErr w:type="gramStart"/>
      <w:r w:rsidRPr="00611315">
        <w:rPr>
          <w:rFonts w:ascii="Verdana" w:eastAsia="Arial" w:hAnsi="Verdana" w:cs="Arial"/>
          <w:color w:val="000000" w:themeColor="text1"/>
          <w:sz w:val="22"/>
          <w:szCs w:val="22"/>
          <w:lang w:val="es-MX" w:eastAsia="en-US"/>
        </w:rPr>
        <w:t>del mismo</w:t>
      </w:r>
      <w:proofErr w:type="gramEnd"/>
      <w:r w:rsidRPr="00611315">
        <w:rPr>
          <w:rFonts w:ascii="Verdana" w:eastAsia="Arial" w:hAnsi="Verdana" w:cs="Arial"/>
          <w:color w:val="000000" w:themeColor="text1"/>
          <w:sz w:val="22"/>
          <w:szCs w:val="22"/>
          <w:lang w:val="es-MX" w:eastAsia="en-US"/>
        </w:rPr>
        <w:t xml:space="preserve"> garantice el cumplimiento como mínimo dos de ellas y durante la </w:t>
      </w:r>
      <w:r w:rsidR="00263EB4" w:rsidRPr="00611315">
        <w:rPr>
          <w:rFonts w:ascii="Verdana" w:eastAsia="Arial" w:hAnsi="Verdana" w:cs="Arial"/>
          <w:color w:val="000000" w:themeColor="text1"/>
          <w:sz w:val="22"/>
          <w:szCs w:val="22"/>
          <w:lang w:val="es-MX" w:eastAsia="en-US"/>
        </w:rPr>
        <w:t>ejecución</w:t>
      </w:r>
      <w:r w:rsidRPr="00611315">
        <w:rPr>
          <w:rFonts w:ascii="Verdana" w:eastAsia="Arial" w:hAnsi="Verdana" w:cs="Arial"/>
          <w:color w:val="000000" w:themeColor="text1"/>
          <w:sz w:val="22"/>
          <w:szCs w:val="22"/>
          <w:lang w:val="es-MX" w:eastAsia="en-US"/>
        </w:rPr>
        <w:t xml:space="preserve"> del proyecto, la </w:t>
      </w:r>
      <w:r w:rsidR="00263EB4" w:rsidRPr="00611315">
        <w:rPr>
          <w:rFonts w:ascii="Verdana" w:eastAsia="Arial" w:hAnsi="Verdana" w:cs="Arial"/>
          <w:color w:val="000000" w:themeColor="text1"/>
          <w:sz w:val="22"/>
          <w:szCs w:val="22"/>
          <w:lang w:val="es-MX" w:eastAsia="en-US"/>
        </w:rPr>
        <w:t>interventoría</w:t>
      </w:r>
      <w:r w:rsidRPr="00611315">
        <w:rPr>
          <w:rFonts w:ascii="Verdana" w:eastAsia="Arial" w:hAnsi="Verdana" w:cs="Arial"/>
          <w:color w:val="000000" w:themeColor="text1"/>
          <w:sz w:val="22"/>
          <w:szCs w:val="22"/>
          <w:lang w:val="es-MX" w:eastAsia="en-US"/>
        </w:rPr>
        <w:t xml:space="preserve"> tendrá que hacer el seguimiento que garantice que el contratista efectúe el cumplimiento de este criterio.</w:t>
      </w:r>
    </w:p>
    <w:p w14:paraId="1319C482" w14:textId="77777777" w:rsidR="00DE0D45" w:rsidRPr="00611315" w:rsidRDefault="00DE0D45" w:rsidP="00DE0D45">
      <w:pPr>
        <w:spacing w:after="160" w:line="259" w:lineRule="auto"/>
        <w:ind w:left="360"/>
        <w:contextualSpacing/>
        <w:jc w:val="both"/>
        <w:rPr>
          <w:rFonts w:ascii="Verdana" w:eastAsia="Aptos" w:hAnsi="Verdana"/>
          <w:color w:val="000000"/>
          <w:sz w:val="22"/>
          <w:szCs w:val="22"/>
          <w:lang w:val="es-MX" w:eastAsia="en-US"/>
        </w:rPr>
      </w:pPr>
    </w:p>
    <w:p w14:paraId="5E946BC5" w14:textId="77777777" w:rsidR="00DE0D45" w:rsidRPr="00611315" w:rsidRDefault="00DE0D45" w:rsidP="00DE0D45">
      <w:pPr>
        <w:spacing w:line="276" w:lineRule="auto"/>
        <w:jc w:val="both"/>
        <w:rPr>
          <w:rFonts w:ascii="Verdana" w:eastAsia="Arial" w:hAnsi="Verdana" w:cs="Arial"/>
          <w:b/>
          <w:color w:val="000000" w:themeColor="text1"/>
          <w:sz w:val="22"/>
          <w:szCs w:val="22"/>
          <w:u w:val="single"/>
          <w:lang w:val="es-MX" w:eastAsia="en-US"/>
        </w:rPr>
      </w:pPr>
      <w:r w:rsidRPr="00611315">
        <w:rPr>
          <w:rFonts w:ascii="Verdana" w:eastAsiaTheme="minorHAnsi" w:hAnsi="Verdana" w:cs="Arial"/>
          <w:b/>
          <w:bCs/>
          <w:sz w:val="22"/>
          <w:szCs w:val="22"/>
          <w:lang w:eastAsia="en-US"/>
        </w:rPr>
        <w:t xml:space="preserve">Opción 3: Para Procesos de Contratación con Presupuestos igual o mayor a </w:t>
      </w:r>
      <w:r w:rsidRPr="00611315">
        <w:rPr>
          <w:rFonts w:ascii="Verdana" w:eastAsia="Arial" w:hAnsi="Verdana" w:cs="Arial"/>
          <w:b/>
          <w:bCs/>
          <w:color w:val="000000" w:themeColor="text1"/>
          <w:sz w:val="22"/>
          <w:szCs w:val="22"/>
          <w:lang w:val="es-MX" w:eastAsia="en-US"/>
        </w:rPr>
        <w:t>13.001 SMMLV:</w:t>
      </w:r>
    </w:p>
    <w:p w14:paraId="7EF74311" w14:textId="77777777" w:rsidR="00DE0D45" w:rsidRPr="00611315" w:rsidRDefault="00DE0D45" w:rsidP="00DE0D45">
      <w:pPr>
        <w:spacing w:line="276" w:lineRule="auto"/>
        <w:ind w:left="720"/>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 w:eastAsia="en-US"/>
        </w:rPr>
        <w:t xml:space="preserve"> </w:t>
      </w:r>
      <w:r w:rsidRPr="00611315">
        <w:rPr>
          <w:rFonts w:ascii="Verdana" w:eastAsia="Arial" w:hAnsi="Verdana" w:cs="Arial"/>
          <w:color w:val="000000" w:themeColor="text1"/>
          <w:sz w:val="22"/>
          <w:szCs w:val="22"/>
          <w:lang w:val="es-MX" w:eastAsia="en-US"/>
        </w:rPr>
        <w:t xml:space="preserve"> </w:t>
      </w:r>
    </w:p>
    <w:p w14:paraId="6ED4DD62" w14:textId="77777777" w:rsidR="00DE0D45" w:rsidRPr="00611315" w:rsidRDefault="00DE0D45" w:rsidP="00DE0D45">
      <w:pPr>
        <w:numPr>
          <w:ilvl w:val="0"/>
          <w:numId w:val="109"/>
        </w:num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Presentar e implementar un programa para el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orientado a la reducción del consumo de agua potable en las actividades constructivas y su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durante la ejecución del proyecto. Estas acciones deben ser técnicamente viables de acuerdo con lo establecido en la normatividad vigente y especialmente en el decreto 1076 de 2015 en lo relativo a usos de aguas lluvias sin concesión.</w:t>
      </w:r>
    </w:p>
    <w:p w14:paraId="773DDC54"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1B3A79BB" w14:textId="62078BC6"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Como parte de su implementación se debe garantizar el aprovechamiento de agua lluvia como fuente alternativa para usos no potables, lo anterior en consideración con lo establecido en los </w:t>
      </w:r>
      <w:r w:rsidR="00263EB4" w:rsidRPr="00611315">
        <w:rPr>
          <w:rFonts w:ascii="Verdana" w:eastAsiaTheme="minorHAnsi" w:hAnsi="Verdana" w:cstheme="minorBidi"/>
          <w:color w:val="000000"/>
          <w:sz w:val="22"/>
          <w:szCs w:val="22"/>
          <w:lang w:val="es-MX" w:eastAsia="en-US"/>
        </w:rPr>
        <w:t>artículos</w:t>
      </w:r>
      <w:r w:rsidRPr="00611315">
        <w:rPr>
          <w:rFonts w:ascii="Verdana" w:eastAsiaTheme="minorHAnsi" w:hAnsi="Verdana" w:cstheme="minorBidi"/>
          <w:color w:val="000000"/>
          <w:sz w:val="22"/>
          <w:szCs w:val="22"/>
          <w:lang w:val="es-MX" w:eastAsia="en-US"/>
        </w:rPr>
        <w:t xml:space="preserve"> 2.2.3.2.16.1 al 2.2.3.2.16.3 del decreto 1076 de 2015. Sin embargo, deben estar orientadas a aspectos como: </w:t>
      </w:r>
    </w:p>
    <w:p w14:paraId="2D5CAE1C"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sz w:val="22"/>
          <w:szCs w:val="22"/>
          <w:lang w:val="es-MX" w:eastAsia="en-US"/>
        </w:rPr>
      </w:pPr>
    </w:p>
    <w:p w14:paraId="57904455"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Aprovechamiento durante la ejecución de las obras, evitando el uso de agua cruda o potable para este fin.</w:t>
      </w:r>
    </w:p>
    <w:p w14:paraId="549A5AC0" w14:textId="15203AE5"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themeColor="text1"/>
          <w:sz w:val="22"/>
          <w:szCs w:val="22"/>
          <w:lang w:eastAsia="en-US"/>
        </w:rPr>
      </w:pPr>
      <w:r w:rsidRPr="00611315">
        <w:rPr>
          <w:rFonts w:ascii="Verdana" w:eastAsiaTheme="minorHAnsi" w:hAnsi="Verdana" w:cstheme="minorBidi"/>
          <w:color w:val="000000" w:themeColor="text1"/>
          <w:sz w:val="22"/>
          <w:szCs w:val="22"/>
          <w:lang w:eastAsia="en-US"/>
        </w:rPr>
        <w:lastRenderedPageBreak/>
        <w:t xml:space="preserve">Limpieza de áreas de obra, control de polvo, </w:t>
      </w:r>
      <w:r w:rsidR="00263EB4">
        <w:rPr>
          <w:rFonts w:ascii="Verdana" w:eastAsiaTheme="minorHAnsi" w:hAnsi="Verdana" w:cstheme="minorBidi"/>
          <w:color w:val="000000" w:themeColor="text1"/>
          <w:sz w:val="22"/>
          <w:szCs w:val="22"/>
          <w:lang w:eastAsia="en-US"/>
        </w:rPr>
        <w:t>d</w:t>
      </w:r>
      <w:proofErr w:type="spellStart"/>
      <w:r w:rsidR="00493FBB">
        <w:rPr>
          <w:rFonts w:ascii="Verdana" w:eastAsiaTheme="minorHAnsi" w:hAnsi="Verdana" w:cstheme="minorBidi"/>
          <w:color w:val="000000"/>
          <w:sz w:val="22"/>
          <w:szCs w:val="22"/>
          <w:lang w:val="es-MX" w:eastAsia="en-US"/>
        </w:rPr>
        <w:t>escarga</w:t>
      </w:r>
      <w:proofErr w:type="spellEnd"/>
      <w:r w:rsidRPr="00611315">
        <w:rPr>
          <w:rFonts w:ascii="Verdana" w:eastAsiaTheme="minorHAnsi" w:hAnsi="Verdana" w:cstheme="minorBidi"/>
          <w:color w:val="000000"/>
          <w:sz w:val="22"/>
          <w:szCs w:val="22"/>
          <w:lang w:val="es-MX" w:eastAsia="en-US"/>
        </w:rPr>
        <w:t xml:space="preserve"> de sanitarios, lavado de pisos, entre otros</w:t>
      </w:r>
      <w:r w:rsidRPr="00611315">
        <w:rPr>
          <w:rFonts w:ascii="Verdana" w:eastAsiaTheme="minorHAnsi" w:hAnsi="Verdana" w:cstheme="minorBidi"/>
          <w:color w:val="000000" w:themeColor="text1"/>
          <w:sz w:val="22"/>
          <w:szCs w:val="22"/>
          <w:lang w:eastAsia="en-US"/>
        </w:rPr>
        <w:t xml:space="preserve"> usos similares.</w:t>
      </w:r>
    </w:p>
    <w:p w14:paraId="40986AD7" w14:textId="77777777" w:rsidR="00DE0D45" w:rsidRPr="00611315" w:rsidRDefault="00DE0D45" w:rsidP="00DE0D45">
      <w:pPr>
        <w:numPr>
          <w:ilvl w:val="0"/>
          <w:numId w:val="113"/>
        </w:numPr>
        <w:spacing w:after="160" w:line="259"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themeColor="text1"/>
          <w:sz w:val="22"/>
          <w:szCs w:val="22"/>
          <w:lang w:eastAsia="en-US"/>
        </w:rPr>
        <w:t xml:space="preserve">Dependiendo el alcance del proyecto, aprovechamiento en actividades de riego, por ejemplo, </w:t>
      </w:r>
      <w:r w:rsidRPr="00611315">
        <w:rPr>
          <w:rFonts w:ascii="Verdana" w:eastAsiaTheme="minorHAnsi" w:hAnsi="Verdana" w:cstheme="minorBidi"/>
          <w:color w:val="000000"/>
          <w:sz w:val="22"/>
          <w:szCs w:val="22"/>
          <w:lang w:val="es-MX" w:eastAsia="en-US"/>
        </w:rPr>
        <w:t>Instalación de sistemas de riego eficientes.</w:t>
      </w:r>
    </w:p>
    <w:p w14:paraId="324793F2"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7F037C95"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dicho programa, el contratista tendrá que incluir un indicador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las aguas lluvias”, que permita medir el impacto de las acciones propuestas, </w:t>
      </w:r>
      <w:r w:rsidRPr="00611315">
        <w:rPr>
          <w:rFonts w:ascii="Verdana" w:eastAsia="Aptos" w:hAnsi="Verdana"/>
          <w:color w:val="000000" w:themeColor="text1"/>
          <w:sz w:val="22"/>
          <w:szCs w:val="22"/>
          <w:lang w:eastAsia="en-US"/>
        </w:rPr>
        <w:t xml:space="preserve">mediante </w:t>
      </w:r>
      <w:r w:rsidRPr="00611315">
        <w:rPr>
          <w:rFonts w:ascii="Verdana" w:eastAsia="Aptos" w:hAnsi="Verdana"/>
          <w:b/>
          <w:bCs/>
          <w:color w:val="000000" w:themeColor="text1"/>
          <w:sz w:val="22"/>
          <w:szCs w:val="22"/>
          <w:lang w:eastAsia="en-US"/>
        </w:rPr>
        <w:t>por lo menos dos (2) acciones</w:t>
      </w:r>
      <w:r w:rsidRPr="00611315">
        <w:rPr>
          <w:rFonts w:ascii="Verdana" w:eastAsia="Aptos" w:hAnsi="Verdana"/>
          <w:color w:val="000000" w:themeColor="text1"/>
          <w:sz w:val="22"/>
          <w:szCs w:val="22"/>
          <w:lang w:eastAsia="en-US"/>
        </w:rPr>
        <w:t xml:space="preserve"> prácticas que reduzcan la demanda y optimicen su uso</w:t>
      </w:r>
      <w:r w:rsidRPr="00611315">
        <w:rPr>
          <w:rFonts w:ascii="Verdana" w:eastAsiaTheme="minorHAnsi" w:hAnsi="Verdana" w:cstheme="minorBidi"/>
          <w:color w:val="000000"/>
          <w:sz w:val="22"/>
          <w:szCs w:val="22"/>
          <w:lang w:val="es-MX" w:eastAsia="en-US"/>
        </w:rPr>
        <w:t xml:space="preserve"> y como mínimo deberá incluir:</w:t>
      </w:r>
    </w:p>
    <w:p w14:paraId="43CF5FE2"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059E2F68" w14:textId="77777777" w:rsidR="00DE0D45" w:rsidRPr="00611315" w:rsidRDefault="00DE0D45" w:rsidP="00DE0D45">
      <w:pPr>
        <w:numPr>
          <w:ilvl w:val="0"/>
          <w:numId w:val="114"/>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Meta de eficiencia o reducción del consumo de agua potable o cruda.</w:t>
      </w:r>
    </w:p>
    <w:p w14:paraId="208D5524" w14:textId="77777777" w:rsidR="00DE0D45" w:rsidRPr="00611315" w:rsidRDefault="00DE0D45" w:rsidP="00DE0D45">
      <w:pPr>
        <w:numPr>
          <w:ilvl w:val="0"/>
          <w:numId w:val="114"/>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Periodicidad de seguimiento, la cual deberá realizarse como mínimo de forma mensual o trimestral.</w:t>
      </w:r>
    </w:p>
    <w:p w14:paraId="2F7A7F4B" w14:textId="77777777" w:rsidR="00704298" w:rsidRPr="00611315" w:rsidRDefault="00704298" w:rsidP="00954F93">
      <w:pPr>
        <w:spacing w:after="160" w:line="278" w:lineRule="auto"/>
        <w:ind w:left="1068"/>
        <w:contextualSpacing/>
        <w:jc w:val="both"/>
        <w:rPr>
          <w:rFonts w:ascii="Verdana" w:eastAsiaTheme="minorHAnsi" w:hAnsi="Verdana" w:cstheme="minorBidi"/>
          <w:color w:val="000000"/>
          <w:sz w:val="22"/>
          <w:szCs w:val="22"/>
          <w:lang w:val="es-MX" w:eastAsia="en-US"/>
        </w:rPr>
      </w:pPr>
    </w:p>
    <w:p w14:paraId="69080DEF" w14:textId="1080250E" w:rsidR="00DE0D45" w:rsidRPr="00611315" w:rsidRDefault="00DE0D45" w:rsidP="00DE0D45">
      <w:pPr>
        <w:spacing w:after="160" w:line="259" w:lineRule="auto"/>
        <w:ind w:left="284"/>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En caso de que la entidad cuente con un Programa de Uso Eficiente y Ahorro de Agua – PUEAA, el programa de “</w:t>
      </w:r>
      <w:proofErr w:type="spellStart"/>
      <w:r w:rsidRPr="00611315">
        <w:rPr>
          <w:rFonts w:ascii="Verdana" w:eastAsiaTheme="minorHAnsi" w:hAnsi="Verdana" w:cstheme="minorBidi"/>
          <w:color w:val="000000"/>
          <w:sz w:val="22"/>
          <w:szCs w:val="22"/>
          <w:lang w:val="es-MX" w:eastAsia="en-US"/>
        </w:rPr>
        <w:t>Reuso</w:t>
      </w:r>
      <w:proofErr w:type="spellEnd"/>
      <w:r w:rsidRPr="00611315">
        <w:rPr>
          <w:rFonts w:ascii="Verdana" w:eastAsiaTheme="minorHAnsi" w:hAnsi="Verdana" w:cstheme="minorBidi"/>
          <w:color w:val="000000"/>
          <w:sz w:val="22"/>
          <w:szCs w:val="22"/>
          <w:lang w:val="es-MX" w:eastAsia="en-US"/>
        </w:rPr>
        <w:t xml:space="preserve"> de aguas lluvias”, presentado por el contratista deberá incorporar acciones de Uso </w:t>
      </w:r>
      <w:r w:rsidR="00263EB4" w:rsidRPr="00611315">
        <w:rPr>
          <w:rFonts w:ascii="Verdana" w:eastAsiaTheme="minorHAnsi" w:hAnsi="Verdana" w:cstheme="minorBidi"/>
          <w:color w:val="000000"/>
          <w:sz w:val="22"/>
          <w:szCs w:val="22"/>
          <w:lang w:val="es-MX" w:eastAsia="en-US"/>
        </w:rPr>
        <w:t>Eficiente</w:t>
      </w:r>
      <w:r w:rsidRPr="00611315">
        <w:rPr>
          <w:rFonts w:ascii="Verdana" w:eastAsiaTheme="minorHAnsi" w:hAnsi="Verdana" w:cstheme="minorBidi"/>
          <w:color w:val="000000"/>
          <w:sz w:val="22"/>
          <w:szCs w:val="22"/>
          <w:lang w:val="es-MX" w:eastAsia="en-US"/>
        </w:rPr>
        <w:t xml:space="preserve"> y Ahorro del Agua en el marco de la ejecución del p</w:t>
      </w:r>
      <w:r w:rsidR="00493FBB">
        <w:rPr>
          <w:rFonts w:ascii="Verdana" w:eastAsiaTheme="minorHAnsi" w:hAnsi="Verdana" w:cstheme="minorBidi"/>
          <w:color w:val="000000"/>
          <w:sz w:val="22"/>
          <w:szCs w:val="22"/>
          <w:lang w:val="es-MX" w:eastAsia="en-US"/>
        </w:rPr>
        <w:t>r</w:t>
      </w:r>
      <w:r w:rsidRPr="00611315">
        <w:rPr>
          <w:rFonts w:ascii="Verdana" w:eastAsiaTheme="minorHAnsi" w:hAnsi="Verdana" w:cstheme="minorBidi"/>
          <w:color w:val="000000"/>
          <w:sz w:val="22"/>
          <w:szCs w:val="22"/>
          <w:lang w:val="es-MX" w:eastAsia="en-US"/>
        </w:rPr>
        <w:t>oyecto en la etapa de construcción, diferentes a las contempladas en el PUEAA.</w:t>
      </w:r>
    </w:p>
    <w:p w14:paraId="750B6B14" w14:textId="77777777" w:rsidR="00DE0D45" w:rsidRPr="00611315" w:rsidRDefault="00DE0D45" w:rsidP="00DE0D45">
      <w:pPr>
        <w:spacing w:after="160" w:line="259" w:lineRule="auto"/>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5217D5A0" w14:textId="2FCB93F6" w:rsidR="00DE0D45" w:rsidRPr="00611315" w:rsidRDefault="00DE0D45" w:rsidP="00DE0D45">
      <w:pPr>
        <w:spacing w:after="160" w:line="259" w:lineRule="auto"/>
        <w:jc w:val="both"/>
        <w:rPr>
          <w:rFonts w:ascii="Verdana" w:eastAsiaTheme="minorHAnsi" w:hAnsi="Verdana" w:cstheme="minorBidi"/>
          <w:color w:val="000000" w:themeColor="text1"/>
          <w:sz w:val="20"/>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263EB4"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contrato, el contratista debe realizar la entrega de los registros o reportes de volúmenes de agua lluvia utilizada para los diferentes </w:t>
      </w:r>
      <w:proofErr w:type="spellStart"/>
      <w:r w:rsidRPr="00611315">
        <w:rPr>
          <w:rFonts w:ascii="Verdana" w:eastAsiaTheme="minorHAnsi" w:hAnsi="Verdana" w:cstheme="minorBidi"/>
          <w:color w:val="000000"/>
          <w:sz w:val="22"/>
          <w:szCs w:val="22"/>
          <w:lang w:val="es-MX" w:eastAsia="en-US"/>
        </w:rPr>
        <w:t>reusos</w:t>
      </w:r>
      <w:proofErr w:type="spellEnd"/>
      <w:r w:rsidRPr="00611315">
        <w:rPr>
          <w:rFonts w:ascii="Verdana" w:eastAsiaTheme="minorHAnsi" w:hAnsi="Verdana" w:cstheme="minorBidi"/>
          <w:color w:val="000000"/>
          <w:sz w:val="22"/>
          <w:szCs w:val="22"/>
          <w:lang w:val="es-MX" w:eastAsia="en-US"/>
        </w:rPr>
        <w:t xml:space="preserve">. </w:t>
      </w:r>
    </w:p>
    <w:p w14:paraId="776B4299" w14:textId="77777777" w:rsidR="00DE0D45" w:rsidRPr="00611315" w:rsidRDefault="00DE0D45" w:rsidP="00DE0D45">
      <w:pPr>
        <w:numPr>
          <w:ilvl w:val="0"/>
          <w:numId w:val="108"/>
        </w:numPr>
        <w:spacing w:after="160" w:line="259" w:lineRule="auto"/>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Diseñar e implementar campañas de divulgación dirigidas al personal de la obra o a la comunidad beneficiaria del proyecto en materia de educación, sensibilización y capacitación en temas ambientales relacionados por ejemplo, con la gestión de residuos de construcción y demolición, uso y manejo adecuado del suelo, conflictos socio ambientales y medidas de manejo, reglamentación ambiental, atención de emergencias ambientales, gestión de residuos peligrosos, manejo de sustancias químicas, el uso eficiente y ahorro del agua, entre otros.</w:t>
      </w:r>
    </w:p>
    <w:p w14:paraId="68E6E1DD"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7C73C5E8"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Estas campañas deberán incluir, entre otras temáticas, la promoción del aprovechamiento de aguas lluvias en viviendas y en instalaciones no residenciales, especialmente en zonas con déficit de disponibilidad del recurso hídrico.</w:t>
      </w:r>
    </w:p>
    <w:p w14:paraId="007C4155"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39E30A82" w14:textId="5910F270"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r w:rsidRPr="00611315">
        <w:rPr>
          <w:rFonts w:ascii="Verdana" w:eastAsia="Verdana" w:hAnsi="Verdana" w:cs="Verdana"/>
          <w:color w:val="000000" w:themeColor="text1"/>
          <w:sz w:val="22"/>
          <w:szCs w:val="22"/>
          <w:lang w:val="es-MX" w:eastAsia="en-US"/>
        </w:rPr>
        <w:t xml:space="preserve">Durante la </w:t>
      </w:r>
      <w:r w:rsidR="00263EB4" w:rsidRPr="00611315">
        <w:rPr>
          <w:rFonts w:ascii="Verdana" w:eastAsia="Verdana" w:hAnsi="Verdana" w:cs="Verdana"/>
          <w:color w:val="000000" w:themeColor="text1"/>
          <w:sz w:val="22"/>
          <w:szCs w:val="22"/>
          <w:lang w:val="es-MX" w:eastAsia="en-US"/>
        </w:rPr>
        <w:t>ejecución</w:t>
      </w:r>
      <w:r w:rsidRPr="00611315">
        <w:rPr>
          <w:rFonts w:ascii="Verdana" w:eastAsia="Verdana" w:hAnsi="Verdana" w:cs="Verdana"/>
          <w:color w:val="000000" w:themeColor="text1"/>
          <w:sz w:val="22"/>
          <w:szCs w:val="22"/>
          <w:lang w:val="es-MX" w:eastAsia="en-US"/>
        </w:rPr>
        <w:t xml:space="preserve"> del contrato, el contratista debe entregar el plan o estrategia de campañas de divulgación, piezas pedagógicas o de comunicación. Así como, los registros de actividades realizadas (listas de asistencia, fotografías, memorias o informes), y reportes que evidencien el desarrollo de jornadas de educación, sensibilización o capacitación dirigidas a los usuarios.</w:t>
      </w:r>
    </w:p>
    <w:p w14:paraId="5616F2A5" w14:textId="77777777" w:rsidR="00DE0D45" w:rsidRPr="00611315" w:rsidRDefault="00DE0D45" w:rsidP="00DE0D45">
      <w:pPr>
        <w:spacing w:after="160" w:line="259" w:lineRule="auto"/>
        <w:ind w:left="360"/>
        <w:contextualSpacing/>
        <w:jc w:val="both"/>
        <w:rPr>
          <w:rFonts w:ascii="Verdana" w:eastAsia="Verdana" w:hAnsi="Verdana" w:cs="Verdana"/>
          <w:color w:val="000000" w:themeColor="text1"/>
          <w:sz w:val="22"/>
          <w:szCs w:val="22"/>
          <w:lang w:val="es-MX" w:eastAsia="en-US"/>
        </w:rPr>
      </w:pPr>
    </w:p>
    <w:p w14:paraId="49678BF1" w14:textId="77777777"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Garantizar que para la ejecución de la infraestructura de agua potable y saneamiento básico que se construya, se </w:t>
      </w:r>
      <w:r w:rsidRPr="00493FBB">
        <w:rPr>
          <w:rFonts w:ascii="Verdana" w:eastAsia="Arial" w:hAnsi="Verdana" w:cs="Arial"/>
          <w:color w:val="000000" w:themeColor="text1"/>
          <w:sz w:val="22"/>
          <w:szCs w:val="22"/>
          <w:lang w:val="es-MX" w:eastAsia="en-US"/>
        </w:rPr>
        <w:t>utilicen por lo menos cinco (5</w:t>
      </w:r>
      <w:r w:rsidRPr="00611315">
        <w:rPr>
          <w:rFonts w:ascii="Verdana" w:eastAsia="Arial" w:hAnsi="Verdana" w:cs="Arial"/>
          <w:color w:val="000000" w:themeColor="text1"/>
          <w:sz w:val="22"/>
          <w:szCs w:val="22"/>
          <w:lang w:val="es-MX" w:eastAsia="en-US"/>
        </w:rPr>
        <w:t xml:space="preserve">) materiales con atributos ambientales, tales como: i) contenido reciclado, </w:t>
      </w:r>
      <w:proofErr w:type="spellStart"/>
      <w:r w:rsidRPr="00611315">
        <w:rPr>
          <w:rFonts w:ascii="Verdana" w:eastAsia="Arial" w:hAnsi="Verdana" w:cs="Arial"/>
          <w:color w:val="000000" w:themeColor="text1"/>
          <w:sz w:val="22"/>
          <w:szCs w:val="22"/>
          <w:lang w:val="es-MX" w:eastAsia="en-US"/>
        </w:rPr>
        <w:t>ii</w:t>
      </w:r>
      <w:proofErr w:type="spellEnd"/>
      <w:r w:rsidRPr="00611315">
        <w:rPr>
          <w:rFonts w:ascii="Verdana" w:eastAsia="Arial" w:hAnsi="Verdana" w:cs="Arial"/>
          <w:color w:val="000000" w:themeColor="text1"/>
          <w:sz w:val="22"/>
          <w:szCs w:val="22"/>
          <w:lang w:val="es-MX" w:eastAsia="en-US"/>
        </w:rPr>
        <w:t xml:space="preserve">) bajo impacto ambiental, </w:t>
      </w:r>
      <w:proofErr w:type="spellStart"/>
      <w:r w:rsidRPr="00611315">
        <w:rPr>
          <w:rFonts w:ascii="Verdana" w:eastAsia="Arial" w:hAnsi="Verdana" w:cs="Arial"/>
          <w:color w:val="000000" w:themeColor="text1"/>
          <w:sz w:val="22"/>
          <w:szCs w:val="22"/>
          <w:lang w:val="es-MX" w:eastAsia="en-US"/>
        </w:rPr>
        <w:t>iii</w:t>
      </w:r>
      <w:proofErr w:type="spellEnd"/>
      <w:r w:rsidRPr="00611315">
        <w:rPr>
          <w:rFonts w:ascii="Verdana" w:eastAsia="Arial" w:hAnsi="Verdana" w:cs="Arial"/>
          <w:color w:val="000000" w:themeColor="text1"/>
          <w:sz w:val="22"/>
          <w:szCs w:val="22"/>
          <w:lang w:val="es-MX" w:eastAsia="en-US"/>
        </w:rPr>
        <w:t xml:space="preserve">) certificaciones o etiquetas ambientales reconocidas, o </w:t>
      </w:r>
      <w:proofErr w:type="spellStart"/>
      <w:r w:rsidRPr="00611315">
        <w:rPr>
          <w:rFonts w:ascii="Verdana" w:eastAsia="Arial" w:hAnsi="Verdana" w:cs="Arial"/>
          <w:color w:val="000000" w:themeColor="text1"/>
          <w:sz w:val="22"/>
          <w:szCs w:val="22"/>
          <w:lang w:val="es-MX" w:eastAsia="en-US"/>
        </w:rPr>
        <w:t>iv</w:t>
      </w:r>
      <w:proofErr w:type="spellEnd"/>
      <w:r w:rsidRPr="00611315">
        <w:rPr>
          <w:rFonts w:ascii="Verdana" w:eastAsia="Arial" w:hAnsi="Verdana" w:cs="Arial"/>
          <w:color w:val="000000" w:themeColor="text1"/>
          <w:sz w:val="22"/>
          <w:szCs w:val="22"/>
          <w:lang w:val="es-MX" w:eastAsia="en-US"/>
        </w:rPr>
        <w:t>) tecnologías innovadoras de bajo costo que contribuyan a la sostenibilidad del proyecto.</w:t>
      </w:r>
    </w:p>
    <w:p w14:paraId="24707AE3" w14:textId="77777777" w:rsidR="00DE0D45" w:rsidRPr="00611315" w:rsidRDefault="00DE0D45" w:rsidP="00DE0D45">
      <w:pPr>
        <w:spacing w:line="276" w:lineRule="auto"/>
        <w:contextualSpacing/>
        <w:jc w:val="both"/>
        <w:rPr>
          <w:rFonts w:ascii="Verdana" w:eastAsia="Arial" w:hAnsi="Verdana" w:cs="Arial"/>
          <w:color w:val="000000" w:themeColor="text1"/>
          <w:sz w:val="22"/>
          <w:szCs w:val="22"/>
          <w:lang w:val="es-MX" w:eastAsia="en-US"/>
        </w:rPr>
      </w:pPr>
    </w:p>
    <w:p w14:paraId="0A27243E" w14:textId="5C9DA98C"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Durante la </w:t>
      </w:r>
      <w:r w:rsidR="00263EB4" w:rsidRPr="00611315">
        <w:rPr>
          <w:rFonts w:ascii="Verdana" w:eastAsia="Arial" w:hAnsi="Verdana" w:cs="Arial"/>
          <w:color w:val="000000" w:themeColor="text1"/>
          <w:sz w:val="22"/>
          <w:szCs w:val="22"/>
          <w:lang w:val="es-MX" w:eastAsia="en-US"/>
        </w:rPr>
        <w:t>ejecución</w:t>
      </w:r>
      <w:r w:rsidRPr="00611315">
        <w:rPr>
          <w:rFonts w:ascii="Verdana" w:eastAsia="Arial" w:hAnsi="Verdana" w:cs="Arial"/>
          <w:color w:val="000000" w:themeColor="text1"/>
          <w:sz w:val="22"/>
          <w:szCs w:val="22"/>
          <w:lang w:val="es-MX" w:eastAsia="en-US"/>
        </w:rPr>
        <w:t xml:space="preserve"> del contrato, el contratista deberá hacer entrega de las fichas técnicas de los materiales y/o los certificados de las etiquetas ambientales, emitido por una entidad debidamente acreditada, donde se evidencie el cumplimiento del criterio.</w:t>
      </w:r>
    </w:p>
    <w:p w14:paraId="1AA626D5"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732C77B7" w14:textId="77777777"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 xml:space="preserve">“Presentar e implementar un programa en el que se busque incorporar acciones o estrategias para el uso sostenible del suelo, mediante por lo menos la implementación de </w:t>
      </w:r>
      <w:r w:rsidRPr="00611315">
        <w:rPr>
          <w:rFonts w:ascii="Verdana" w:eastAsia="Arial" w:hAnsi="Verdana" w:cs="Arial"/>
          <w:b/>
          <w:bCs/>
          <w:color w:val="000000" w:themeColor="text1"/>
          <w:sz w:val="22"/>
          <w:szCs w:val="22"/>
          <w:lang w:val="es-MX" w:eastAsia="en-US"/>
        </w:rPr>
        <w:t>dos (2) acciones</w:t>
      </w:r>
      <w:r w:rsidRPr="00611315">
        <w:rPr>
          <w:rFonts w:ascii="Verdana" w:eastAsia="Arial" w:hAnsi="Verdana" w:cs="Arial"/>
          <w:color w:val="000000" w:themeColor="text1"/>
          <w:sz w:val="22"/>
          <w:szCs w:val="22"/>
          <w:lang w:val="es-MX" w:eastAsia="en-US"/>
        </w:rPr>
        <w:t xml:space="preserve"> </w:t>
      </w:r>
      <w:r w:rsidRPr="00611315">
        <w:rPr>
          <w:rFonts w:ascii="Verdana" w:eastAsia="Arial" w:hAnsi="Verdana" w:cs="Arial"/>
          <w:b/>
          <w:bCs/>
          <w:color w:val="000000" w:themeColor="text1"/>
          <w:sz w:val="22"/>
          <w:szCs w:val="22"/>
          <w:lang w:val="es-MX" w:eastAsia="en-US"/>
        </w:rPr>
        <w:t>o prácticas</w:t>
      </w:r>
      <w:r w:rsidRPr="00611315">
        <w:rPr>
          <w:rFonts w:ascii="Verdana" w:eastAsia="Arial" w:hAnsi="Verdana" w:cs="Arial"/>
          <w:color w:val="000000" w:themeColor="text1"/>
          <w:sz w:val="22"/>
          <w:szCs w:val="22"/>
          <w:lang w:val="es-MX" w:eastAsia="en-US"/>
        </w:rPr>
        <w:t xml:space="preserve"> para reducir la demanda y optimizar el uso del suelo en proyectos de construcción de infraestructura de Agua Potable y Saneamiento Básico.</w:t>
      </w:r>
    </w:p>
    <w:p w14:paraId="0BF9AC7B"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045AAE0C"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color w:val="000000" w:themeColor="text1"/>
          <w:sz w:val="22"/>
          <w:szCs w:val="22"/>
          <w:lang w:val="es-MX" w:eastAsia="en-US"/>
        </w:rPr>
        <w:t>Estas acciones buscan proteger la integridad física de la infraestructura, y garantizar que el suelo continúe cumpliendo sus funciones de regulación climática y filtrado de agua, esenciales para la sostenibilidad del servicio de agua potable. Para lo anterior se proponen las siguientes acciones basadas en los principios de integralidad y sostenibilidad del recurso suelo:</w:t>
      </w:r>
    </w:p>
    <w:p w14:paraId="25D3C127"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47A5B0E3" w14:textId="77777777" w:rsidR="00DE0D45" w:rsidRPr="00611315" w:rsidRDefault="00DE0D45" w:rsidP="00DE0D45">
      <w:pPr>
        <w:numPr>
          <w:ilvl w:val="2"/>
          <w:numId w:val="115"/>
        </w:numPr>
        <w:spacing w:after="160" w:line="276" w:lineRule="auto"/>
        <w:ind w:left="88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Planificación Basada en la Vocación de Uso</w:t>
      </w:r>
      <w:r w:rsidRPr="00611315">
        <w:rPr>
          <w:rFonts w:ascii="Verdana" w:eastAsia="Arial" w:hAnsi="Verdana" w:cs="Arial"/>
          <w:color w:val="000000" w:themeColor="text1"/>
          <w:sz w:val="22"/>
          <w:szCs w:val="22"/>
          <w:lang w:val="es-MX" w:eastAsia="en-US"/>
        </w:rPr>
        <w:t>: Consultar mapas de vocación de uso del suelo para identificar áreas de alta sensibilidad ambiental o suelos con vocación de conservación que deben evitarse.</w:t>
      </w:r>
    </w:p>
    <w:p w14:paraId="3A7FC563" w14:textId="77777777" w:rsidR="00DE0D45" w:rsidRPr="00611315" w:rsidRDefault="00DE0D45" w:rsidP="00DE0D45">
      <w:pPr>
        <w:spacing w:line="276" w:lineRule="auto"/>
        <w:contextualSpacing/>
        <w:jc w:val="both"/>
        <w:rPr>
          <w:rFonts w:ascii="Verdana" w:eastAsia="Arial" w:hAnsi="Verdana" w:cs="Arial"/>
          <w:b/>
          <w:bCs/>
          <w:color w:val="000000" w:themeColor="text1"/>
          <w:sz w:val="22"/>
          <w:szCs w:val="22"/>
          <w:lang w:val="es-MX" w:eastAsia="en-US"/>
        </w:rPr>
      </w:pPr>
    </w:p>
    <w:p w14:paraId="52C44766" w14:textId="77777777" w:rsidR="00DE0D45" w:rsidRPr="00611315" w:rsidRDefault="00DE0D45" w:rsidP="00DE0D45">
      <w:pPr>
        <w:numPr>
          <w:ilvl w:val="2"/>
          <w:numId w:val="115"/>
        </w:numPr>
        <w:spacing w:after="160" w:line="276" w:lineRule="auto"/>
        <w:ind w:left="88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lastRenderedPageBreak/>
        <w:t>Implementación de Obras Biomecánicas</w:t>
      </w:r>
      <w:r w:rsidRPr="00611315">
        <w:rPr>
          <w:rFonts w:ascii="Verdana" w:eastAsia="Arial" w:hAnsi="Verdana" w:cs="Arial"/>
          <w:color w:val="000000" w:themeColor="text1"/>
          <w:sz w:val="22"/>
          <w:szCs w:val="22"/>
          <w:lang w:val="es-MX" w:eastAsia="en-US"/>
        </w:rPr>
        <w:t xml:space="preserve">: Realizar la </w:t>
      </w:r>
      <w:proofErr w:type="spellStart"/>
      <w:r w:rsidRPr="00611315">
        <w:rPr>
          <w:rFonts w:ascii="Verdana" w:eastAsia="Arial" w:hAnsi="Verdana" w:cs="Arial"/>
          <w:color w:val="000000" w:themeColor="text1"/>
          <w:sz w:val="22"/>
          <w:szCs w:val="22"/>
          <w:lang w:val="es-MX" w:eastAsia="en-US"/>
        </w:rPr>
        <w:t>revegetalización</w:t>
      </w:r>
      <w:proofErr w:type="spellEnd"/>
      <w:r w:rsidRPr="00611315">
        <w:rPr>
          <w:rFonts w:ascii="Verdana" w:eastAsia="Arial" w:hAnsi="Verdana" w:cs="Arial"/>
          <w:color w:val="000000" w:themeColor="text1"/>
          <w:sz w:val="22"/>
          <w:szCs w:val="22"/>
          <w:lang w:val="es-MX" w:eastAsia="en-US"/>
        </w:rPr>
        <w:t xml:space="preserve"> de taludes inmediatamente después de la intervención para amarrar el suelo y reactivar los ciclos de materia orgánica. Construir trinchos, terrazas o gaviones para estabilizar terrenos en pendiente donde se instale infraestructura, evitando deslizamientos y la pérdida de suelo por erosión hídrica.</w:t>
      </w:r>
    </w:p>
    <w:p w14:paraId="4EF3E520" w14:textId="77777777" w:rsidR="00DE0D45" w:rsidRPr="00611315" w:rsidRDefault="00DE0D45" w:rsidP="00DE0D45">
      <w:pPr>
        <w:spacing w:line="276" w:lineRule="auto"/>
        <w:jc w:val="both"/>
        <w:rPr>
          <w:rFonts w:ascii="Verdana" w:eastAsia="Arial" w:hAnsi="Verdana" w:cs="Arial"/>
          <w:color w:val="000000" w:themeColor="text1"/>
          <w:sz w:val="22"/>
          <w:szCs w:val="22"/>
          <w:lang w:val="es-MX" w:eastAsia="en-US"/>
        </w:rPr>
      </w:pPr>
    </w:p>
    <w:p w14:paraId="7DA9EAFE" w14:textId="77777777" w:rsidR="00DE0D45" w:rsidRPr="00611315" w:rsidRDefault="00DE0D45" w:rsidP="00DE0D45">
      <w:pPr>
        <w:numPr>
          <w:ilvl w:val="2"/>
          <w:numId w:val="115"/>
        </w:numPr>
        <w:spacing w:after="160" w:line="276" w:lineRule="auto"/>
        <w:ind w:left="88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Gestión Integral de los Flujos de Agua</w:t>
      </w:r>
      <w:r w:rsidRPr="00611315">
        <w:rPr>
          <w:rFonts w:ascii="Verdana" w:eastAsia="Arial" w:hAnsi="Verdana" w:cs="Arial"/>
          <w:color w:val="000000" w:themeColor="text1"/>
          <w:sz w:val="22"/>
          <w:szCs w:val="22"/>
          <w:lang w:val="es-MX" w:eastAsia="en-US"/>
        </w:rPr>
        <w:t>: Incorporar zanjas de infiltración o banquetas en el entorno de las obras para capturar la escorrentía superficial y facilitar la purificación del agua a través del perfil del suelo. Trazar senderos y zonas de circulación específicas en las áreas de las plantas de tratamiento para evitar la compactación del suelo circundante por el tránsito de operarios o vehículos.</w:t>
      </w:r>
    </w:p>
    <w:p w14:paraId="7AA90177" w14:textId="77777777" w:rsidR="00DE0D45" w:rsidRPr="00611315" w:rsidRDefault="00DE0D45" w:rsidP="00DE0D45">
      <w:pPr>
        <w:spacing w:line="276" w:lineRule="auto"/>
        <w:jc w:val="both"/>
        <w:rPr>
          <w:rFonts w:ascii="Verdana" w:eastAsia="Arial" w:hAnsi="Verdana" w:cs="Arial"/>
          <w:color w:val="000000" w:themeColor="text1"/>
          <w:sz w:val="22"/>
          <w:szCs w:val="22"/>
          <w:lang w:val="es-MX" w:eastAsia="en-US"/>
        </w:rPr>
      </w:pPr>
    </w:p>
    <w:p w14:paraId="40AA2159" w14:textId="77777777" w:rsidR="00DE0D45" w:rsidRPr="00611315" w:rsidRDefault="00DE0D45" w:rsidP="00DE0D45">
      <w:pPr>
        <w:numPr>
          <w:ilvl w:val="2"/>
          <w:numId w:val="115"/>
        </w:numPr>
        <w:spacing w:after="160" w:line="276" w:lineRule="auto"/>
        <w:ind w:left="88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Manejo de Residuos Orgánicos y Recuperación de Capas Superficiales</w:t>
      </w:r>
      <w:r w:rsidRPr="00611315">
        <w:rPr>
          <w:rFonts w:ascii="Verdana" w:eastAsia="Arial" w:hAnsi="Verdana" w:cs="Arial"/>
          <w:color w:val="000000" w:themeColor="text1"/>
          <w:sz w:val="22"/>
          <w:szCs w:val="22"/>
          <w:lang w:val="es-MX" w:eastAsia="en-US"/>
        </w:rPr>
        <w:t>: Durante la excavación, separar y conservar los horizontes superficiales ricos en materia orgánica para su posterior reutilización en la restauración del área intervenida.</w:t>
      </w:r>
    </w:p>
    <w:p w14:paraId="59CE3B8E" w14:textId="77777777" w:rsidR="00DE0D45" w:rsidRPr="00611315" w:rsidRDefault="00DE0D45" w:rsidP="00DE0D45">
      <w:pPr>
        <w:spacing w:after="160" w:line="259" w:lineRule="auto"/>
        <w:contextualSpacing/>
        <w:jc w:val="both"/>
        <w:rPr>
          <w:rFonts w:ascii="Verdana" w:eastAsia="Arial" w:hAnsi="Verdana" w:cs="Arial"/>
          <w:color w:val="000000" w:themeColor="text1"/>
          <w:sz w:val="22"/>
          <w:szCs w:val="22"/>
          <w:lang w:val="es-MX" w:eastAsia="en-US"/>
        </w:rPr>
      </w:pPr>
    </w:p>
    <w:p w14:paraId="57CFA9D3" w14:textId="77777777" w:rsidR="00DE0D45" w:rsidRPr="00611315" w:rsidRDefault="00DE0D45" w:rsidP="00DE0D45">
      <w:pPr>
        <w:numPr>
          <w:ilvl w:val="2"/>
          <w:numId w:val="115"/>
        </w:numPr>
        <w:spacing w:after="160" w:line="276" w:lineRule="auto"/>
        <w:ind w:left="88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Conservación de la Humedad y Cobertura Vegetal</w:t>
      </w:r>
      <w:r w:rsidRPr="00611315">
        <w:rPr>
          <w:rFonts w:ascii="Verdana" w:eastAsia="Arial" w:hAnsi="Verdana" w:cs="Arial"/>
          <w:color w:val="000000" w:themeColor="text1"/>
          <w:sz w:val="22"/>
          <w:szCs w:val="22"/>
          <w:lang w:val="es-MX" w:eastAsia="en-US"/>
        </w:rPr>
        <w:t>: Utilizar acolchado (</w:t>
      </w:r>
      <w:proofErr w:type="spellStart"/>
      <w:r w:rsidRPr="00611315">
        <w:rPr>
          <w:rFonts w:ascii="Verdana" w:eastAsia="Arial" w:hAnsi="Verdana" w:cs="Arial"/>
          <w:color w:val="000000" w:themeColor="text1"/>
          <w:sz w:val="22"/>
          <w:szCs w:val="22"/>
          <w:lang w:val="es-MX" w:eastAsia="en-US"/>
        </w:rPr>
        <w:t>mulching</w:t>
      </w:r>
      <w:proofErr w:type="spellEnd"/>
      <w:r w:rsidRPr="00611315">
        <w:rPr>
          <w:rFonts w:ascii="Verdana" w:eastAsia="Arial" w:hAnsi="Verdana" w:cs="Arial"/>
          <w:color w:val="000000" w:themeColor="text1"/>
          <w:sz w:val="22"/>
          <w:szCs w:val="22"/>
          <w:lang w:val="es-MX" w:eastAsia="en-US"/>
        </w:rPr>
        <w:t>) o coberturas permanentes de material seco en las áreas descubiertas durante la obra para reducir la pérdida de agua por evapotranspiración y prevenir el encostramiento superficial.</w:t>
      </w:r>
    </w:p>
    <w:p w14:paraId="54B2EB6D" w14:textId="77777777" w:rsidR="00DE0D45" w:rsidRPr="00611315" w:rsidRDefault="00DE0D45" w:rsidP="00DE0D45">
      <w:pPr>
        <w:spacing w:after="160" w:line="259" w:lineRule="auto"/>
        <w:ind w:left="720"/>
        <w:contextualSpacing/>
        <w:jc w:val="both"/>
        <w:rPr>
          <w:rFonts w:ascii="Verdana" w:eastAsia="Arial" w:hAnsi="Verdana" w:cs="Arial"/>
          <w:color w:val="000000" w:themeColor="text1"/>
          <w:sz w:val="22"/>
          <w:szCs w:val="22"/>
          <w:lang w:val="es-MX" w:eastAsia="en-US"/>
        </w:rPr>
      </w:pPr>
    </w:p>
    <w:p w14:paraId="6EFEA463" w14:textId="5DFBBEED" w:rsidR="00DE0D45" w:rsidRPr="00611315" w:rsidRDefault="00DE0D45" w:rsidP="00DE0D45">
      <w:pPr>
        <w:spacing w:line="276" w:lineRule="auto"/>
        <w:ind w:left="1068"/>
        <w:contextualSpacing/>
        <w:jc w:val="both"/>
        <w:rPr>
          <w:rFonts w:ascii="Verdana" w:eastAsia="Arial" w:hAnsi="Verdana" w:cs="Arial"/>
          <w:color w:val="000000" w:themeColor="text1"/>
          <w:sz w:val="22"/>
          <w:szCs w:val="22"/>
          <w:lang w:val="es-MX" w:eastAsia="en-US"/>
        </w:rPr>
      </w:pPr>
      <w:r w:rsidRPr="00611315">
        <w:rPr>
          <w:rFonts w:ascii="Verdana" w:eastAsia="Arial" w:hAnsi="Verdana" w:cs="Arial"/>
          <w:b/>
          <w:bCs/>
          <w:color w:val="000000" w:themeColor="text1"/>
          <w:sz w:val="22"/>
          <w:szCs w:val="22"/>
          <w:lang w:val="es-MX" w:eastAsia="en-US"/>
        </w:rPr>
        <w:t>Nota:</w:t>
      </w:r>
      <w:r w:rsidRPr="00611315">
        <w:rPr>
          <w:rFonts w:ascii="Verdana" w:eastAsia="Arial" w:hAnsi="Verdana" w:cs="Arial"/>
          <w:color w:val="000000" w:themeColor="text1"/>
          <w:sz w:val="22"/>
          <w:szCs w:val="22"/>
          <w:lang w:val="es-MX" w:eastAsia="en-US"/>
        </w:rPr>
        <w:t xml:space="preserve"> La entidad definirá dentro de las anteriores acciones, las que se acomoden a la naturaleza del proyecto de Agua Potable y Saneamiento Básico que se ejecuté y eliminará las que no se requieran, de manera que el contratista durante la ejecución </w:t>
      </w:r>
      <w:proofErr w:type="gramStart"/>
      <w:r w:rsidRPr="00611315">
        <w:rPr>
          <w:rFonts w:ascii="Verdana" w:eastAsia="Arial" w:hAnsi="Verdana" w:cs="Arial"/>
          <w:color w:val="000000" w:themeColor="text1"/>
          <w:sz w:val="22"/>
          <w:szCs w:val="22"/>
          <w:lang w:val="es-MX" w:eastAsia="en-US"/>
        </w:rPr>
        <w:t>del mismo</w:t>
      </w:r>
      <w:proofErr w:type="gramEnd"/>
      <w:r w:rsidRPr="00611315">
        <w:rPr>
          <w:rFonts w:ascii="Verdana" w:eastAsia="Arial" w:hAnsi="Verdana" w:cs="Arial"/>
          <w:color w:val="000000" w:themeColor="text1"/>
          <w:sz w:val="22"/>
          <w:szCs w:val="22"/>
          <w:lang w:val="es-MX" w:eastAsia="en-US"/>
        </w:rPr>
        <w:t xml:space="preserve"> garantice el cumplimiento como mínimo dos de ellas y durante la ejecuci</w:t>
      </w:r>
      <w:r w:rsidR="0097120F">
        <w:rPr>
          <w:rFonts w:ascii="Verdana" w:eastAsia="Arial" w:hAnsi="Verdana" w:cs="Arial"/>
          <w:color w:val="000000" w:themeColor="text1"/>
          <w:sz w:val="22"/>
          <w:szCs w:val="22"/>
          <w:lang w:val="es-MX" w:eastAsia="en-US"/>
        </w:rPr>
        <w:t>ó</w:t>
      </w:r>
      <w:r w:rsidRPr="00611315">
        <w:rPr>
          <w:rFonts w:ascii="Verdana" w:eastAsia="Arial" w:hAnsi="Verdana" w:cs="Arial"/>
          <w:color w:val="000000" w:themeColor="text1"/>
          <w:sz w:val="22"/>
          <w:szCs w:val="22"/>
          <w:lang w:val="es-MX" w:eastAsia="en-US"/>
        </w:rPr>
        <w:t xml:space="preserve">n del proyecto, la </w:t>
      </w:r>
      <w:r w:rsidR="0097120F" w:rsidRPr="00611315">
        <w:rPr>
          <w:rFonts w:ascii="Verdana" w:eastAsia="Arial" w:hAnsi="Verdana" w:cs="Arial"/>
          <w:color w:val="000000" w:themeColor="text1"/>
          <w:sz w:val="22"/>
          <w:szCs w:val="22"/>
          <w:lang w:val="es-MX" w:eastAsia="en-US"/>
        </w:rPr>
        <w:t>interventoría</w:t>
      </w:r>
      <w:r w:rsidRPr="00611315">
        <w:rPr>
          <w:rFonts w:ascii="Verdana" w:eastAsia="Arial" w:hAnsi="Verdana" w:cs="Arial"/>
          <w:color w:val="000000" w:themeColor="text1"/>
          <w:sz w:val="22"/>
          <w:szCs w:val="22"/>
          <w:lang w:val="es-MX" w:eastAsia="en-US"/>
        </w:rPr>
        <w:t xml:space="preserve"> tendrá que hacer el seguimiento que garantice que el contratista efectúe el cumplimiento de este criterio.</w:t>
      </w:r>
    </w:p>
    <w:p w14:paraId="39F56A78" w14:textId="77777777" w:rsidR="00DE0D45" w:rsidRPr="00611315" w:rsidRDefault="00DE0D45" w:rsidP="00DE0D45">
      <w:pPr>
        <w:spacing w:line="276" w:lineRule="auto"/>
        <w:ind w:left="360"/>
        <w:contextualSpacing/>
        <w:jc w:val="both"/>
        <w:rPr>
          <w:rFonts w:ascii="Verdana" w:eastAsia="Arial" w:hAnsi="Verdana" w:cs="Arial"/>
          <w:color w:val="000000" w:themeColor="text1"/>
          <w:sz w:val="22"/>
          <w:szCs w:val="22"/>
          <w:lang w:val="es-MX" w:eastAsia="en-US"/>
        </w:rPr>
      </w:pPr>
    </w:p>
    <w:p w14:paraId="170244DA" w14:textId="143380B2" w:rsidR="00DE0D45" w:rsidRPr="00611315" w:rsidRDefault="00DE0D45" w:rsidP="00DE0D45">
      <w:pPr>
        <w:numPr>
          <w:ilvl w:val="0"/>
          <w:numId w:val="110"/>
        </w:numPr>
        <w:spacing w:after="160" w:line="276" w:lineRule="auto"/>
        <w:contextualSpacing/>
        <w:jc w:val="both"/>
        <w:rPr>
          <w:rFonts w:ascii="Verdana" w:eastAsia="Arial" w:hAnsi="Verdana" w:cs="Arial"/>
          <w:color w:val="000000" w:themeColor="text1"/>
          <w:sz w:val="20"/>
          <w:szCs w:val="22"/>
          <w:lang w:eastAsia="en-US"/>
        </w:rPr>
      </w:pPr>
      <w:r w:rsidRPr="00611315">
        <w:rPr>
          <w:rFonts w:ascii="Verdana" w:eastAsia="Arial" w:hAnsi="Verdana" w:cs="Arial"/>
          <w:color w:val="000000" w:themeColor="text1"/>
          <w:sz w:val="20"/>
          <w:szCs w:val="22"/>
          <w:lang w:eastAsia="en-US"/>
        </w:rPr>
        <w:t xml:space="preserve">Desarrollar y presentar una herramienta digital de cualquier tipo, puede ser incluso en </w:t>
      </w:r>
      <w:r w:rsidR="0097120F" w:rsidRPr="00611315">
        <w:rPr>
          <w:rFonts w:ascii="Verdana" w:eastAsia="Arial" w:hAnsi="Verdana" w:cs="Arial"/>
          <w:color w:val="000000" w:themeColor="text1"/>
          <w:sz w:val="20"/>
          <w:szCs w:val="22"/>
          <w:lang w:eastAsia="en-US"/>
        </w:rPr>
        <w:t>Excel</w:t>
      </w:r>
      <w:r w:rsidRPr="00611315">
        <w:rPr>
          <w:rFonts w:ascii="Verdana" w:eastAsia="Arial" w:hAnsi="Verdana" w:cs="Arial"/>
          <w:color w:val="000000" w:themeColor="text1"/>
          <w:sz w:val="20"/>
          <w:szCs w:val="22"/>
          <w:lang w:eastAsia="en-US"/>
        </w:rPr>
        <w:t xml:space="preserve"> que sea libre y de fácil acceso o de código abierto (Open </w:t>
      </w:r>
      <w:proofErr w:type="spellStart"/>
      <w:r w:rsidRPr="00611315">
        <w:rPr>
          <w:rFonts w:ascii="Verdana" w:eastAsia="Arial" w:hAnsi="Verdana" w:cs="Arial"/>
          <w:color w:val="000000" w:themeColor="text1"/>
          <w:sz w:val="20"/>
          <w:szCs w:val="22"/>
          <w:lang w:eastAsia="en-US"/>
        </w:rPr>
        <w:t>Source</w:t>
      </w:r>
      <w:proofErr w:type="spellEnd"/>
      <w:r w:rsidRPr="00611315">
        <w:rPr>
          <w:rFonts w:ascii="Verdana" w:eastAsia="Arial" w:hAnsi="Verdana" w:cs="Arial"/>
          <w:color w:val="000000" w:themeColor="text1"/>
          <w:sz w:val="20"/>
          <w:szCs w:val="22"/>
          <w:lang w:eastAsia="en-US"/>
        </w:rPr>
        <w:t>), para entrega al prestador de servicios públicos domiciliarios, para la presentación de reportes públicos históricos de monitoreo periódico en al menos una de las siguientes temáticas:</w:t>
      </w:r>
    </w:p>
    <w:p w14:paraId="4D182F12"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sz w:val="22"/>
          <w:szCs w:val="22"/>
          <w:lang w:val="es-MX" w:eastAsia="en-US"/>
        </w:rPr>
      </w:pPr>
    </w:p>
    <w:p w14:paraId="33D29125" w14:textId="77777777" w:rsidR="00DE0D45" w:rsidRPr="00611315" w:rsidRDefault="00DE0D45" w:rsidP="00DE0D45">
      <w:pPr>
        <w:numPr>
          <w:ilvl w:val="1"/>
          <w:numId w:val="111"/>
        </w:numPr>
        <w:spacing w:after="160" w:line="278" w:lineRule="auto"/>
        <w:ind w:left="108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Consumo de agua, que permita evidenciar tendencias de reducción progresiva implementadas para optimizar el uso del recurso hídrico.</w:t>
      </w:r>
    </w:p>
    <w:p w14:paraId="3016F67C" w14:textId="77777777" w:rsidR="00DE0D45" w:rsidRPr="00611315" w:rsidRDefault="00DE0D45" w:rsidP="00DE0D45">
      <w:pPr>
        <w:numPr>
          <w:ilvl w:val="1"/>
          <w:numId w:val="111"/>
        </w:numPr>
        <w:spacing w:after="160" w:line="278" w:lineRule="auto"/>
        <w:ind w:left="108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Patrones de consumo por sector o usuario, actividad, para optimizar la gestión de la demanda y la toma de decisiones para mejorar la eficiencia del sistema.</w:t>
      </w:r>
    </w:p>
    <w:p w14:paraId="7BFAB5CE" w14:textId="77777777" w:rsidR="00DE0D45" w:rsidRPr="00611315" w:rsidRDefault="00DE0D45" w:rsidP="00DE0D45">
      <w:pPr>
        <w:numPr>
          <w:ilvl w:val="1"/>
          <w:numId w:val="111"/>
        </w:numPr>
        <w:spacing w:after="160" w:line="278" w:lineRule="auto"/>
        <w:ind w:left="1080"/>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Vertimiento a cuerpos de agua, que permitan el seguimiento y control de estos.</w:t>
      </w:r>
    </w:p>
    <w:p w14:paraId="5E950119" w14:textId="77777777" w:rsidR="00704298" w:rsidRPr="00611315" w:rsidRDefault="00704298" w:rsidP="00954F93">
      <w:pPr>
        <w:spacing w:after="160" w:line="278" w:lineRule="auto"/>
        <w:ind w:left="1080"/>
        <w:contextualSpacing/>
        <w:jc w:val="both"/>
        <w:rPr>
          <w:rFonts w:ascii="Verdana" w:eastAsiaTheme="minorHAnsi" w:hAnsi="Verdana" w:cstheme="minorBidi"/>
          <w:color w:val="000000"/>
          <w:sz w:val="22"/>
          <w:szCs w:val="22"/>
          <w:lang w:val="es-MX" w:eastAsia="en-US"/>
        </w:rPr>
      </w:pPr>
    </w:p>
    <w:p w14:paraId="5C1D99F8" w14:textId="77777777" w:rsidR="00DE0D45" w:rsidRPr="00611315" w:rsidRDefault="00DE0D45" w:rsidP="00DE0D45">
      <w:pPr>
        <w:spacing w:after="160" w:line="259" w:lineRule="auto"/>
        <w:ind w:left="360"/>
        <w:contextualSpacing/>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76A89BC7" w14:textId="77777777" w:rsidR="00DE0D45" w:rsidRPr="00611315" w:rsidRDefault="00DE0D45" w:rsidP="00DE0D45">
      <w:pPr>
        <w:spacing w:after="160" w:line="259" w:lineRule="auto"/>
        <w:ind w:left="360"/>
        <w:contextualSpacing/>
        <w:jc w:val="both"/>
        <w:rPr>
          <w:rFonts w:ascii="Verdana" w:eastAsia="Aptos" w:hAnsi="Verdana"/>
          <w:color w:val="000000" w:themeColor="text1"/>
          <w:sz w:val="22"/>
          <w:szCs w:val="22"/>
          <w:lang w:val="es-MX" w:eastAsia="en-US"/>
        </w:rPr>
      </w:pPr>
    </w:p>
    <w:p w14:paraId="3D6D1595" w14:textId="33223028" w:rsidR="00DE0D45" w:rsidRPr="00611315" w:rsidRDefault="00DE0D45" w:rsidP="00DE0D45">
      <w:pPr>
        <w:spacing w:after="160" w:line="259" w:lineRule="auto"/>
        <w:ind w:left="348"/>
        <w:jc w:val="both"/>
        <w:rPr>
          <w:rFonts w:ascii="Verdana" w:eastAsia="Aptos" w:hAnsi="Verdana"/>
          <w:color w:val="000000" w:themeColor="text1"/>
          <w:sz w:val="22"/>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97120F"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proyecto, el contratista presentará el acta de entrega al prestador de servicios públicos domiciliarios y puesta en funcionamiento de la herramienta digital, acompañada de la evidencia que acredite su carácter de código abierto (open </w:t>
      </w:r>
      <w:proofErr w:type="spellStart"/>
      <w:r w:rsidRPr="00611315">
        <w:rPr>
          <w:rFonts w:ascii="Verdana" w:eastAsiaTheme="minorHAnsi" w:hAnsi="Verdana" w:cstheme="minorBidi"/>
          <w:color w:val="000000"/>
          <w:sz w:val="22"/>
          <w:szCs w:val="22"/>
          <w:lang w:val="es-MX" w:eastAsia="en-US"/>
        </w:rPr>
        <w:t>source</w:t>
      </w:r>
      <w:proofErr w:type="spellEnd"/>
      <w:r w:rsidRPr="00611315">
        <w:rPr>
          <w:rFonts w:ascii="Verdana" w:eastAsiaTheme="minorHAnsi" w:hAnsi="Verdana" w:cstheme="minorBidi"/>
          <w:color w:val="000000"/>
          <w:sz w:val="22"/>
          <w:szCs w:val="22"/>
          <w:lang w:val="es-MX" w:eastAsia="en-US"/>
        </w:rPr>
        <w:t>).</w:t>
      </w:r>
    </w:p>
    <w:p w14:paraId="1CE1CB60" w14:textId="77777777" w:rsidR="00DE0D45" w:rsidRPr="00611315" w:rsidRDefault="00DE0D45" w:rsidP="00DE0D45">
      <w:pPr>
        <w:numPr>
          <w:ilvl w:val="0"/>
          <w:numId w:val="110"/>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Desarrollar una herramienta digital de cualquier tipo, para presentar al prestador de servicios públicos domiciliarios un mecanismo para el cálculo, reporte y seguimiento de huella hídrica de la actividad, teniendo en cuenta las metodologías actualmente disponibles por parte del Ministerio de Medio Ambiente, relacionadas con el impacto de los vertimientos y fuentes abastecedoras.</w:t>
      </w:r>
    </w:p>
    <w:p w14:paraId="1D43D7FA" w14:textId="77777777" w:rsidR="00DE0D45" w:rsidRPr="00611315" w:rsidRDefault="00DE0D45" w:rsidP="00DE0D45">
      <w:pPr>
        <w:spacing w:after="160" w:line="278" w:lineRule="auto"/>
        <w:jc w:val="both"/>
        <w:rPr>
          <w:rFonts w:ascii="Verdana" w:eastAsiaTheme="minorHAnsi" w:hAnsi="Verdana" w:cstheme="minorBidi"/>
          <w:color w:val="000000"/>
          <w:sz w:val="22"/>
          <w:szCs w:val="22"/>
          <w:lang w:val="es-MX" w:eastAsia="en-US"/>
        </w:rPr>
      </w:pPr>
    </w:p>
    <w:p w14:paraId="4EC14AD7" w14:textId="77777777" w:rsidR="00DE0D45" w:rsidRPr="00611315" w:rsidRDefault="00DE0D45" w:rsidP="00DE0D45">
      <w:pPr>
        <w:spacing w:after="160" w:line="259" w:lineRule="auto"/>
        <w:ind w:left="360"/>
        <w:contextualSpacing/>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6860FCB5" w14:textId="77777777" w:rsidR="00DE0D45" w:rsidRPr="00611315" w:rsidRDefault="00DE0D45" w:rsidP="00DE0D45">
      <w:pPr>
        <w:spacing w:after="160" w:line="259" w:lineRule="auto"/>
        <w:ind w:left="360"/>
        <w:contextualSpacing/>
        <w:jc w:val="both"/>
        <w:rPr>
          <w:rFonts w:ascii="Verdana" w:eastAsia="Aptos" w:hAnsi="Verdana"/>
          <w:color w:val="000000" w:themeColor="text1"/>
          <w:sz w:val="22"/>
          <w:szCs w:val="22"/>
          <w:lang w:val="es-MX" w:eastAsia="en-US"/>
        </w:rPr>
      </w:pPr>
    </w:p>
    <w:p w14:paraId="6BCBAD74" w14:textId="25493AB7" w:rsidR="00DE0D45" w:rsidRPr="00611315" w:rsidRDefault="00DE0D45" w:rsidP="00DE0D45">
      <w:pPr>
        <w:spacing w:after="160" w:line="259" w:lineRule="auto"/>
        <w:ind w:left="360"/>
        <w:contextualSpacing/>
        <w:jc w:val="both"/>
        <w:rPr>
          <w:rFonts w:ascii="Verdana" w:eastAsiaTheme="minorHAnsi" w:hAnsi="Verdana" w:cstheme="minorBidi"/>
          <w:color w:val="000000" w:themeColor="text1"/>
          <w:sz w:val="20"/>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97120F"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contrato, el contratista deberá presentar el acta de entrega al prestador de servicios públicos domiciliarios y puesta en funcionamiento de la herramienta </w:t>
      </w:r>
      <w:r w:rsidR="0097120F" w:rsidRPr="00611315">
        <w:rPr>
          <w:rFonts w:ascii="Verdana" w:eastAsiaTheme="minorHAnsi" w:hAnsi="Verdana" w:cstheme="minorBidi"/>
          <w:color w:val="000000"/>
          <w:sz w:val="22"/>
          <w:szCs w:val="22"/>
          <w:lang w:val="es-MX" w:eastAsia="en-US"/>
        </w:rPr>
        <w:t>digital</w:t>
      </w:r>
      <w:r w:rsidRPr="00611315">
        <w:rPr>
          <w:rFonts w:ascii="Verdana" w:eastAsiaTheme="minorHAnsi" w:hAnsi="Verdana" w:cstheme="minorBidi"/>
          <w:color w:val="000000"/>
          <w:sz w:val="22"/>
          <w:szCs w:val="22"/>
          <w:lang w:val="es-MX" w:eastAsia="en-US"/>
        </w:rPr>
        <w:t xml:space="preserve"> relacionada con el mecanismo para el cálculo, reporte y seguimiento de huella hídrica.</w:t>
      </w:r>
    </w:p>
    <w:p w14:paraId="7FCA2516"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themeColor="text1"/>
          <w:sz w:val="22"/>
          <w:szCs w:val="22"/>
          <w:lang w:val="es-MX" w:eastAsia="en-US"/>
        </w:rPr>
      </w:pPr>
    </w:p>
    <w:p w14:paraId="08FDB70E" w14:textId="09E8D318" w:rsidR="00DE0D45" w:rsidRPr="00611315" w:rsidRDefault="00DE0D45" w:rsidP="00DE0D45">
      <w:pPr>
        <w:numPr>
          <w:ilvl w:val="0"/>
          <w:numId w:val="110"/>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Presentar e implementar un programa relacionado con un sistema de </w:t>
      </w:r>
      <w:r w:rsidR="0097120F" w:rsidRPr="00611315">
        <w:rPr>
          <w:rFonts w:ascii="Verdana" w:eastAsiaTheme="minorHAnsi" w:hAnsi="Verdana" w:cstheme="minorBidi"/>
          <w:color w:val="000000"/>
          <w:sz w:val="22"/>
          <w:szCs w:val="22"/>
          <w:lang w:val="es-MX" w:eastAsia="en-US"/>
        </w:rPr>
        <w:t>monitoreo</w:t>
      </w:r>
      <w:r w:rsidRPr="00611315">
        <w:rPr>
          <w:rFonts w:ascii="Verdana" w:eastAsiaTheme="minorHAnsi" w:hAnsi="Verdana" w:cstheme="minorBidi"/>
          <w:color w:val="000000"/>
          <w:sz w:val="22"/>
          <w:szCs w:val="22"/>
          <w:lang w:val="es-MX" w:eastAsia="en-US"/>
        </w:rPr>
        <w:t xml:space="preserve"> a través de sensores inteligentes tipo “Internet </w:t>
      </w:r>
      <w:proofErr w:type="spellStart"/>
      <w:r w:rsidRPr="00611315">
        <w:rPr>
          <w:rFonts w:ascii="Verdana" w:eastAsiaTheme="minorHAnsi" w:hAnsi="Verdana" w:cstheme="minorBidi"/>
          <w:color w:val="000000"/>
          <w:sz w:val="22"/>
          <w:szCs w:val="22"/>
          <w:lang w:val="es-MX" w:eastAsia="en-US"/>
        </w:rPr>
        <w:t>of</w:t>
      </w:r>
      <w:proofErr w:type="spellEnd"/>
      <w:r w:rsidRPr="00611315">
        <w:rPr>
          <w:rFonts w:ascii="Verdana" w:eastAsiaTheme="minorHAnsi" w:hAnsi="Verdana" w:cstheme="minorBidi"/>
          <w:color w:val="000000"/>
          <w:sz w:val="22"/>
          <w:szCs w:val="22"/>
          <w:lang w:val="es-MX" w:eastAsia="en-US"/>
        </w:rPr>
        <w:t xml:space="preserve"> </w:t>
      </w:r>
      <w:proofErr w:type="spellStart"/>
      <w:r w:rsidRPr="00611315">
        <w:rPr>
          <w:rFonts w:ascii="Verdana" w:eastAsiaTheme="minorHAnsi" w:hAnsi="Verdana" w:cstheme="minorBidi"/>
          <w:color w:val="000000"/>
          <w:sz w:val="22"/>
          <w:szCs w:val="22"/>
          <w:lang w:val="es-MX" w:eastAsia="en-US"/>
        </w:rPr>
        <w:t>things</w:t>
      </w:r>
      <w:proofErr w:type="spellEnd"/>
      <w:r w:rsidRPr="00611315">
        <w:rPr>
          <w:rFonts w:ascii="Verdana" w:eastAsiaTheme="minorHAnsi" w:hAnsi="Verdana" w:cstheme="minorBidi"/>
          <w:color w:val="000000"/>
          <w:sz w:val="22"/>
          <w:szCs w:val="22"/>
          <w:lang w:val="es-MX" w:eastAsia="en-US"/>
        </w:rPr>
        <w:t xml:space="preserve"> – </w:t>
      </w:r>
      <w:proofErr w:type="spellStart"/>
      <w:r w:rsidRPr="00611315">
        <w:rPr>
          <w:rFonts w:ascii="Verdana" w:eastAsiaTheme="minorHAnsi" w:hAnsi="Verdana" w:cstheme="minorBidi"/>
          <w:color w:val="000000"/>
          <w:sz w:val="22"/>
          <w:szCs w:val="22"/>
          <w:lang w:val="es-MX" w:eastAsia="en-US"/>
        </w:rPr>
        <w:t>IoT</w:t>
      </w:r>
      <w:proofErr w:type="spellEnd"/>
      <w:r w:rsidRPr="00611315">
        <w:rPr>
          <w:rFonts w:ascii="Verdana" w:eastAsiaTheme="minorHAnsi" w:hAnsi="Verdana" w:cstheme="minorBidi"/>
          <w:color w:val="000000"/>
          <w:sz w:val="22"/>
          <w:szCs w:val="22"/>
          <w:lang w:val="es-MX" w:eastAsia="en-US"/>
        </w:rPr>
        <w:t xml:space="preserve">” (Internet de las cosas), </w:t>
      </w:r>
      <w:r w:rsidRPr="00611315">
        <w:rPr>
          <w:rFonts w:ascii="Verdana" w:eastAsiaTheme="minorHAnsi" w:hAnsi="Verdana" w:cstheme="minorBidi"/>
          <w:color w:val="000000"/>
          <w:sz w:val="22"/>
          <w:szCs w:val="22"/>
          <w:lang w:val="es-MX" w:eastAsia="en-US"/>
        </w:rPr>
        <w:lastRenderedPageBreak/>
        <w:t xml:space="preserve">que permitan la medición y conexión a internet en al menos una de las siguientes temáticas: </w:t>
      </w:r>
    </w:p>
    <w:p w14:paraId="08644385" w14:textId="77777777" w:rsidR="00DE0D45" w:rsidRPr="00611315" w:rsidRDefault="00DE0D45" w:rsidP="00DE0D45">
      <w:pPr>
        <w:spacing w:after="160" w:line="278" w:lineRule="auto"/>
        <w:ind w:left="360"/>
        <w:contextualSpacing/>
        <w:jc w:val="both"/>
        <w:rPr>
          <w:rFonts w:ascii="Verdana" w:eastAsiaTheme="minorHAnsi" w:hAnsi="Verdana" w:cstheme="minorBidi"/>
          <w:color w:val="000000"/>
          <w:sz w:val="22"/>
          <w:szCs w:val="22"/>
          <w:lang w:val="es-MX" w:eastAsia="en-US"/>
        </w:rPr>
      </w:pPr>
    </w:p>
    <w:p w14:paraId="097EF7F9" w14:textId="77777777" w:rsidR="00DE0D45" w:rsidRPr="00611315" w:rsidRDefault="00DE0D45" w:rsidP="00DE0D45">
      <w:pPr>
        <w:numPr>
          <w:ilvl w:val="0"/>
          <w:numId w:val="112"/>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Monitoreo de caudales, </w:t>
      </w:r>
    </w:p>
    <w:p w14:paraId="66FBB6D7" w14:textId="77777777" w:rsidR="00DE0D45" w:rsidRPr="00611315" w:rsidRDefault="00DE0D45" w:rsidP="00DE0D45">
      <w:pPr>
        <w:numPr>
          <w:ilvl w:val="0"/>
          <w:numId w:val="112"/>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Calidad del agua, </w:t>
      </w:r>
    </w:p>
    <w:p w14:paraId="61A23676" w14:textId="77777777" w:rsidR="00DE0D45" w:rsidRPr="00611315" w:rsidRDefault="00DE0D45" w:rsidP="00DE0D45">
      <w:pPr>
        <w:numPr>
          <w:ilvl w:val="0"/>
          <w:numId w:val="112"/>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Pérdidas, </w:t>
      </w:r>
    </w:p>
    <w:p w14:paraId="27103D56" w14:textId="77777777" w:rsidR="00DE0D45" w:rsidRPr="00611315" w:rsidRDefault="00DE0D45" w:rsidP="00DE0D45">
      <w:pPr>
        <w:numPr>
          <w:ilvl w:val="0"/>
          <w:numId w:val="112"/>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 xml:space="preserve">Consumos, </w:t>
      </w:r>
    </w:p>
    <w:p w14:paraId="350DD85F" w14:textId="77777777" w:rsidR="00DE0D45" w:rsidRPr="00611315" w:rsidRDefault="00DE0D45" w:rsidP="00DE0D45">
      <w:pPr>
        <w:numPr>
          <w:ilvl w:val="0"/>
          <w:numId w:val="112"/>
        </w:numPr>
        <w:spacing w:after="160" w:line="278" w:lineRule="auto"/>
        <w:contextualSpacing/>
        <w:jc w:val="both"/>
        <w:rPr>
          <w:rFonts w:ascii="Verdana" w:eastAsiaTheme="minorHAnsi" w:hAnsi="Verdana" w:cstheme="minorBidi"/>
          <w:color w:val="000000"/>
          <w:sz w:val="22"/>
          <w:szCs w:val="22"/>
          <w:lang w:val="es-MX" w:eastAsia="en-US"/>
        </w:rPr>
      </w:pPr>
      <w:r w:rsidRPr="00611315">
        <w:rPr>
          <w:rFonts w:ascii="Verdana" w:eastAsiaTheme="minorHAnsi" w:hAnsi="Verdana" w:cstheme="minorBidi"/>
          <w:color w:val="000000"/>
          <w:sz w:val="22"/>
          <w:szCs w:val="22"/>
          <w:lang w:val="es-MX" w:eastAsia="en-US"/>
        </w:rPr>
        <w:t>Eficiencia del sistema, entre otros</w:t>
      </w:r>
    </w:p>
    <w:p w14:paraId="0A1EDD69" w14:textId="77777777" w:rsidR="00704298" w:rsidRPr="00611315" w:rsidRDefault="00704298" w:rsidP="00954F93">
      <w:pPr>
        <w:spacing w:after="160" w:line="278" w:lineRule="auto"/>
        <w:ind w:left="1068"/>
        <w:contextualSpacing/>
        <w:jc w:val="both"/>
        <w:rPr>
          <w:rFonts w:ascii="Verdana" w:eastAsiaTheme="minorHAnsi" w:hAnsi="Verdana" w:cstheme="minorBidi"/>
          <w:color w:val="000000"/>
          <w:sz w:val="22"/>
          <w:szCs w:val="22"/>
          <w:lang w:val="es-MX" w:eastAsia="en-US"/>
        </w:rPr>
      </w:pPr>
    </w:p>
    <w:p w14:paraId="6F327CF7" w14:textId="77777777" w:rsidR="00DE0D45" w:rsidRPr="00611315" w:rsidRDefault="00DE0D45" w:rsidP="00DE0D45">
      <w:pPr>
        <w:spacing w:after="160" w:line="259" w:lineRule="auto"/>
        <w:jc w:val="both"/>
        <w:rPr>
          <w:rFonts w:ascii="Verdana" w:eastAsia="Aptos" w:hAnsi="Verdana"/>
          <w:color w:val="000000" w:themeColor="text1"/>
          <w:sz w:val="22"/>
          <w:szCs w:val="22"/>
          <w:lang w:val="es-MX" w:eastAsia="en-US"/>
        </w:rPr>
      </w:pPr>
      <w:r w:rsidRPr="00611315">
        <w:rPr>
          <w:rFonts w:ascii="Verdana" w:eastAsia="Aptos" w:hAnsi="Verdana"/>
          <w:b/>
          <w:bCs/>
          <w:color w:val="000000" w:themeColor="text1"/>
          <w:sz w:val="22"/>
          <w:szCs w:val="22"/>
          <w:lang w:val="es-MX" w:eastAsia="en-US"/>
        </w:rPr>
        <w:t>Nota:</w:t>
      </w:r>
      <w:r w:rsidRPr="00611315">
        <w:rPr>
          <w:rFonts w:ascii="Verdana" w:eastAsia="Aptos" w:hAnsi="Verdana"/>
          <w:color w:val="000000" w:themeColor="text1"/>
          <w:sz w:val="22"/>
          <w:szCs w:val="22"/>
          <w:lang w:val="es-MX" w:eastAsia="en-US"/>
        </w:rPr>
        <w:t xml:space="preserve"> En los eventos en los cuales el proyecto a ejecutar no permita la inclusión de este criterio, la entidad indicará las razones por las cuales no es posible o viable incorporarlo y en este caso no lo aplicaría.</w:t>
      </w:r>
    </w:p>
    <w:p w14:paraId="7EF1025E" w14:textId="72F0E170" w:rsidR="00DE0D45" w:rsidRPr="00611315" w:rsidRDefault="00DE0D45" w:rsidP="00DE0D45">
      <w:pPr>
        <w:spacing w:after="160" w:line="259" w:lineRule="auto"/>
        <w:jc w:val="both"/>
        <w:rPr>
          <w:rFonts w:ascii="Verdana" w:eastAsia="Aptos" w:hAnsi="Verdana"/>
          <w:color w:val="000000" w:themeColor="text1"/>
          <w:sz w:val="22"/>
          <w:szCs w:val="22"/>
          <w:lang w:val="es-MX" w:eastAsia="en-US"/>
        </w:rPr>
      </w:pPr>
      <w:r w:rsidRPr="00611315">
        <w:rPr>
          <w:rFonts w:ascii="Verdana" w:eastAsiaTheme="minorHAnsi" w:hAnsi="Verdana" w:cstheme="minorBidi"/>
          <w:color w:val="000000"/>
          <w:sz w:val="22"/>
          <w:szCs w:val="22"/>
          <w:lang w:val="es-MX" w:eastAsia="en-US"/>
        </w:rPr>
        <w:t xml:space="preserve">Durante la </w:t>
      </w:r>
      <w:r w:rsidR="0097120F" w:rsidRPr="00611315">
        <w:rPr>
          <w:rFonts w:ascii="Verdana" w:eastAsiaTheme="minorHAnsi" w:hAnsi="Verdana" w:cstheme="minorBidi"/>
          <w:color w:val="000000"/>
          <w:sz w:val="22"/>
          <w:szCs w:val="22"/>
          <w:lang w:val="es-MX" w:eastAsia="en-US"/>
        </w:rPr>
        <w:t>ejecución</w:t>
      </w:r>
      <w:r w:rsidRPr="00611315">
        <w:rPr>
          <w:rFonts w:ascii="Verdana" w:eastAsiaTheme="minorHAnsi" w:hAnsi="Verdana" w:cstheme="minorBidi"/>
          <w:color w:val="000000"/>
          <w:sz w:val="22"/>
          <w:szCs w:val="22"/>
          <w:lang w:val="es-MX" w:eastAsia="en-US"/>
        </w:rPr>
        <w:t xml:space="preserve"> del contrato, el contratista deberá entregar el documento con la propuesta para la futura implementación del sistema de monitoreo “Internet </w:t>
      </w:r>
      <w:proofErr w:type="spellStart"/>
      <w:r w:rsidRPr="00611315">
        <w:rPr>
          <w:rFonts w:ascii="Verdana" w:eastAsiaTheme="minorHAnsi" w:hAnsi="Verdana" w:cstheme="minorBidi"/>
          <w:color w:val="000000"/>
          <w:sz w:val="22"/>
          <w:szCs w:val="22"/>
          <w:lang w:val="es-MX" w:eastAsia="en-US"/>
        </w:rPr>
        <w:t>of</w:t>
      </w:r>
      <w:proofErr w:type="spellEnd"/>
      <w:r w:rsidRPr="00611315">
        <w:rPr>
          <w:rFonts w:ascii="Verdana" w:eastAsiaTheme="minorHAnsi" w:hAnsi="Verdana" w:cstheme="minorBidi"/>
          <w:color w:val="000000"/>
          <w:sz w:val="22"/>
          <w:szCs w:val="22"/>
          <w:lang w:val="es-MX" w:eastAsia="en-US"/>
        </w:rPr>
        <w:t xml:space="preserve"> </w:t>
      </w:r>
      <w:proofErr w:type="spellStart"/>
      <w:r w:rsidRPr="00611315">
        <w:rPr>
          <w:rFonts w:ascii="Verdana" w:eastAsiaTheme="minorHAnsi" w:hAnsi="Verdana" w:cstheme="minorBidi"/>
          <w:color w:val="000000"/>
          <w:sz w:val="22"/>
          <w:szCs w:val="22"/>
          <w:lang w:val="es-MX" w:eastAsia="en-US"/>
        </w:rPr>
        <w:t>things</w:t>
      </w:r>
      <w:proofErr w:type="spellEnd"/>
      <w:r w:rsidRPr="00611315">
        <w:rPr>
          <w:rFonts w:ascii="Verdana" w:eastAsiaTheme="minorHAnsi" w:hAnsi="Verdana" w:cstheme="minorBidi"/>
          <w:color w:val="000000"/>
          <w:sz w:val="22"/>
          <w:szCs w:val="22"/>
          <w:lang w:val="es-MX" w:eastAsia="en-US"/>
        </w:rPr>
        <w:t>” o internet de las cosas (</w:t>
      </w:r>
      <w:proofErr w:type="spellStart"/>
      <w:r w:rsidRPr="00611315">
        <w:rPr>
          <w:rFonts w:ascii="Verdana" w:eastAsiaTheme="minorHAnsi" w:hAnsi="Verdana" w:cstheme="minorBidi"/>
          <w:color w:val="000000"/>
          <w:sz w:val="22"/>
          <w:szCs w:val="22"/>
          <w:lang w:val="es-MX" w:eastAsia="en-US"/>
        </w:rPr>
        <w:t>IoT</w:t>
      </w:r>
      <w:proofErr w:type="spellEnd"/>
      <w:r w:rsidRPr="00611315">
        <w:rPr>
          <w:rFonts w:ascii="Verdana" w:eastAsiaTheme="minorHAnsi" w:hAnsi="Verdana" w:cstheme="minorBidi"/>
          <w:color w:val="000000"/>
          <w:sz w:val="22"/>
          <w:szCs w:val="22"/>
          <w:lang w:val="es-MX" w:eastAsia="en-US"/>
        </w:rPr>
        <w:t>).</w:t>
      </w:r>
    </w:p>
    <w:p w14:paraId="7EF4CCE7"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themeColor="text1"/>
          <w:sz w:val="22"/>
          <w:szCs w:val="22"/>
          <w:lang w:val="es-MX" w:eastAsia="en-US"/>
        </w:rPr>
      </w:pPr>
    </w:p>
    <w:p w14:paraId="1065A465" w14:textId="77777777" w:rsidR="00DE0D45" w:rsidRPr="00611315" w:rsidRDefault="00DE0D45" w:rsidP="00DE0D45">
      <w:pPr>
        <w:numPr>
          <w:ilvl w:val="0"/>
          <w:numId w:val="108"/>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 xml:space="preserve">Presentar e implementar un programa de optimización del consumo energético del sistema orientada a reducir el impacto ambiental asociado al uso de energía, en proyectos en donde se incluyan estaciones de bombeo o sistemas electromecánicos, cuyas medidas ambientales incluyan </w:t>
      </w:r>
      <w:r w:rsidRPr="00611315">
        <w:rPr>
          <w:rFonts w:ascii="Verdana" w:eastAsiaTheme="minorHAnsi" w:hAnsi="Verdana" w:cstheme="minorBidi"/>
          <w:b/>
          <w:bCs/>
          <w:color w:val="000000" w:themeColor="text1"/>
          <w:sz w:val="22"/>
          <w:szCs w:val="22"/>
          <w:lang w:val="es-MX" w:eastAsia="en-US"/>
        </w:rPr>
        <w:t>por lo menos una (1) acción</w:t>
      </w:r>
      <w:r w:rsidRPr="00611315">
        <w:rPr>
          <w:rFonts w:ascii="Verdana" w:eastAsiaTheme="minorHAnsi" w:hAnsi="Verdana" w:cstheme="minorBidi"/>
          <w:color w:val="000000" w:themeColor="text1"/>
          <w:sz w:val="22"/>
          <w:szCs w:val="22"/>
          <w:lang w:val="es-MX" w:eastAsia="en-US"/>
        </w:rPr>
        <w:t xml:space="preserve"> relacionada entre otras con:</w:t>
      </w:r>
    </w:p>
    <w:p w14:paraId="26606E84" w14:textId="77777777" w:rsidR="00DE0D45" w:rsidRPr="00611315" w:rsidRDefault="00DE0D45" w:rsidP="00DE0D45">
      <w:pPr>
        <w:spacing w:after="160" w:line="259" w:lineRule="auto"/>
        <w:ind w:left="720"/>
        <w:contextualSpacing/>
        <w:jc w:val="both"/>
        <w:rPr>
          <w:rFonts w:ascii="Verdana" w:eastAsiaTheme="minorHAnsi" w:hAnsi="Verdana" w:cstheme="minorBidi"/>
          <w:color w:val="000000" w:themeColor="text1"/>
          <w:sz w:val="22"/>
          <w:szCs w:val="22"/>
          <w:lang w:val="es-MX" w:eastAsia="en-US"/>
        </w:rPr>
      </w:pPr>
    </w:p>
    <w:p w14:paraId="5C7C7DCA" w14:textId="77777777" w:rsidR="00DE0D45" w:rsidRPr="00611315" w:rsidRDefault="00DE0D45" w:rsidP="00DE0D45">
      <w:pPr>
        <w:numPr>
          <w:ilvl w:val="1"/>
          <w:numId w:val="106"/>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Revisión y optimización de equipos de bombeo, de manera que se incorporen al proyecto equipos de alta eficiencia energética.</w:t>
      </w:r>
    </w:p>
    <w:p w14:paraId="2EF2A54C" w14:textId="77777777" w:rsidR="00DE0D45" w:rsidRPr="00611315" w:rsidRDefault="00DE0D45" w:rsidP="00DE0D45">
      <w:pPr>
        <w:numPr>
          <w:ilvl w:val="1"/>
          <w:numId w:val="106"/>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Optimización del diseño hidráulico para reducir pérdidas de carga.</w:t>
      </w:r>
    </w:p>
    <w:p w14:paraId="2DBC1234" w14:textId="77777777" w:rsidR="00DE0D45" w:rsidRPr="00611315" w:rsidRDefault="00DE0D45" w:rsidP="00DE0D45">
      <w:pPr>
        <w:numPr>
          <w:ilvl w:val="1"/>
          <w:numId w:val="106"/>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Sistemas de monitoreo del consumo energético.</w:t>
      </w:r>
    </w:p>
    <w:p w14:paraId="7EDF4EDE" w14:textId="77777777" w:rsidR="00E37873" w:rsidRPr="00611315" w:rsidRDefault="00E37873" w:rsidP="00954F93">
      <w:pPr>
        <w:spacing w:after="160" w:line="259" w:lineRule="auto"/>
        <w:ind w:left="1440"/>
        <w:contextualSpacing/>
        <w:jc w:val="both"/>
        <w:rPr>
          <w:rFonts w:ascii="Verdana" w:eastAsiaTheme="minorHAnsi" w:hAnsi="Verdana" w:cstheme="minorBidi"/>
          <w:color w:val="000000" w:themeColor="text1"/>
          <w:sz w:val="22"/>
          <w:szCs w:val="22"/>
          <w:lang w:val="es-MX" w:eastAsia="en-US"/>
        </w:rPr>
      </w:pPr>
    </w:p>
    <w:p w14:paraId="23131435" w14:textId="77777777" w:rsidR="00DE0D45" w:rsidRPr="00611315" w:rsidRDefault="00DE0D45" w:rsidP="00DE0D45">
      <w:pPr>
        <w:spacing w:after="160" w:line="259" w:lineRule="auto"/>
        <w:ind w:left="360"/>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b/>
          <w:bCs/>
          <w:color w:val="000000" w:themeColor="text1"/>
          <w:sz w:val="22"/>
          <w:szCs w:val="22"/>
          <w:lang w:val="es-MX" w:eastAsia="en-US"/>
        </w:rPr>
        <w:t>Nota:</w:t>
      </w:r>
      <w:r w:rsidRPr="00611315">
        <w:rPr>
          <w:rFonts w:ascii="Verdana" w:eastAsiaTheme="minorHAnsi" w:hAnsi="Verdana" w:cstheme="minorBidi"/>
          <w:color w:val="000000" w:themeColor="text1"/>
          <w:sz w:val="22"/>
          <w:szCs w:val="22"/>
          <w:lang w:val="es-MX" w:eastAsia="en-US"/>
        </w:rPr>
        <w:t xml:space="preserve"> Las acciones propuestas deberán ser adicionales e independientes del cumplimiento de las especificaciones técnicas del proyecto, así como de las obligaciones establecidas en los instrumentos ambientales aplicables, tales como el Plan de Manejo Ambiental – PMA, el Programa de Uso Eficiente y Ahorro de Agua – PUEAA, las licencias ambientales, permisos y demás disposiciones de la autoridad ambiental competente.</w:t>
      </w:r>
    </w:p>
    <w:p w14:paraId="2DFAFB63" w14:textId="77777777" w:rsidR="00DE0D45" w:rsidRPr="00611315" w:rsidRDefault="00DE0D45" w:rsidP="00DE0D45">
      <w:pPr>
        <w:spacing w:after="160" w:line="259" w:lineRule="auto"/>
        <w:ind w:left="360"/>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lastRenderedPageBreak/>
        <w:t>En consecuencia, no podrán considerarse aquellas actividades que correspondan al cumplimiento obligatorio de las especificaciones técnicas, diseños, normas técnicas o requerimientos mínimos establecidos por la entidad en los documentos del proceso de selección.</w:t>
      </w:r>
    </w:p>
    <w:p w14:paraId="108ADF68" w14:textId="77777777" w:rsidR="00DE0D45" w:rsidRPr="00611315" w:rsidRDefault="00DE0D45" w:rsidP="00DE0D45">
      <w:pPr>
        <w:spacing w:after="160" w:line="259" w:lineRule="auto"/>
        <w:ind w:left="360"/>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b/>
          <w:bCs/>
          <w:color w:val="000000" w:themeColor="text1"/>
          <w:sz w:val="22"/>
          <w:szCs w:val="22"/>
          <w:lang w:val="es-MX" w:eastAsia="en-US"/>
        </w:rPr>
        <w:t>Nota:</w:t>
      </w:r>
      <w:r w:rsidRPr="00611315">
        <w:rPr>
          <w:rFonts w:ascii="Verdana" w:eastAsiaTheme="minorHAnsi" w:hAnsi="Verdana" w:cstheme="minorBidi"/>
          <w:color w:val="000000" w:themeColor="text1"/>
          <w:sz w:val="22"/>
          <w:szCs w:val="22"/>
          <w:lang w:val="es-MX" w:eastAsia="en-US"/>
        </w:rPr>
        <w:t xml:space="preserve"> En los eventos en los cuales el proyecto a ejecutar no esté relacionado con la intervención en proyectos de acueducto y sistemas de tratamiento, este criterio no aplicaría.</w:t>
      </w:r>
    </w:p>
    <w:p w14:paraId="633EAE8D" w14:textId="77777777" w:rsidR="00704298" w:rsidRPr="00611315" w:rsidRDefault="00704298" w:rsidP="00704298">
      <w:pPr>
        <w:spacing w:after="160" w:line="259" w:lineRule="auto"/>
        <w:contextualSpacing/>
        <w:jc w:val="both"/>
        <w:rPr>
          <w:rFonts w:ascii="Verdana" w:eastAsiaTheme="minorHAnsi" w:hAnsi="Verdana" w:cstheme="minorBidi"/>
          <w:color w:val="000000" w:themeColor="text1"/>
          <w:sz w:val="22"/>
          <w:szCs w:val="22"/>
          <w:lang w:val="es-MX" w:eastAsia="en-US"/>
        </w:rPr>
      </w:pPr>
    </w:p>
    <w:p w14:paraId="0B2A0CE1" w14:textId="3195A276" w:rsidR="00704298" w:rsidRPr="00611315" w:rsidRDefault="00704298" w:rsidP="00704298">
      <w:p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 xml:space="preserve">En adición a lo anterior, para </w:t>
      </w:r>
      <w:proofErr w:type="gramStart"/>
      <w:r w:rsidRPr="00611315">
        <w:rPr>
          <w:rFonts w:ascii="Verdana" w:eastAsiaTheme="minorHAnsi" w:hAnsi="Verdana" w:cstheme="minorBidi"/>
          <w:color w:val="000000" w:themeColor="text1"/>
          <w:sz w:val="22"/>
          <w:szCs w:val="22"/>
          <w:lang w:val="es-MX" w:eastAsia="en-US"/>
        </w:rPr>
        <w:t>los proceso</w:t>
      </w:r>
      <w:proofErr w:type="gramEnd"/>
      <w:r w:rsidRPr="00611315">
        <w:rPr>
          <w:rFonts w:ascii="Verdana" w:eastAsiaTheme="minorHAnsi" w:hAnsi="Verdana" w:cstheme="minorBidi"/>
          <w:color w:val="000000" w:themeColor="text1"/>
          <w:sz w:val="22"/>
          <w:szCs w:val="22"/>
          <w:lang w:val="es-MX" w:eastAsia="en-US"/>
        </w:rPr>
        <w:t xml:space="preserve"> que se adelanten bajo la modalidad Llave en mano, se establece </w:t>
      </w:r>
      <w:proofErr w:type="gramStart"/>
      <w:r w:rsidRPr="00611315">
        <w:rPr>
          <w:rFonts w:ascii="Verdana" w:eastAsiaTheme="minorHAnsi" w:hAnsi="Verdana" w:cstheme="minorBidi"/>
          <w:color w:val="000000" w:themeColor="text1"/>
          <w:sz w:val="22"/>
          <w:szCs w:val="22"/>
          <w:lang w:val="es-MX" w:eastAsia="en-US"/>
        </w:rPr>
        <w:t>que</w:t>
      </w:r>
      <w:proofErr w:type="gramEnd"/>
      <w:r w:rsidRPr="00611315">
        <w:rPr>
          <w:rFonts w:ascii="Verdana" w:eastAsiaTheme="minorHAnsi" w:hAnsi="Verdana" w:cstheme="minorBidi"/>
          <w:color w:val="000000" w:themeColor="text1"/>
          <w:sz w:val="22"/>
          <w:szCs w:val="22"/>
          <w:lang w:val="es-MX" w:eastAsia="en-US"/>
        </w:rPr>
        <w:t xml:space="preserve"> </w:t>
      </w:r>
      <w:r w:rsidR="00601CB2" w:rsidRPr="00611315">
        <w:rPr>
          <w:rFonts w:ascii="Verdana" w:eastAsiaTheme="minorHAnsi" w:hAnsi="Verdana" w:cstheme="minorBidi"/>
          <w:color w:val="000000" w:themeColor="text1"/>
          <w:sz w:val="22"/>
          <w:szCs w:val="22"/>
          <w:lang w:val="es-MX" w:eastAsia="en-US"/>
        </w:rPr>
        <w:t xml:space="preserve">para la etapa de diseños, se </w:t>
      </w:r>
      <w:r w:rsidR="003D54B9" w:rsidRPr="00611315">
        <w:rPr>
          <w:rFonts w:ascii="Verdana" w:eastAsiaTheme="minorHAnsi" w:hAnsi="Verdana" w:cstheme="minorBidi"/>
          <w:color w:val="000000" w:themeColor="text1"/>
          <w:sz w:val="22"/>
          <w:szCs w:val="22"/>
          <w:lang w:val="es-MX" w:eastAsia="en-US"/>
        </w:rPr>
        <w:t>dispone</w:t>
      </w:r>
      <w:r w:rsidR="00662023" w:rsidRPr="00611315">
        <w:rPr>
          <w:rFonts w:ascii="Verdana" w:eastAsiaTheme="minorHAnsi" w:hAnsi="Verdana" w:cstheme="minorBidi"/>
          <w:color w:val="000000" w:themeColor="text1"/>
          <w:sz w:val="22"/>
          <w:szCs w:val="22"/>
          <w:lang w:val="es-MX" w:eastAsia="en-US"/>
        </w:rPr>
        <w:t xml:space="preserve"> que los oferentes deben manifestar su intención de cumplir cada uno de los siguientes puntos en el evento de ser adjudicatarios con el proceso de selección:</w:t>
      </w:r>
    </w:p>
    <w:p w14:paraId="410D07DF" w14:textId="77777777" w:rsidR="00662023" w:rsidRPr="00611315" w:rsidRDefault="00662023" w:rsidP="00704298">
      <w:pPr>
        <w:spacing w:after="160" w:line="259" w:lineRule="auto"/>
        <w:contextualSpacing/>
        <w:jc w:val="both"/>
        <w:rPr>
          <w:rFonts w:ascii="Verdana" w:eastAsiaTheme="minorHAnsi" w:hAnsi="Verdana" w:cstheme="minorBidi"/>
          <w:color w:val="000000" w:themeColor="text1"/>
          <w:sz w:val="22"/>
          <w:szCs w:val="22"/>
          <w:lang w:val="es-MX" w:eastAsia="en-US"/>
        </w:rPr>
      </w:pPr>
    </w:p>
    <w:p w14:paraId="3F4324EF" w14:textId="4865E5C1" w:rsidR="00F75993" w:rsidRPr="00611315" w:rsidRDefault="00F75993" w:rsidP="00F75993">
      <w:p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“La Entidad asignará un (1) punto al Proponente que se comprometa con el diligenciamiento del “Formato 12C – Factor de Calidad Ambiental – para la Etapa de Estudios y Diseños”, en el que se compromete a cumplir con los siguientes aspectos de sostenibilidad Ambiental, que debe incluir como productos en la ejecución de la etapa de los estudios y/o diseños del proyecto que realice:</w:t>
      </w:r>
    </w:p>
    <w:p w14:paraId="564F1091" w14:textId="77777777" w:rsidR="00F75993" w:rsidRPr="00611315" w:rsidRDefault="00F75993" w:rsidP="00F75993">
      <w:pPr>
        <w:spacing w:after="160" w:line="259" w:lineRule="auto"/>
        <w:contextualSpacing/>
        <w:jc w:val="both"/>
        <w:rPr>
          <w:rFonts w:ascii="Verdana" w:eastAsiaTheme="minorHAnsi" w:hAnsi="Verdana" w:cstheme="minorBidi"/>
          <w:color w:val="000000" w:themeColor="text1"/>
          <w:sz w:val="22"/>
          <w:szCs w:val="22"/>
          <w:lang w:val="es-MX" w:eastAsia="en-US"/>
        </w:rPr>
      </w:pPr>
    </w:p>
    <w:p w14:paraId="0DECB4DA" w14:textId="77777777" w:rsidR="00F75993" w:rsidRPr="00611315" w:rsidRDefault="00F75993" w:rsidP="00F75993">
      <w:pPr>
        <w:numPr>
          <w:ilvl w:val="0"/>
          <w:numId w:val="117"/>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Garantizar que en el diseño de la infraestructura relacionada con PTAP, PTAP y estaciones de bombeo se incorporarán aspectos técnicos que busquen minimizar el consumo energético de los sistemas hidráulicos y propendan por su eficiencia energética, así como la incorporación de sistemas que utilicen energías renovables en zonas rurales.</w:t>
      </w:r>
    </w:p>
    <w:p w14:paraId="4CE2C25F" w14:textId="77777777" w:rsidR="00F75993" w:rsidRPr="00611315" w:rsidRDefault="00F75993" w:rsidP="00F75993">
      <w:pPr>
        <w:numPr>
          <w:ilvl w:val="0"/>
          <w:numId w:val="117"/>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Garantizar que en el diseño de la infraestructura relacionada con PTAR y sistemas de alcantarillados se buscará la reducción de impactos ambientales por la descarga de aguas residuales, a través de la incorporación de tecnologías de tratamiento con menor carga contaminante a las fuentes receptoras o parámetros de vertimientos estrictos, entre otros.</w:t>
      </w:r>
    </w:p>
    <w:p w14:paraId="324792AD" w14:textId="3C0490CC" w:rsidR="00F75993" w:rsidRPr="00611315" w:rsidRDefault="00F75993" w:rsidP="00F75993">
      <w:pPr>
        <w:numPr>
          <w:ilvl w:val="0"/>
          <w:numId w:val="117"/>
        </w:numPr>
        <w:spacing w:after="160" w:line="259" w:lineRule="auto"/>
        <w:contextualSpacing/>
        <w:jc w:val="both"/>
        <w:rPr>
          <w:rFonts w:ascii="Verdana" w:eastAsiaTheme="minorHAnsi" w:hAnsi="Verdana" w:cstheme="minorBidi"/>
          <w:color w:val="000000" w:themeColor="text1"/>
          <w:sz w:val="22"/>
          <w:szCs w:val="22"/>
          <w:lang w:val="es-MX" w:eastAsia="en-US"/>
        </w:rPr>
      </w:pPr>
      <w:r w:rsidRPr="00611315">
        <w:rPr>
          <w:rFonts w:ascii="Verdana" w:eastAsiaTheme="minorHAnsi" w:hAnsi="Verdana" w:cstheme="minorBidi"/>
          <w:color w:val="000000" w:themeColor="text1"/>
          <w:sz w:val="22"/>
          <w:szCs w:val="22"/>
          <w:lang w:val="es-MX" w:eastAsia="en-US"/>
        </w:rPr>
        <w:t xml:space="preserve">Garantizar en el diseño de la infraestructura de agua potable y saneamiento básico, que para ejecución de los proyectos se favorecerá el uso de materiales con características ambientales, como: i) materiales con contenido reciclado o </w:t>
      </w:r>
      <w:proofErr w:type="spellStart"/>
      <w:r w:rsidRPr="00611315">
        <w:rPr>
          <w:rFonts w:ascii="Verdana" w:eastAsiaTheme="minorHAnsi" w:hAnsi="Verdana" w:cstheme="minorBidi"/>
          <w:color w:val="000000" w:themeColor="text1"/>
          <w:sz w:val="22"/>
          <w:szCs w:val="22"/>
          <w:lang w:val="es-MX" w:eastAsia="en-US"/>
        </w:rPr>
        <w:t>ii</w:t>
      </w:r>
      <w:proofErr w:type="spellEnd"/>
      <w:r w:rsidRPr="00611315">
        <w:rPr>
          <w:rFonts w:ascii="Verdana" w:eastAsiaTheme="minorHAnsi" w:hAnsi="Verdana" w:cstheme="minorBidi"/>
          <w:color w:val="000000" w:themeColor="text1"/>
          <w:sz w:val="22"/>
          <w:szCs w:val="22"/>
          <w:lang w:val="es-MX" w:eastAsia="en-US"/>
        </w:rPr>
        <w:t xml:space="preserve">) materiales de bajo impacto o </w:t>
      </w:r>
      <w:proofErr w:type="spellStart"/>
      <w:r w:rsidRPr="00611315">
        <w:rPr>
          <w:rFonts w:ascii="Verdana" w:eastAsiaTheme="minorHAnsi" w:hAnsi="Verdana" w:cstheme="minorBidi"/>
          <w:color w:val="000000" w:themeColor="text1"/>
          <w:sz w:val="22"/>
          <w:szCs w:val="22"/>
          <w:lang w:val="es-MX" w:eastAsia="en-US"/>
        </w:rPr>
        <w:t>iii</w:t>
      </w:r>
      <w:proofErr w:type="spellEnd"/>
      <w:r w:rsidRPr="00611315">
        <w:rPr>
          <w:rFonts w:ascii="Verdana" w:eastAsiaTheme="minorHAnsi" w:hAnsi="Verdana" w:cstheme="minorBidi"/>
          <w:color w:val="000000" w:themeColor="text1"/>
          <w:sz w:val="22"/>
          <w:szCs w:val="22"/>
          <w:lang w:val="es-MX" w:eastAsia="en-US"/>
        </w:rPr>
        <w:t xml:space="preserve">) materiales certificados con etiquetas ambientales, como el Sello Ambiental Colombiano o </w:t>
      </w:r>
      <w:proofErr w:type="spellStart"/>
      <w:r w:rsidRPr="00611315">
        <w:rPr>
          <w:rFonts w:ascii="Verdana" w:eastAsiaTheme="minorHAnsi" w:hAnsi="Verdana" w:cstheme="minorBidi"/>
          <w:color w:val="000000" w:themeColor="text1"/>
          <w:sz w:val="22"/>
          <w:szCs w:val="22"/>
          <w:lang w:val="es-MX" w:eastAsia="en-US"/>
        </w:rPr>
        <w:t>iv</w:t>
      </w:r>
      <w:proofErr w:type="spellEnd"/>
      <w:r w:rsidRPr="00611315">
        <w:rPr>
          <w:rFonts w:ascii="Verdana" w:eastAsiaTheme="minorHAnsi" w:hAnsi="Verdana" w:cstheme="minorBidi"/>
          <w:color w:val="000000" w:themeColor="text1"/>
          <w:sz w:val="22"/>
          <w:szCs w:val="22"/>
          <w:lang w:val="es-MX" w:eastAsia="en-US"/>
        </w:rPr>
        <w:t xml:space="preserve">) nuevas tecnologías de bajo costo (por ejemplo, materiales que reduzcan mantenimientos y/o </w:t>
      </w:r>
      <w:r w:rsidRPr="00611315">
        <w:rPr>
          <w:rFonts w:ascii="Verdana" w:eastAsiaTheme="minorHAnsi" w:hAnsi="Verdana" w:cstheme="minorBidi"/>
          <w:color w:val="000000" w:themeColor="text1"/>
          <w:sz w:val="22"/>
          <w:szCs w:val="22"/>
          <w:lang w:val="es-MX" w:eastAsia="en-US"/>
        </w:rPr>
        <w:lastRenderedPageBreak/>
        <w:t>reposición, tuberías de mayor durabilidad, etc.) que contribuyan a la sostenibilidad del proyecto.</w:t>
      </w:r>
      <w:r w:rsidR="00294C23" w:rsidRPr="00611315">
        <w:rPr>
          <w:rFonts w:ascii="Verdana" w:eastAsiaTheme="minorHAnsi" w:hAnsi="Verdana" w:cstheme="minorBidi"/>
          <w:color w:val="000000" w:themeColor="text1"/>
          <w:sz w:val="22"/>
          <w:szCs w:val="22"/>
          <w:lang w:val="es-MX" w:eastAsia="en-US"/>
        </w:rPr>
        <w:t>”</w:t>
      </w:r>
    </w:p>
    <w:p w14:paraId="404674BA" w14:textId="77777777" w:rsidR="00662023" w:rsidRPr="00611315" w:rsidRDefault="00662023" w:rsidP="00954F93">
      <w:pPr>
        <w:spacing w:after="160" w:line="259" w:lineRule="auto"/>
        <w:contextualSpacing/>
        <w:jc w:val="both"/>
        <w:rPr>
          <w:rFonts w:ascii="Verdana" w:eastAsiaTheme="minorHAnsi" w:hAnsi="Verdana" w:cstheme="minorBidi"/>
          <w:color w:val="000000" w:themeColor="text1"/>
          <w:sz w:val="22"/>
          <w:szCs w:val="22"/>
          <w:lang w:val="es-MX" w:eastAsia="en-US"/>
        </w:rPr>
      </w:pPr>
    </w:p>
    <w:p w14:paraId="23E4CC98" w14:textId="50364BD6" w:rsidR="00111E7D" w:rsidRPr="00611315" w:rsidRDefault="00111E7D" w:rsidP="00FE2C92">
      <w:pPr>
        <w:jc w:val="both"/>
        <w:rPr>
          <w:rFonts w:ascii="Verdana" w:eastAsia="Arial" w:hAnsi="Verdana" w:cs="Arial"/>
          <w:b/>
          <w:bCs/>
          <w:lang w:val="es-MX"/>
        </w:rPr>
      </w:pPr>
      <w:r w:rsidRPr="00611315">
        <w:rPr>
          <w:rFonts w:ascii="Verdana" w:eastAsia="Arial" w:hAnsi="Verdana" w:cs="Arial"/>
          <w:b/>
          <w:bCs/>
          <w:lang w:val="es-MX"/>
        </w:rPr>
        <w:t>CRITERIO SOCIAL</w:t>
      </w:r>
    </w:p>
    <w:p w14:paraId="7BF0A22D" w14:textId="77777777" w:rsidR="00111E7D" w:rsidRPr="00611315" w:rsidRDefault="00111E7D" w:rsidP="00FE2C92">
      <w:pPr>
        <w:jc w:val="both"/>
        <w:rPr>
          <w:rFonts w:ascii="Verdana" w:eastAsia="Arial" w:hAnsi="Verdana" w:cs="Arial"/>
          <w:lang w:val="es-MX"/>
        </w:rPr>
      </w:pPr>
    </w:p>
    <w:p w14:paraId="69A70148" w14:textId="77777777" w:rsidR="001717F9" w:rsidRPr="00611315" w:rsidRDefault="001717F9" w:rsidP="001717F9">
      <w:pPr>
        <w:jc w:val="both"/>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La Entidad asignará dos (2) puntos al proponente que se comprometa a vincular durante toda la ejecución del contrato al menos </w:t>
      </w:r>
      <w:r w:rsidRPr="00611315">
        <w:rPr>
          <w:rFonts w:ascii="Verdana" w:eastAsia="Verdana Pro" w:hAnsi="Verdana" w:cs="Verdana Pro"/>
          <w:color w:val="000000" w:themeColor="text1"/>
        </w:rPr>
        <w:t>[Incluir el número de personas de acuerdo al cuadro que se encuentra en este numeral, según el presupuesto oficial del Proceso de Selección] </w:t>
      </w:r>
      <w:r w:rsidRPr="00611315">
        <w:rPr>
          <w:rFonts w:ascii="Verdana" w:eastAsia="Verdana Pro" w:hAnsi="Verdana" w:cs="Verdana Pro"/>
          <w:color w:val="000000" w:themeColor="text1"/>
          <w:lang w:val="es-MX"/>
        </w:rPr>
        <w:t>persona(s) que pertenezca(n) a alguno de los tipos poblacionales que se listan en este numeral, para ello el proponente deberá presentar el Formato 12B– Criterio social, en el cual bajo la gravedad de juramento conste el compromiso que en este sentido asume.</w:t>
      </w:r>
    </w:p>
    <w:p w14:paraId="114383FB" w14:textId="77777777" w:rsidR="009B6D8B" w:rsidRPr="00611315" w:rsidRDefault="009B6D8B" w:rsidP="001717F9">
      <w:pPr>
        <w:jc w:val="both"/>
        <w:rPr>
          <w:rFonts w:ascii="Verdana" w:eastAsia="Verdana Pro" w:hAnsi="Verdana" w:cs="Verdana Pro"/>
          <w:color w:val="000000" w:themeColor="text1"/>
          <w:lang w:val="es-MX"/>
        </w:rPr>
      </w:pPr>
    </w:p>
    <w:p w14:paraId="32FD170D" w14:textId="428E9B32" w:rsidR="02A1872F" w:rsidRPr="00611315" w:rsidRDefault="02A1872F" w:rsidP="00447A32">
      <w:pPr>
        <w:jc w:val="both"/>
        <w:rPr>
          <w:rFonts w:ascii="Verdana" w:eastAsia="Verdana Pro" w:hAnsi="Verdana" w:cs="Verdana Pro"/>
          <w:color w:val="000000" w:themeColor="text1"/>
          <w:sz w:val="22"/>
          <w:szCs w:val="22"/>
          <w:lang w:val="es-MX"/>
        </w:rPr>
      </w:pPr>
      <w:r w:rsidRPr="00611315">
        <w:rPr>
          <w:rFonts w:ascii="Verdana" w:eastAsia="Verdana Pro" w:hAnsi="Verdana" w:cs="Verdana Pro"/>
          <w:color w:val="000000" w:themeColor="text1"/>
          <w:sz w:val="22"/>
          <w:szCs w:val="22"/>
          <w:lang w:val="es-MX"/>
        </w:rPr>
        <w:t>El adjudicatario del proceso vinculará personas, durante toda la ejecución del contrato, que pertenezcan a uno o algunos de los siguientes tipos poblacionales:</w:t>
      </w:r>
    </w:p>
    <w:p w14:paraId="17DA5B3C" w14:textId="77777777" w:rsidR="00671A29" w:rsidRPr="00611315" w:rsidRDefault="00671A29" w:rsidP="00447A32">
      <w:pPr>
        <w:jc w:val="both"/>
        <w:rPr>
          <w:rFonts w:ascii="Verdana" w:eastAsia="Verdana Pro" w:hAnsi="Verdana" w:cs="Verdana Pro"/>
          <w:color w:val="000000" w:themeColor="text1"/>
          <w:sz w:val="22"/>
          <w:szCs w:val="22"/>
          <w:lang w:val="es-MX"/>
        </w:rPr>
      </w:pPr>
    </w:p>
    <w:p w14:paraId="190A8BE0" w14:textId="74F0FB0E"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Mujer Cabeza de Familia</w:t>
      </w:r>
    </w:p>
    <w:p w14:paraId="0ADC0758" w14:textId="73380761"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Mujer Víctima de Violencia Intrafamiliar</w:t>
      </w:r>
    </w:p>
    <w:p w14:paraId="1E0F10EA" w14:textId="55B2F46E"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Persona que no sean beneficiarios de la pensión de vejez, familiar o de sobrevivencia y que hayan cumplido el requisito de edad de pensión establecido en la ley</w:t>
      </w:r>
    </w:p>
    <w:p w14:paraId="08497C83" w14:textId="5F2AC931"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Persona perteneciente a población indígena, negra, afrocolombiana, raizal, palanquera, </w:t>
      </w:r>
      <w:proofErr w:type="spellStart"/>
      <w:r w:rsidRPr="00611315">
        <w:rPr>
          <w:rFonts w:ascii="Verdana" w:eastAsia="Verdana Pro" w:hAnsi="Verdana" w:cs="Verdana Pro"/>
          <w:color w:val="000000" w:themeColor="text1"/>
          <w:lang w:val="es-MX"/>
        </w:rPr>
        <w:t>Rrom</w:t>
      </w:r>
      <w:proofErr w:type="spellEnd"/>
      <w:r w:rsidRPr="00611315">
        <w:rPr>
          <w:rFonts w:ascii="Verdana" w:eastAsia="Verdana Pro" w:hAnsi="Verdana" w:cs="Verdana Pro"/>
          <w:color w:val="000000" w:themeColor="text1"/>
          <w:lang w:val="es-MX"/>
        </w:rPr>
        <w:t xml:space="preserve"> o gitana.</w:t>
      </w:r>
    </w:p>
    <w:p w14:paraId="64D750B9" w14:textId="77CBE3C1"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Persona en proceso de reintegración o reincorporación.</w:t>
      </w:r>
    </w:p>
    <w:p w14:paraId="051AFD82" w14:textId="68709C47"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Persona </w:t>
      </w:r>
      <w:proofErr w:type="spellStart"/>
      <w:r w:rsidRPr="00611315">
        <w:rPr>
          <w:rFonts w:ascii="Verdana" w:eastAsia="Verdana Pro" w:hAnsi="Verdana" w:cs="Verdana Pro"/>
          <w:color w:val="000000" w:themeColor="text1"/>
          <w:lang w:val="es-MX"/>
        </w:rPr>
        <w:t>pospenada</w:t>
      </w:r>
      <w:proofErr w:type="spellEnd"/>
      <w:r w:rsidRPr="00611315">
        <w:rPr>
          <w:rFonts w:ascii="Verdana" w:eastAsia="Verdana Pro" w:hAnsi="Verdana" w:cs="Verdana Pro"/>
          <w:color w:val="000000" w:themeColor="text1"/>
          <w:lang w:val="es-MX"/>
        </w:rPr>
        <w:t>, o aquellas personas que se encuentren cumpliendo pena con permiso de trabajo, libertad condicional o suspensión provisional de pena con autorización de trabajo</w:t>
      </w:r>
    </w:p>
    <w:p w14:paraId="43804DE4" w14:textId="2240254D"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Víctima de conflicto armado </w:t>
      </w:r>
    </w:p>
    <w:p w14:paraId="5604872F" w14:textId="411BD76C"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Sujetos de especial protección constitucional </w:t>
      </w:r>
    </w:p>
    <w:p w14:paraId="6FB0A4BC" w14:textId="232116EC" w:rsidR="02A1872F" w:rsidRPr="00611315" w:rsidRDefault="02A1872F" w:rsidP="00447A32">
      <w:pPr>
        <w:pStyle w:val="Prrafodelista"/>
        <w:numPr>
          <w:ilvl w:val="0"/>
          <w:numId w:val="85"/>
        </w:numPr>
        <w:spacing w:line="278" w:lineRule="auto"/>
        <w:ind w:left="1134" w:firstLine="0"/>
        <w:rPr>
          <w:rFonts w:ascii="Verdana" w:eastAsia="Verdana Pro" w:hAnsi="Verdana" w:cs="Verdana Pro"/>
          <w:color w:val="000000" w:themeColor="text1"/>
          <w:lang w:val="es-MX"/>
        </w:rPr>
      </w:pPr>
      <w:r w:rsidRPr="00611315">
        <w:rPr>
          <w:rFonts w:ascii="Verdana" w:eastAsia="Verdana Pro" w:hAnsi="Verdana" w:cs="Verdana Pro"/>
          <w:color w:val="000000" w:themeColor="text1"/>
          <w:lang w:val="es-MX"/>
        </w:rPr>
        <w:t xml:space="preserve">En condición de pobreza extrema </w:t>
      </w:r>
    </w:p>
    <w:p w14:paraId="4698BDCB" w14:textId="67A52F8F" w:rsidR="02A1872F" w:rsidRPr="00611315" w:rsidRDefault="02A1872F">
      <w:pPr>
        <w:jc w:val="both"/>
        <w:rPr>
          <w:rFonts w:ascii="Verdana" w:eastAsia="Verdana Pro" w:hAnsi="Verdana" w:cs="Verdana Pro"/>
          <w:color w:val="000000" w:themeColor="text1"/>
          <w:sz w:val="22"/>
          <w:szCs w:val="22"/>
        </w:rPr>
      </w:pPr>
      <w:r w:rsidRPr="00611315">
        <w:rPr>
          <w:rFonts w:ascii="Verdana" w:eastAsia="Verdana Pro" w:hAnsi="Verdana" w:cs="Verdana Pro"/>
          <w:color w:val="000000" w:themeColor="text1"/>
          <w:sz w:val="22"/>
          <w:szCs w:val="22"/>
          <w:highlight w:val="lightGray"/>
        </w:rPr>
        <w:t>[La entidad en este numeral según su presupuesto del proceso de selección deberá escoger una de las siguientes opciones, y eliminar las restantes] </w:t>
      </w:r>
    </w:p>
    <w:p w14:paraId="4C493FD0" w14:textId="77777777" w:rsidR="00592263" w:rsidRDefault="00592263" w:rsidP="00592263">
      <w:pPr>
        <w:jc w:val="both"/>
        <w:rPr>
          <w:rFonts w:ascii="Verdana" w:eastAsia="Verdana Pro" w:hAnsi="Verdana" w:cs="Verdana Pro"/>
          <w:color w:val="000000" w:themeColor="text1"/>
          <w:sz w:val="22"/>
          <w:szCs w:val="22"/>
        </w:rPr>
      </w:pPr>
    </w:p>
    <w:p w14:paraId="53C35B06" w14:textId="77777777" w:rsidR="0097120F" w:rsidRDefault="0097120F" w:rsidP="00592263">
      <w:pPr>
        <w:jc w:val="both"/>
        <w:rPr>
          <w:rFonts w:ascii="Verdana" w:eastAsia="Verdana Pro" w:hAnsi="Verdana" w:cs="Verdana Pro"/>
          <w:color w:val="000000" w:themeColor="text1"/>
          <w:sz w:val="22"/>
          <w:szCs w:val="22"/>
        </w:rPr>
      </w:pPr>
    </w:p>
    <w:p w14:paraId="5F14CDDB" w14:textId="77777777" w:rsidR="0097120F" w:rsidRPr="00611315" w:rsidRDefault="0097120F" w:rsidP="00592263">
      <w:pPr>
        <w:jc w:val="both"/>
        <w:rPr>
          <w:rFonts w:ascii="Verdana" w:eastAsia="Verdana Pro" w:hAnsi="Verdana" w:cs="Verdana Pro"/>
          <w:color w:val="000000" w:themeColor="text1"/>
          <w:sz w:val="22"/>
          <w:szCs w:val="22"/>
        </w:rPr>
      </w:pPr>
    </w:p>
    <w:p w14:paraId="7ECBF2D8" w14:textId="52DF57DE" w:rsidR="00592263" w:rsidRPr="00611315" w:rsidRDefault="00592263" w:rsidP="00592263">
      <w:pPr>
        <w:pStyle w:val="Descripcin"/>
        <w:jc w:val="center"/>
        <w:rPr>
          <w:rFonts w:ascii="Verdana" w:hAnsi="Verdana"/>
          <w:sz w:val="22"/>
          <w:szCs w:val="22"/>
        </w:rPr>
      </w:pPr>
      <w:bookmarkStart w:id="475" w:name="_Toc231368696"/>
      <w:r w:rsidRPr="00611315">
        <w:rPr>
          <w:rFonts w:ascii="Verdana" w:hAnsi="Verdana"/>
          <w:sz w:val="22"/>
          <w:szCs w:val="22"/>
        </w:rPr>
        <w:lastRenderedPageBreak/>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97120F">
        <w:rPr>
          <w:rFonts w:ascii="Verdana" w:hAnsi="Verdana"/>
          <w:noProof/>
          <w:sz w:val="22"/>
          <w:szCs w:val="22"/>
        </w:rPr>
        <w:t>29</w:t>
      </w:r>
      <w:r w:rsidRPr="00611315">
        <w:rPr>
          <w:rFonts w:ascii="Verdana" w:hAnsi="Verdana"/>
          <w:sz w:val="22"/>
          <w:szCs w:val="22"/>
        </w:rPr>
        <w:fldChar w:fldCharType="end"/>
      </w:r>
      <w:r w:rsidRPr="00611315">
        <w:rPr>
          <w:rFonts w:ascii="Verdana" w:hAnsi="Verdana"/>
          <w:sz w:val="22"/>
          <w:szCs w:val="22"/>
        </w:rPr>
        <w:t>. Opciones factor social</w:t>
      </w:r>
      <w:bookmarkEnd w:id="475"/>
    </w:p>
    <w:tbl>
      <w:tblPr>
        <w:tblStyle w:val="Tablaconcuadrcula3"/>
        <w:tblW w:w="0" w:type="auto"/>
        <w:tblInd w:w="1129" w:type="dxa"/>
        <w:tblLayout w:type="fixed"/>
        <w:tblLook w:val="06A0" w:firstRow="1" w:lastRow="0" w:firstColumn="1" w:lastColumn="0" w:noHBand="1" w:noVBand="1"/>
      </w:tblPr>
      <w:tblGrid>
        <w:gridCol w:w="4253"/>
        <w:gridCol w:w="2693"/>
      </w:tblGrid>
      <w:tr w:rsidR="004D50D7" w:rsidRPr="00611315" w14:paraId="6AF6CDE7" w14:textId="77777777" w:rsidTr="00AB3564">
        <w:trPr>
          <w:trHeight w:val="276"/>
        </w:trPr>
        <w:tc>
          <w:tcPr>
            <w:tcW w:w="4253" w:type="dxa"/>
            <w:shd w:val="clear" w:color="auto" w:fill="E7E6E6" w:themeFill="background2"/>
          </w:tcPr>
          <w:p w14:paraId="27BAF346" w14:textId="77777777" w:rsidR="004D50D7" w:rsidRPr="00AB3564" w:rsidRDefault="004D50D7" w:rsidP="004D50D7">
            <w:pPr>
              <w:spacing w:after="160" w:line="276" w:lineRule="auto"/>
              <w:jc w:val="both"/>
              <w:rPr>
                <w:rFonts w:ascii="Verdana" w:eastAsiaTheme="minorEastAsia" w:hAnsi="Verdana" w:cstheme="minorBidi"/>
                <w:b/>
                <w:color w:val="000000" w:themeColor="text1"/>
                <w:sz w:val="22"/>
                <w:szCs w:val="22"/>
                <w:lang w:eastAsia="en-US"/>
              </w:rPr>
            </w:pPr>
            <w:r w:rsidRPr="00AB3564">
              <w:rPr>
                <w:rFonts w:ascii="Verdana" w:eastAsiaTheme="minorEastAsia" w:hAnsi="Verdana" w:cstheme="minorBidi"/>
                <w:b/>
                <w:color w:val="000000" w:themeColor="text1"/>
                <w:sz w:val="22"/>
                <w:szCs w:val="22"/>
                <w:lang w:eastAsia="en-US"/>
              </w:rPr>
              <w:t>Rango de Cuantía de Presupuesto Oficial del Proceso de Selección (SMMLV)</w:t>
            </w:r>
          </w:p>
        </w:tc>
        <w:tc>
          <w:tcPr>
            <w:tcW w:w="2693" w:type="dxa"/>
            <w:shd w:val="clear" w:color="auto" w:fill="E7E6E6" w:themeFill="background2"/>
          </w:tcPr>
          <w:p w14:paraId="4A138C36" w14:textId="77777777" w:rsidR="004D50D7" w:rsidRPr="00AB3564" w:rsidRDefault="004D50D7" w:rsidP="004D50D7">
            <w:pPr>
              <w:spacing w:after="160" w:line="276" w:lineRule="auto"/>
              <w:jc w:val="both"/>
              <w:rPr>
                <w:rFonts w:ascii="Verdana" w:eastAsiaTheme="minorEastAsia" w:hAnsi="Verdana" w:cstheme="minorBidi"/>
                <w:b/>
                <w:color w:val="000000" w:themeColor="text1"/>
                <w:sz w:val="22"/>
                <w:szCs w:val="22"/>
                <w:lang w:eastAsia="en-US"/>
              </w:rPr>
            </w:pPr>
            <w:r w:rsidRPr="00AB3564">
              <w:rPr>
                <w:rFonts w:ascii="Verdana" w:eastAsiaTheme="minorEastAsia" w:hAnsi="Verdana" w:cstheme="minorBidi"/>
                <w:b/>
                <w:color w:val="000000" w:themeColor="text1"/>
                <w:sz w:val="22"/>
                <w:szCs w:val="22"/>
                <w:lang w:eastAsia="en-US"/>
              </w:rPr>
              <w:t xml:space="preserve">Número de personas </w:t>
            </w:r>
          </w:p>
        </w:tc>
      </w:tr>
      <w:tr w:rsidR="004D50D7" w:rsidRPr="00611315" w14:paraId="24BB881B" w14:textId="77777777" w:rsidTr="007C7404">
        <w:trPr>
          <w:trHeight w:val="382"/>
        </w:trPr>
        <w:tc>
          <w:tcPr>
            <w:tcW w:w="4253" w:type="dxa"/>
          </w:tcPr>
          <w:p w14:paraId="19461267" w14:textId="77777777" w:rsidR="004D50D7" w:rsidRPr="00611315" w:rsidRDefault="004D50D7" w:rsidP="004D50D7">
            <w:pPr>
              <w:spacing w:after="160" w:line="276" w:lineRule="auto"/>
              <w:jc w:val="both"/>
              <w:rPr>
                <w:rFonts w:ascii="Verdana" w:eastAsiaTheme="minorEastAsia" w:hAnsi="Verdana" w:cstheme="minorBidi"/>
                <w:color w:val="000000" w:themeColor="text1"/>
                <w:sz w:val="22"/>
                <w:szCs w:val="22"/>
                <w:lang w:eastAsia="en-US"/>
              </w:rPr>
            </w:pPr>
            <w:r w:rsidRPr="00611315">
              <w:rPr>
                <w:rFonts w:ascii="Verdana" w:eastAsiaTheme="minorEastAsia" w:hAnsi="Verdana" w:cstheme="minorBidi"/>
                <w:color w:val="000000" w:themeColor="text1"/>
                <w:sz w:val="22"/>
                <w:szCs w:val="22"/>
                <w:lang w:eastAsia="en-US"/>
              </w:rPr>
              <w:t>Entre 0 y 1.500 SMMLV</w:t>
            </w:r>
          </w:p>
        </w:tc>
        <w:tc>
          <w:tcPr>
            <w:tcW w:w="2693" w:type="dxa"/>
          </w:tcPr>
          <w:p w14:paraId="303CBA15" w14:textId="77777777" w:rsidR="004D50D7" w:rsidRPr="00611315" w:rsidRDefault="004D50D7" w:rsidP="004D50D7">
            <w:pPr>
              <w:spacing w:after="160" w:line="276" w:lineRule="auto"/>
              <w:jc w:val="center"/>
              <w:rPr>
                <w:rFonts w:ascii="Verdana" w:eastAsiaTheme="minorEastAsia" w:hAnsi="Verdana" w:cstheme="minorBidi"/>
                <w:color w:val="000000" w:themeColor="text1"/>
                <w:sz w:val="22"/>
                <w:szCs w:val="22"/>
                <w:lang w:val="es-ES" w:eastAsia="en-US"/>
              </w:rPr>
            </w:pPr>
            <w:r w:rsidRPr="00611315">
              <w:rPr>
                <w:rFonts w:ascii="Verdana" w:eastAsiaTheme="minorEastAsia" w:hAnsi="Verdana" w:cstheme="minorBidi"/>
                <w:color w:val="000000" w:themeColor="text1"/>
                <w:sz w:val="22"/>
                <w:szCs w:val="22"/>
                <w:lang w:val="es-ES" w:eastAsia="en-US"/>
              </w:rPr>
              <w:t>1</w:t>
            </w:r>
          </w:p>
        </w:tc>
      </w:tr>
      <w:tr w:rsidR="004D50D7" w:rsidRPr="00611315" w14:paraId="0121A99A" w14:textId="77777777" w:rsidTr="007C7404">
        <w:trPr>
          <w:trHeight w:val="276"/>
        </w:trPr>
        <w:tc>
          <w:tcPr>
            <w:tcW w:w="4253" w:type="dxa"/>
          </w:tcPr>
          <w:p w14:paraId="49612A6E" w14:textId="77777777" w:rsidR="004D50D7" w:rsidRPr="00611315" w:rsidRDefault="004D50D7" w:rsidP="004D50D7">
            <w:pPr>
              <w:spacing w:after="160" w:line="276" w:lineRule="auto"/>
              <w:jc w:val="both"/>
              <w:rPr>
                <w:rFonts w:ascii="Verdana" w:eastAsiaTheme="minorEastAsia" w:hAnsi="Verdana" w:cstheme="minorBidi"/>
                <w:color w:val="000000" w:themeColor="text1"/>
                <w:sz w:val="22"/>
                <w:szCs w:val="22"/>
                <w:lang w:eastAsia="en-US"/>
              </w:rPr>
            </w:pPr>
            <w:r w:rsidRPr="00611315">
              <w:rPr>
                <w:rFonts w:ascii="Verdana" w:eastAsiaTheme="minorEastAsia" w:hAnsi="Verdana" w:cstheme="minorBidi"/>
                <w:color w:val="000000" w:themeColor="text1"/>
                <w:sz w:val="22"/>
                <w:szCs w:val="22"/>
                <w:lang w:val="es-ES" w:eastAsia="en-US"/>
              </w:rPr>
              <w:t>Entre 1.501 y 8.000 SMMLV</w:t>
            </w:r>
          </w:p>
        </w:tc>
        <w:tc>
          <w:tcPr>
            <w:tcW w:w="2693" w:type="dxa"/>
          </w:tcPr>
          <w:p w14:paraId="2FA5A7C3" w14:textId="77777777" w:rsidR="004D50D7" w:rsidRPr="00611315" w:rsidRDefault="004D50D7" w:rsidP="004D50D7">
            <w:pPr>
              <w:spacing w:after="160" w:line="276" w:lineRule="auto"/>
              <w:jc w:val="center"/>
              <w:rPr>
                <w:rFonts w:ascii="Verdana" w:eastAsiaTheme="minorEastAsia" w:hAnsi="Verdana" w:cstheme="minorBidi"/>
                <w:color w:val="000000" w:themeColor="text1"/>
                <w:sz w:val="22"/>
                <w:szCs w:val="22"/>
                <w:lang w:val="es-ES" w:eastAsia="en-US"/>
              </w:rPr>
            </w:pPr>
            <w:r w:rsidRPr="00611315">
              <w:rPr>
                <w:rFonts w:ascii="Verdana" w:eastAsiaTheme="minorEastAsia" w:hAnsi="Verdana" w:cstheme="minorBidi"/>
                <w:color w:val="000000" w:themeColor="text1"/>
                <w:sz w:val="22"/>
                <w:szCs w:val="22"/>
                <w:lang w:val="es-ES" w:eastAsia="en-US"/>
              </w:rPr>
              <w:t>2</w:t>
            </w:r>
          </w:p>
        </w:tc>
      </w:tr>
      <w:tr w:rsidR="004D50D7" w:rsidRPr="00611315" w14:paraId="428BF529" w14:textId="77777777" w:rsidTr="007C7404">
        <w:trPr>
          <w:trHeight w:val="276"/>
        </w:trPr>
        <w:tc>
          <w:tcPr>
            <w:tcW w:w="4253" w:type="dxa"/>
          </w:tcPr>
          <w:p w14:paraId="0374308C" w14:textId="77777777" w:rsidR="004D50D7" w:rsidRPr="00611315" w:rsidRDefault="004D50D7" w:rsidP="004D50D7">
            <w:pPr>
              <w:spacing w:after="160" w:line="276" w:lineRule="auto"/>
              <w:jc w:val="both"/>
              <w:rPr>
                <w:rFonts w:ascii="Verdana" w:eastAsiaTheme="minorEastAsia" w:hAnsi="Verdana" w:cstheme="minorBidi"/>
                <w:color w:val="000000" w:themeColor="text1"/>
                <w:sz w:val="22"/>
                <w:szCs w:val="22"/>
                <w:lang w:eastAsia="en-US"/>
              </w:rPr>
            </w:pPr>
            <w:r w:rsidRPr="00611315">
              <w:rPr>
                <w:rFonts w:ascii="Verdana" w:eastAsiaTheme="minorEastAsia" w:hAnsi="Verdana" w:cstheme="minorBidi"/>
                <w:color w:val="000000" w:themeColor="text1"/>
                <w:sz w:val="22"/>
                <w:szCs w:val="22"/>
                <w:lang w:val="es-ES" w:eastAsia="en-US"/>
              </w:rPr>
              <w:t>Entre 8.001 y 10.000 SMMLV</w:t>
            </w:r>
          </w:p>
        </w:tc>
        <w:tc>
          <w:tcPr>
            <w:tcW w:w="2693" w:type="dxa"/>
          </w:tcPr>
          <w:p w14:paraId="1B7715CC" w14:textId="77777777" w:rsidR="004D50D7" w:rsidRPr="00611315" w:rsidRDefault="004D50D7" w:rsidP="004D50D7">
            <w:pPr>
              <w:spacing w:after="160" w:line="276" w:lineRule="auto"/>
              <w:jc w:val="center"/>
              <w:rPr>
                <w:rFonts w:ascii="Verdana" w:eastAsiaTheme="minorEastAsia" w:hAnsi="Verdana" w:cstheme="minorBidi"/>
                <w:color w:val="000000" w:themeColor="text1"/>
                <w:sz w:val="22"/>
                <w:szCs w:val="22"/>
                <w:lang w:val="es-ES" w:eastAsia="en-US"/>
              </w:rPr>
            </w:pPr>
            <w:r w:rsidRPr="00611315">
              <w:rPr>
                <w:rFonts w:ascii="Verdana" w:eastAsiaTheme="minorEastAsia" w:hAnsi="Verdana" w:cstheme="minorBidi"/>
                <w:color w:val="000000" w:themeColor="text1"/>
                <w:sz w:val="22"/>
                <w:szCs w:val="22"/>
                <w:lang w:val="es-ES" w:eastAsia="en-US"/>
              </w:rPr>
              <w:t>3</w:t>
            </w:r>
          </w:p>
        </w:tc>
      </w:tr>
      <w:tr w:rsidR="004D50D7" w:rsidRPr="00611315" w14:paraId="462C4BE7" w14:textId="77777777" w:rsidTr="007C7404">
        <w:trPr>
          <w:trHeight w:val="276"/>
        </w:trPr>
        <w:tc>
          <w:tcPr>
            <w:tcW w:w="4253" w:type="dxa"/>
          </w:tcPr>
          <w:p w14:paraId="0E48F103" w14:textId="77777777" w:rsidR="004D50D7" w:rsidRPr="00611315" w:rsidRDefault="004D50D7" w:rsidP="004D50D7">
            <w:pPr>
              <w:spacing w:after="160" w:line="276" w:lineRule="auto"/>
              <w:jc w:val="both"/>
              <w:rPr>
                <w:rFonts w:ascii="Verdana" w:eastAsiaTheme="minorEastAsia" w:hAnsi="Verdana" w:cstheme="minorBidi"/>
                <w:color w:val="000000" w:themeColor="text1"/>
                <w:sz w:val="22"/>
                <w:szCs w:val="22"/>
                <w:lang w:val="es-ES" w:eastAsia="en-US"/>
              </w:rPr>
            </w:pPr>
            <w:r w:rsidRPr="00611315">
              <w:rPr>
                <w:rFonts w:ascii="Verdana" w:eastAsiaTheme="minorEastAsia" w:hAnsi="Verdana" w:cstheme="minorBidi"/>
                <w:color w:val="000000" w:themeColor="text1"/>
                <w:sz w:val="22"/>
                <w:szCs w:val="22"/>
                <w:lang w:val="es-ES" w:eastAsia="en-US"/>
              </w:rPr>
              <w:t>Mayor o igual a 10.001 SMMLV</w:t>
            </w:r>
          </w:p>
        </w:tc>
        <w:tc>
          <w:tcPr>
            <w:tcW w:w="2693" w:type="dxa"/>
          </w:tcPr>
          <w:p w14:paraId="1F52CA6C" w14:textId="77777777" w:rsidR="004D50D7" w:rsidRPr="00611315" w:rsidRDefault="004D50D7" w:rsidP="004D50D7">
            <w:pPr>
              <w:spacing w:after="160" w:line="276" w:lineRule="auto"/>
              <w:jc w:val="center"/>
              <w:rPr>
                <w:rFonts w:ascii="Verdana" w:eastAsiaTheme="minorEastAsia" w:hAnsi="Verdana" w:cstheme="minorBidi"/>
                <w:color w:val="000000" w:themeColor="text1"/>
                <w:sz w:val="22"/>
                <w:szCs w:val="22"/>
                <w:lang w:val="es-ES" w:eastAsia="en-US"/>
              </w:rPr>
            </w:pPr>
            <w:r w:rsidRPr="00611315">
              <w:rPr>
                <w:rFonts w:ascii="Verdana" w:eastAsiaTheme="minorEastAsia" w:hAnsi="Verdana" w:cstheme="minorBidi"/>
                <w:color w:val="000000" w:themeColor="text1"/>
                <w:sz w:val="22"/>
                <w:szCs w:val="22"/>
                <w:lang w:val="es-ES" w:eastAsia="en-US"/>
              </w:rPr>
              <w:t>4</w:t>
            </w:r>
          </w:p>
        </w:tc>
      </w:tr>
    </w:tbl>
    <w:p w14:paraId="262C9917" w14:textId="42412F4B" w:rsidR="00592263" w:rsidRPr="0097120F" w:rsidRDefault="00592263" w:rsidP="00954F93">
      <w:pPr>
        <w:jc w:val="center"/>
        <w:rPr>
          <w:rFonts w:ascii="Verdana" w:eastAsia="Verdana Pro" w:hAnsi="Verdana" w:cs="Verdana Pro"/>
          <w:color w:val="000000" w:themeColor="text1"/>
          <w:sz w:val="32"/>
          <w:szCs w:val="32"/>
          <w:lang w:val="es-MX"/>
        </w:rPr>
      </w:pPr>
      <w:r w:rsidRPr="0097120F">
        <w:rPr>
          <w:rFonts w:ascii="Verdana" w:eastAsia="Verdana Pro" w:hAnsi="Verdana" w:cs="Verdana Pro"/>
          <w:b/>
          <w:bCs/>
          <w:color w:val="000000" w:themeColor="text1"/>
          <w:sz w:val="22"/>
          <w:szCs w:val="22"/>
          <w:lang w:val="es-MX"/>
        </w:rPr>
        <w:t>Fuente</w:t>
      </w:r>
      <w:r w:rsidRPr="0097120F">
        <w:rPr>
          <w:rFonts w:ascii="Verdana" w:eastAsia="Verdana Pro" w:hAnsi="Verdana" w:cs="Verdana Pro"/>
          <w:color w:val="000000" w:themeColor="text1"/>
          <w:sz w:val="22"/>
          <w:szCs w:val="22"/>
          <w:lang w:val="es-MX"/>
        </w:rPr>
        <w:t>: elaboración propia</w:t>
      </w:r>
    </w:p>
    <w:p w14:paraId="65612DF1" w14:textId="77777777" w:rsidR="00592263" w:rsidRPr="00611315" w:rsidRDefault="00592263" w:rsidP="13B8AE1C">
      <w:pPr>
        <w:jc w:val="both"/>
        <w:rPr>
          <w:rFonts w:ascii="Verdana" w:eastAsia="Verdana Pro" w:hAnsi="Verdana" w:cs="Verdana Pro"/>
          <w:color w:val="000000" w:themeColor="text1"/>
          <w:sz w:val="22"/>
          <w:szCs w:val="22"/>
          <w:lang w:val="es-MX"/>
        </w:rPr>
      </w:pPr>
    </w:p>
    <w:p w14:paraId="548CBDD6" w14:textId="75369E61" w:rsidR="00B8493E" w:rsidRPr="00611315" w:rsidRDefault="00B8493E" w:rsidP="13B8AE1C">
      <w:pPr>
        <w:jc w:val="both"/>
        <w:rPr>
          <w:rFonts w:ascii="Verdana" w:hAnsi="Verdana" w:cs="Arial"/>
          <w:sz w:val="22"/>
          <w:szCs w:val="22"/>
        </w:rPr>
      </w:pPr>
      <w:r w:rsidRPr="00611315">
        <w:rPr>
          <w:rFonts w:ascii="Verdana" w:hAnsi="Verdana" w:cs="Arial"/>
          <w:sz w:val="22"/>
          <w:szCs w:val="22"/>
        </w:rPr>
        <w:t>Finalmente,</w:t>
      </w:r>
      <w:r w:rsidR="002F5E87" w:rsidRPr="00611315">
        <w:rPr>
          <w:rFonts w:ascii="Verdana" w:hAnsi="Verdana" w:cs="Arial"/>
          <w:sz w:val="22"/>
          <w:szCs w:val="22"/>
        </w:rPr>
        <w:t xml:space="preserve"> </w:t>
      </w:r>
      <w:r w:rsidR="00236AE1" w:rsidRPr="00611315">
        <w:rPr>
          <w:rFonts w:ascii="Verdana" w:hAnsi="Verdana" w:cs="Arial"/>
          <w:sz w:val="22"/>
          <w:szCs w:val="22"/>
        </w:rPr>
        <w:t xml:space="preserve">la justificación para </w:t>
      </w:r>
      <w:r w:rsidR="005D227F" w:rsidRPr="00611315">
        <w:rPr>
          <w:rFonts w:ascii="Verdana" w:hAnsi="Verdana" w:cs="Arial"/>
          <w:sz w:val="22"/>
          <w:szCs w:val="22"/>
        </w:rPr>
        <w:t xml:space="preserve">la incorporación de </w:t>
      </w:r>
      <w:r w:rsidR="00236AE1" w:rsidRPr="00611315">
        <w:rPr>
          <w:rFonts w:ascii="Verdana" w:hAnsi="Verdana" w:cs="Arial"/>
          <w:sz w:val="22"/>
          <w:szCs w:val="22"/>
        </w:rPr>
        <w:t xml:space="preserve">los </w:t>
      </w:r>
      <w:r w:rsidR="005D227F" w:rsidRPr="00611315">
        <w:rPr>
          <w:rFonts w:ascii="Verdana" w:hAnsi="Verdana" w:cs="Arial"/>
          <w:sz w:val="22"/>
          <w:szCs w:val="22"/>
        </w:rPr>
        <w:t>criterios ambientales y sociales en los documentos tipo</w:t>
      </w:r>
      <w:r w:rsidR="00236AE1" w:rsidRPr="00611315">
        <w:rPr>
          <w:rFonts w:ascii="Verdana" w:hAnsi="Verdana" w:cs="Arial"/>
          <w:sz w:val="22"/>
          <w:szCs w:val="22"/>
        </w:rPr>
        <w:t xml:space="preserve"> de agua potable y saneamiento básico</w:t>
      </w:r>
      <w:r w:rsidR="005D227F" w:rsidRPr="00611315">
        <w:rPr>
          <w:rFonts w:ascii="Verdana" w:hAnsi="Verdana" w:cs="Arial"/>
          <w:sz w:val="22"/>
          <w:szCs w:val="22"/>
        </w:rPr>
        <w:t xml:space="preserve">, se encuentra </w:t>
      </w:r>
      <w:r w:rsidR="0059048B" w:rsidRPr="00611315">
        <w:rPr>
          <w:rFonts w:ascii="Verdana" w:hAnsi="Verdana" w:cs="Arial"/>
          <w:sz w:val="22"/>
          <w:szCs w:val="22"/>
        </w:rPr>
        <w:t xml:space="preserve">ampliamente </w:t>
      </w:r>
      <w:r w:rsidR="005D227F" w:rsidRPr="00611315">
        <w:rPr>
          <w:rFonts w:ascii="Verdana" w:hAnsi="Verdana" w:cs="Arial"/>
          <w:sz w:val="22"/>
          <w:szCs w:val="22"/>
        </w:rPr>
        <w:t>desarrollad</w:t>
      </w:r>
      <w:r w:rsidR="0059048B" w:rsidRPr="00611315">
        <w:rPr>
          <w:rFonts w:ascii="Verdana" w:hAnsi="Verdana" w:cs="Arial"/>
          <w:sz w:val="22"/>
          <w:szCs w:val="22"/>
        </w:rPr>
        <w:t>a</w:t>
      </w:r>
      <w:r w:rsidR="005D227F" w:rsidRPr="00611315">
        <w:rPr>
          <w:rFonts w:ascii="Verdana" w:hAnsi="Verdana" w:cs="Arial"/>
          <w:sz w:val="22"/>
          <w:szCs w:val="22"/>
        </w:rPr>
        <w:t xml:space="preserve"> en el </w:t>
      </w:r>
      <w:r w:rsidR="0059048B" w:rsidRPr="00611315">
        <w:rPr>
          <w:rFonts w:ascii="Verdana" w:hAnsi="Verdana" w:cs="Arial"/>
          <w:sz w:val="22"/>
          <w:szCs w:val="22"/>
        </w:rPr>
        <w:t>numeral 2.4</w:t>
      </w:r>
      <w:r w:rsidR="005D227F" w:rsidRPr="00611315">
        <w:rPr>
          <w:rFonts w:ascii="Verdana" w:hAnsi="Verdana" w:cs="Arial"/>
          <w:sz w:val="22"/>
          <w:szCs w:val="22"/>
        </w:rPr>
        <w:t xml:space="preserve"> “Incorporación de criterios ambientales y sociales en los procesos de contratación</w:t>
      </w:r>
      <w:r w:rsidR="007D2C35" w:rsidRPr="00611315">
        <w:rPr>
          <w:rFonts w:ascii="Verdana" w:hAnsi="Verdana" w:cs="Arial"/>
          <w:sz w:val="22"/>
          <w:szCs w:val="22"/>
        </w:rPr>
        <w:t xml:space="preserve"> de acuerdo con el decreto </w:t>
      </w:r>
      <w:r w:rsidR="005D227F" w:rsidRPr="00611315">
        <w:rPr>
          <w:rFonts w:ascii="Verdana" w:hAnsi="Verdana" w:cs="Arial"/>
          <w:sz w:val="22"/>
          <w:szCs w:val="22"/>
        </w:rPr>
        <w:t>142 de 2023” contenido en la memoria justificativa</w:t>
      </w:r>
      <w:r w:rsidR="002520CB" w:rsidRPr="00611315">
        <w:rPr>
          <w:rFonts w:ascii="Verdana" w:hAnsi="Verdana" w:cs="Arial"/>
          <w:sz w:val="22"/>
          <w:szCs w:val="22"/>
        </w:rPr>
        <w:t xml:space="preserve"> de la resolución</w:t>
      </w:r>
      <w:r w:rsidR="005D227F" w:rsidRPr="00611315">
        <w:rPr>
          <w:rFonts w:ascii="Verdana" w:hAnsi="Verdana" w:cs="Arial"/>
          <w:sz w:val="22"/>
          <w:szCs w:val="22"/>
        </w:rPr>
        <w:t xml:space="preserve"> </w:t>
      </w:r>
      <w:r w:rsidR="00CF4C46" w:rsidRPr="00611315">
        <w:rPr>
          <w:rFonts w:ascii="Verdana" w:hAnsi="Verdana" w:cs="Arial"/>
          <w:sz w:val="22"/>
          <w:szCs w:val="22"/>
        </w:rPr>
        <w:t>“</w:t>
      </w:r>
      <w:r w:rsidR="005E0A54" w:rsidRPr="00611315">
        <w:rPr>
          <w:rFonts w:ascii="Verdana" w:hAnsi="Verdana" w:cs="Arial"/>
          <w:sz w:val="22"/>
          <w:szCs w:val="22"/>
        </w:rPr>
        <w:t>Por la cual se adopta la versión -2- de los documentos tipo para los procesos de licitación pública para obras de infraestructura de agua potable, saneamiento básico y estructuras hidráulicas; y se deroga la Resolución 248 de 2020</w:t>
      </w:r>
      <w:r w:rsidR="00EB79DD" w:rsidRPr="00611315">
        <w:rPr>
          <w:rFonts w:ascii="Verdana" w:hAnsi="Verdana" w:cs="Arial"/>
          <w:sz w:val="22"/>
          <w:szCs w:val="22"/>
        </w:rPr>
        <w:t>”.</w:t>
      </w:r>
      <w:r w:rsidR="00EB79DD" w:rsidRPr="00611315">
        <w:rPr>
          <w:rFonts w:ascii="Verdana" w:hAnsi="Verdana"/>
        </w:rPr>
        <w:t xml:space="preserve"> </w:t>
      </w:r>
    </w:p>
    <w:p w14:paraId="312DE8B4" w14:textId="65DFC2BF" w:rsidR="00F20A47" w:rsidRPr="00611315" w:rsidRDefault="006E0A9E" w:rsidP="00E42FDE">
      <w:pPr>
        <w:pStyle w:val="Ttulo1"/>
        <w:numPr>
          <w:ilvl w:val="0"/>
          <w:numId w:val="44"/>
        </w:numPr>
        <w:jc w:val="both"/>
        <w:rPr>
          <w:rFonts w:ascii="Verdana" w:hAnsi="Verdana" w:cs="Arial"/>
          <w:color w:val="auto"/>
          <w:szCs w:val="22"/>
        </w:rPr>
      </w:pPr>
      <w:bookmarkStart w:id="476" w:name="_Toc199136715"/>
      <w:bookmarkStart w:id="477" w:name="_Toc199138474"/>
      <w:bookmarkStart w:id="478" w:name="_Toc199138593"/>
      <w:bookmarkStart w:id="479" w:name="_Toc199138760"/>
      <w:bookmarkStart w:id="480" w:name="_Toc199138928"/>
      <w:bookmarkStart w:id="481" w:name="_Toc199139094"/>
      <w:bookmarkStart w:id="482" w:name="_Toc199139260"/>
      <w:bookmarkStart w:id="483" w:name="_Toc199139802"/>
      <w:bookmarkStart w:id="484" w:name="_Toc199140239"/>
      <w:bookmarkStart w:id="485" w:name="_Toc199136716"/>
      <w:bookmarkStart w:id="486" w:name="_Toc199138475"/>
      <w:bookmarkStart w:id="487" w:name="_Toc199138594"/>
      <w:bookmarkStart w:id="488" w:name="_Toc199138761"/>
      <w:bookmarkStart w:id="489" w:name="_Toc199138929"/>
      <w:bookmarkStart w:id="490" w:name="_Toc199139095"/>
      <w:bookmarkStart w:id="491" w:name="_Toc199139261"/>
      <w:bookmarkStart w:id="492" w:name="_Toc199139803"/>
      <w:bookmarkStart w:id="493" w:name="_Toc199140240"/>
      <w:bookmarkStart w:id="494" w:name="_Toc199136717"/>
      <w:bookmarkStart w:id="495" w:name="_Toc199138476"/>
      <w:bookmarkStart w:id="496" w:name="_Toc199138595"/>
      <w:bookmarkStart w:id="497" w:name="_Toc199138762"/>
      <w:bookmarkStart w:id="498" w:name="_Toc199138930"/>
      <w:bookmarkStart w:id="499" w:name="_Toc199139096"/>
      <w:bookmarkStart w:id="500" w:name="_Toc199139262"/>
      <w:bookmarkStart w:id="501" w:name="_Toc199139804"/>
      <w:bookmarkStart w:id="502" w:name="_Toc199140241"/>
      <w:bookmarkStart w:id="503" w:name="_Toc199136718"/>
      <w:bookmarkStart w:id="504" w:name="_Toc199138477"/>
      <w:bookmarkStart w:id="505" w:name="_Toc199138596"/>
      <w:bookmarkStart w:id="506" w:name="_Toc199138763"/>
      <w:bookmarkStart w:id="507" w:name="_Toc199138931"/>
      <w:bookmarkStart w:id="508" w:name="_Toc199139097"/>
      <w:bookmarkStart w:id="509" w:name="_Toc199139263"/>
      <w:bookmarkStart w:id="510" w:name="_Toc199139805"/>
      <w:bookmarkStart w:id="511" w:name="_Toc199140242"/>
      <w:bookmarkStart w:id="512" w:name="_Toc231368617"/>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r w:rsidRPr="00611315">
        <w:rPr>
          <w:rFonts w:ascii="Verdana" w:hAnsi="Verdana" w:cs="Arial"/>
          <w:color w:val="auto"/>
          <w:szCs w:val="22"/>
        </w:rPr>
        <w:t xml:space="preserve">CARACTERIZACIÓN DE LAS MIPYME, EMPRENDIMIENTOS Y EMPRESAS DE MUJERES Y </w:t>
      </w:r>
      <w:r>
        <w:rPr>
          <w:rFonts w:ascii="Verdana" w:hAnsi="Verdana" w:cs="Arial"/>
          <w:color w:val="auto"/>
          <w:szCs w:val="22"/>
        </w:rPr>
        <w:t>E</w:t>
      </w:r>
      <w:r w:rsidRPr="00611315">
        <w:rPr>
          <w:rFonts w:ascii="Verdana" w:hAnsi="Verdana" w:cs="Arial"/>
          <w:color w:val="auto"/>
          <w:szCs w:val="22"/>
        </w:rPr>
        <w:t>MPRENDIMIENTOS Y EMPRESAS DE PERSONAS EN DISCAPACIDAD.</w:t>
      </w:r>
      <w:bookmarkEnd w:id="512"/>
      <w:r w:rsidRPr="00611315">
        <w:rPr>
          <w:rFonts w:ascii="Verdana" w:hAnsi="Verdana" w:cs="Arial"/>
          <w:color w:val="auto"/>
          <w:szCs w:val="22"/>
        </w:rPr>
        <w:t xml:space="preserve"> </w:t>
      </w:r>
    </w:p>
    <w:p w14:paraId="18BD6126" w14:textId="77777777" w:rsidR="0082737A" w:rsidRPr="00611315" w:rsidRDefault="0082737A" w:rsidP="0001608E">
      <w:pPr>
        <w:rPr>
          <w:rFonts w:ascii="Verdana" w:hAnsi="Verdana" w:cs="Arial"/>
          <w:sz w:val="22"/>
          <w:szCs w:val="22"/>
        </w:rPr>
      </w:pPr>
    </w:p>
    <w:p w14:paraId="1232B00B" w14:textId="0FF43380" w:rsidR="00097152" w:rsidRPr="00611315" w:rsidRDefault="006E0A9E" w:rsidP="00E42FDE">
      <w:pPr>
        <w:pStyle w:val="Prrafodelista"/>
        <w:numPr>
          <w:ilvl w:val="0"/>
          <w:numId w:val="50"/>
        </w:numPr>
        <w:rPr>
          <w:rFonts w:ascii="Verdana" w:eastAsia="Times New Roman" w:hAnsi="Verdana" w:cs="Arial"/>
          <w:b/>
          <w:lang w:eastAsia="es-MX"/>
        </w:rPr>
      </w:pPr>
      <w:r w:rsidRPr="00611315">
        <w:rPr>
          <w:rFonts w:ascii="Verdana" w:eastAsia="Times New Roman" w:hAnsi="Verdana" w:cs="Arial"/>
          <w:b/>
          <w:lang w:eastAsia="es-MX"/>
        </w:rPr>
        <w:t>MIPYMES</w:t>
      </w:r>
    </w:p>
    <w:p w14:paraId="526AD989" w14:textId="77777777" w:rsidR="00EE1644" w:rsidRPr="00611315" w:rsidRDefault="00EE1644" w:rsidP="00447A32">
      <w:pPr>
        <w:pStyle w:val="Normal0"/>
        <w:spacing w:after="0"/>
        <w:rPr>
          <w:rFonts w:ascii="Verdana" w:eastAsia="Times New Roman" w:hAnsi="Verdana" w:cs="Arial"/>
          <w:lang w:val="es-CO" w:eastAsia="es-MX"/>
        </w:rPr>
      </w:pPr>
      <w:r w:rsidRPr="00611315">
        <w:rPr>
          <w:rFonts w:ascii="Verdana" w:eastAsia="Times New Roman" w:hAnsi="Verdana" w:cs="Arial"/>
          <w:lang w:val="es-CO" w:eastAsia="es-MX"/>
        </w:rPr>
        <w:t>Según la OIT “Las microempresas y las pequeñas y medianas empresas (comúnmente conocidas como pymes) engloban más de dos tercios de la totalidad del empleo en el mundo y, además, generan la mayor parte de los nuevos puestos de trabajo”</w:t>
      </w:r>
      <w:r w:rsidRPr="00611315">
        <w:rPr>
          <w:rFonts w:ascii="Verdana" w:eastAsia="Times New Roman" w:hAnsi="Verdana" w:cs="Arial"/>
          <w:vertAlign w:val="superscript"/>
          <w:lang w:val="es-CO" w:eastAsia="es-MX"/>
        </w:rPr>
        <w:footnoteReference w:id="45"/>
      </w:r>
      <w:r w:rsidRPr="00611315">
        <w:rPr>
          <w:rFonts w:ascii="Verdana" w:eastAsia="Times New Roman" w:hAnsi="Verdana" w:cs="Arial"/>
          <w:lang w:val="es-CO" w:eastAsia="es-MX"/>
        </w:rPr>
        <w:t>, en torno a ello en los últimos años se han adoptado medidas tendientes a fortalecer las pequeñas y medianas empresas como motor de crecimiento, desarrollo y reactivación económica.</w:t>
      </w:r>
    </w:p>
    <w:p w14:paraId="682841EC" w14:textId="77777777" w:rsidR="00EE1644" w:rsidRPr="00611315" w:rsidRDefault="00EE1644" w:rsidP="00447A32">
      <w:pPr>
        <w:pStyle w:val="Normal0"/>
        <w:spacing w:after="0"/>
        <w:rPr>
          <w:rFonts w:ascii="Verdana" w:eastAsia="Times New Roman" w:hAnsi="Verdana" w:cs="Arial"/>
          <w:lang w:val="es-CO" w:eastAsia="es-MX"/>
        </w:rPr>
      </w:pPr>
    </w:p>
    <w:p w14:paraId="6B75DCD0" w14:textId="77777777" w:rsidR="00EE1644" w:rsidRPr="00611315" w:rsidRDefault="00EE1644" w:rsidP="00447A32">
      <w:pPr>
        <w:pStyle w:val="Normal0"/>
        <w:spacing w:after="0"/>
        <w:rPr>
          <w:rFonts w:ascii="Verdana" w:eastAsia="Times New Roman" w:hAnsi="Verdana" w:cs="Arial"/>
          <w:lang w:val="es-CO" w:eastAsia="es-MX"/>
        </w:rPr>
      </w:pPr>
      <w:r w:rsidRPr="00611315">
        <w:rPr>
          <w:rFonts w:ascii="Verdana" w:eastAsia="Times New Roman" w:hAnsi="Verdana" w:cs="Arial"/>
          <w:lang w:val="es-CO" w:eastAsia="es-MX"/>
        </w:rPr>
        <w:t xml:space="preserve">La OIT manifiesta que, si bien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son un elemento fundamental en la generación de empleo en América Latina, sus niveles de productividad tienden a ser menores en relación con otras regiones del mundo</w:t>
      </w:r>
      <w:r w:rsidRPr="00611315">
        <w:rPr>
          <w:rFonts w:ascii="Verdana" w:eastAsia="Times New Roman" w:hAnsi="Verdana" w:cs="Arial"/>
          <w:vertAlign w:val="superscript"/>
          <w:lang w:val="es-CO" w:eastAsia="es-MX"/>
        </w:rPr>
        <w:footnoteReference w:id="46"/>
      </w:r>
      <w:r w:rsidRPr="00611315">
        <w:rPr>
          <w:rFonts w:ascii="Verdana" w:eastAsia="Times New Roman" w:hAnsi="Verdana" w:cs="Arial"/>
          <w:lang w:val="es-CO" w:eastAsia="es-MX"/>
        </w:rPr>
        <w:t>. En este sentido, el ambiente de negocios en el que estas empresas operan en la región comúnmente frena su productividad e impide su desarrollo y competitividad</w:t>
      </w:r>
      <w:r w:rsidRPr="00611315">
        <w:rPr>
          <w:rFonts w:ascii="Verdana" w:eastAsia="Times New Roman" w:hAnsi="Verdana" w:cs="Arial"/>
          <w:vertAlign w:val="superscript"/>
          <w:lang w:val="es-CO" w:eastAsia="es-MX"/>
        </w:rPr>
        <w:footnoteReference w:id="47"/>
      </w:r>
      <w:r w:rsidRPr="00611315">
        <w:rPr>
          <w:rFonts w:ascii="Verdana" w:eastAsia="Times New Roman" w:hAnsi="Verdana" w:cs="Arial"/>
          <w:lang w:val="es-CO" w:eastAsia="es-MX"/>
        </w:rPr>
        <w:t xml:space="preserve">. Al respecto, este organismo señala que, en la fase de recuperación, las políticas públicas orientadas a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deben tener en cuenta las problemáticas en el ambiente de negocios de cada país. Algunos de los obstáculos más comunes son: la competencia desleal por parte de los competidores informales, la falta de acceso a financiamiento, la escasa participación de la mujer en el mercado laboral, la falta de innovación, entre otros</w:t>
      </w:r>
      <w:r w:rsidRPr="00611315">
        <w:rPr>
          <w:rFonts w:ascii="Verdana" w:eastAsia="Times New Roman" w:hAnsi="Verdana" w:cs="Arial"/>
          <w:vertAlign w:val="superscript"/>
          <w:lang w:val="es-CO" w:eastAsia="es-MX"/>
        </w:rPr>
        <w:footnoteReference w:id="48"/>
      </w:r>
      <w:r w:rsidRPr="00611315">
        <w:rPr>
          <w:rFonts w:ascii="Verdana" w:eastAsia="Times New Roman" w:hAnsi="Verdana" w:cs="Arial"/>
          <w:lang w:val="es-CO" w:eastAsia="es-MX"/>
        </w:rPr>
        <w:t xml:space="preserve">. Estos factores impiden a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alcanzar su más amplio potencial productivo, por lo que las políticas implementadas en la fase de recuperación deben considerar las características y limitantes del entorno del mercado.</w:t>
      </w:r>
    </w:p>
    <w:p w14:paraId="23A50EDA" w14:textId="77777777" w:rsidR="00EE1644" w:rsidRPr="00611315" w:rsidRDefault="00EE1644" w:rsidP="00447A32">
      <w:pPr>
        <w:pStyle w:val="Normal0"/>
        <w:spacing w:after="0"/>
        <w:rPr>
          <w:rFonts w:ascii="Verdana" w:eastAsia="Times New Roman" w:hAnsi="Verdana" w:cs="Arial"/>
          <w:lang w:val="es-CO" w:eastAsia="es-MX"/>
        </w:rPr>
      </w:pPr>
    </w:p>
    <w:p w14:paraId="0E377B45" w14:textId="77777777" w:rsidR="00EE1644" w:rsidRPr="00611315" w:rsidRDefault="00EE1644" w:rsidP="00447A32">
      <w:pPr>
        <w:pStyle w:val="Normal0"/>
        <w:spacing w:after="0"/>
        <w:rPr>
          <w:rFonts w:ascii="Verdana" w:eastAsia="Times New Roman" w:hAnsi="Verdana" w:cs="Arial"/>
          <w:lang w:val="es-CO" w:eastAsia="es-MX"/>
        </w:rPr>
      </w:pPr>
      <w:r w:rsidRPr="00611315">
        <w:rPr>
          <w:rFonts w:ascii="Verdana" w:eastAsia="Times New Roman" w:hAnsi="Verdana" w:cs="Arial"/>
          <w:lang w:val="es-CO" w:eastAsia="es-MX"/>
        </w:rPr>
        <w:t xml:space="preserve">Bajo esta perspectiva y en la búsqueda de fortalecer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en Colombia, se expidió la Ley 2069 del 31 de diciembre de 2020, “Por medio de la cual se impulsa el emprendimiento en Colombia”, la cual establece un marco regulatorio que propicia el emprendimiento, crecimiento, consolidación y sostenibilidad de las empresas, con el fin de aumentar el bienestar social y generar equidad. Según la exposición de motivos del proyecto que originó la Ley de Emprendimiento, esta norma “[…] propone facilitar el acceso de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a la modalidad de contratación de mínima cuantía, la limitación de estos procesos a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define la posibilidad de establecer criterios diferenciales a favor de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en los procesos de contratación pública, amplía el ámbito de aplicación de las medidas de compras públicas a Entidades que hoy están excluidas, establece la creación de un sistema de información e indicadores para evaluar la efectividad de las medidas adoptadas y define la inclusión de factores de desempate en los procesos de contratación pública que priorizan este segmento"</w:t>
      </w:r>
      <w:r w:rsidRPr="00611315">
        <w:rPr>
          <w:rFonts w:ascii="Verdana" w:eastAsia="Times New Roman" w:hAnsi="Verdana" w:cs="Arial"/>
          <w:vertAlign w:val="superscript"/>
          <w:lang w:val="es-CO" w:eastAsia="es-MX"/>
        </w:rPr>
        <w:footnoteReference w:id="49"/>
      </w:r>
      <w:r w:rsidRPr="00611315">
        <w:rPr>
          <w:rFonts w:ascii="Verdana" w:eastAsia="Times New Roman" w:hAnsi="Verdana" w:cs="Arial"/>
          <w:lang w:val="es-CO" w:eastAsia="es-MX"/>
        </w:rPr>
        <w:t>.</w:t>
      </w:r>
    </w:p>
    <w:p w14:paraId="0180B0C8" w14:textId="77777777" w:rsidR="00EE1644" w:rsidRPr="00611315" w:rsidRDefault="00EE1644" w:rsidP="00447A32">
      <w:pPr>
        <w:pStyle w:val="Normal0"/>
        <w:spacing w:after="0"/>
        <w:rPr>
          <w:rFonts w:ascii="Verdana" w:eastAsia="Times New Roman" w:hAnsi="Verdana" w:cs="Arial"/>
          <w:lang w:val="es-CO" w:eastAsia="es-MX"/>
        </w:rPr>
      </w:pPr>
    </w:p>
    <w:p w14:paraId="410A8A4D" w14:textId="77777777" w:rsidR="00EE1644" w:rsidRDefault="00EE1644" w:rsidP="00447A32">
      <w:pPr>
        <w:pStyle w:val="Normal0"/>
        <w:spacing w:after="0"/>
        <w:rPr>
          <w:rFonts w:ascii="Verdana" w:eastAsia="Times New Roman" w:hAnsi="Verdana" w:cs="Arial"/>
          <w:lang w:val="es-CO" w:eastAsia="es-MX"/>
        </w:rPr>
      </w:pPr>
      <w:r w:rsidRPr="00611315">
        <w:rPr>
          <w:rFonts w:ascii="Verdana" w:eastAsia="Times New Roman" w:hAnsi="Verdana" w:cs="Arial"/>
          <w:lang w:val="es-CO" w:eastAsia="es-MX"/>
        </w:rPr>
        <w:t>Estos estímulos e incentivos construidos por la Ley 2069 de 2020, en especial, en su Capítulo III “Compras públicas” del Título I</w:t>
      </w:r>
      <w:r w:rsidRPr="00611315" w:rsidDel="0094280A">
        <w:rPr>
          <w:rFonts w:ascii="Verdana" w:eastAsia="Times New Roman" w:hAnsi="Verdana" w:cs="Arial"/>
          <w:lang w:val="es-CO" w:eastAsia="es-MX"/>
        </w:rPr>
        <w:t xml:space="preserve"> </w:t>
      </w:r>
      <w:r w:rsidRPr="00611315">
        <w:rPr>
          <w:rFonts w:ascii="Verdana" w:eastAsia="Times New Roman" w:hAnsi="Verdana" w:cs="Arial"/>
          <w:lang w:val="es-CO" w:eastAsia="es-MX"/>
        </w:rPr>
        <w:t xml:space="preserve">modifica varias disposiciones que regían el sistema de compra y contratación pública, las cuales tienen un impacto en distintas normas legales y reglamentarias. En efecto, para entender un poco de la importancia de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es necesario acudir a diversos estudios realizados por diferentes Entidades gubernamentales y no gubernamentales sobre el desarrollo económico que </w:t>
      </w:r>
      <w:r w:rsidRPr="00611315">
        <w:rPr>
          <w:rFonts w:ascii="Verdana" w:eastAsia="Times New Roman" w:hAnsi="Verdana" w:cs="Arial"/>
          <w:lang w:val="es-CO" w:eastAsia="es-MX"/>
        </w:rPr>
        <w:lastRenderedPageBreak/>
        <w:t xml:space="preserve">generan este tipo de organizaciones en nuestro país y la necesidad de incentivarlos en el marco del desarrollo, crecimiento y reactivación económica. </w:t>
      </w:r>
    </w:p>
    <w:p w14:paraId="1A215E38" w14:textId="77777777" w:rsidR="002E3168" w:rsidRDefault="002E3168" w:rsidP="00447A32">
      <w:pPr>
        <w:pStyle w:val="Normal0"/>
        <w:spacing w:after="0"/>
        <w:rPr>
          <w:rFonts w:ascii="Verdana" w:eastAsia="Times New Roman" w:hAnsi="Verdana" w:cs="Arial"/>
          <w:lang w:val="es-CO" w:eastAsia="es-MX"/>
        </w:rPr>
      </w:pPr>
    </w:p>
    <w:p w14:paraId="6FFBB6CF" w14:textId="00B8EE3D" w:rsidR="002E3168" w:rsidRDefault="002E3168" w:rsidP="002E3168">
      <w:pPr>
        <w:pStyle w:val="Normal0"/>
        <w:spacing w:after="0"/>
        <w:rPr>
          <w:rFonts w:ascii="Verdana" w:eastAsia="Times New Roman" w:hAnsi="Verdana" w:cs="Arial"/>
          <w:lang w:val="es-CO" w:eastAsia="es-MX"/>
        </w:rPr>
      </w:pPr>
      <w:r>
        <w:rPr>
          <w:rFonts w:ascii="Verdana" w:eastAsia="Times New Roman" w:hAnsi="Verdana" w:cs="Arial"/>
          <w:lang w:val="es-CO" w:eastAsia="es-MX"/>
        </w:rPr>
        <w:t>Al respecto</w:t>
      </w:r>
      <w:r w:rsidRPr="00611315">
        <w:rPr>
          <w:rFonts w:ascii="Verdana" w:eastAsia="Times New Roman" w:hAnsi="Verdana" w:cs="Arial"/>
          <w:lang w:val="es-CO" w:eastAsia="es-MX"/>
        </w:rPr>
        <w:t>, es necesario destacar que las micro, pequeñas y medianas empresas, según el Centro de Estudios Económicos de la ANIF, juegan un papel esencial en la economía colombiana</w:t>
      </w:r>
      <w:r w:rsidRPr="00611315">
        <w:rPr>
          <w:rFonts w:ascii="Verdana" w:eastAsia="Times New Roman" w:hAnsi="Verdana" w:cs="Arial"/>
          <w:vertAlign w:val="superscript"/>
          <w:lang w:val="es-CO" w:eastAsia="es-MX"/>
        </w:rPr>
        <w:footnoteReference w:id="50"/>
      </w:r>
      <w:r w:rsidRPr="00611315">
        <w:rPr>
          <w:rFonts w:ascii="Verdana" w:eastAsia="Times New Roman" w:hAnsi="Verdana" w:cs="Arial"/>
          <w:vertAlign w:val="superscript"/>
          <w:lang w:val="es-CO" w:eastAsia="es-MX"/>
        </w:rPr>
        <w:t>.</w:t>
      </w:r>
      <w:r w:rsidRPr="00611315">
        <w:rPr>
          <w:rFonts w:ascii="Verdana" w:eastAsia="Times New Roman" w:hAnsi="Verdana" w:cs="Arial"/>
          <w:lang w:val="es-CO" w:eastAsia="es-MX"/>
        </w:rPr>
        <w:t xml:space="preserve"> En tal sentido, las </w:t>
      </w:r>
      <w:proofErr w:type="spellStart"/>
      <w:r w:rsidRPr="00611315">
        <w:rPr>
          <w:rFonts w:ascii="Verdana" w:eastAsia="Times New Roman" w:hAnsi="Verdana" w:cs="Arial"/>
          <w:lang w:val="es-CO" w:eastAsia="es-MX"/>
        </w:rPr>
        <w:t>Mipyme</w:t>
      </w:r>
      <w:proofErr w:type="spellEnd"/>
      <w:r w:rsidRPr="00611315">
        <w:rPr>
          <w:rFonts w:ascii="Verdana" w:eastAsia="Times New Roman" w:hAnsi="Verdana" w:cs="Arial"/>
          <w:lang w:val="es-CO" w:eastAsia="es-MX"/>
        </w:rPr>
        <w:t xml:space="preserve"> representan más del noventa y nueve por ciento (99%) de las empresas del país, las cuales generan aproximadamente el setenta y nueve por ciento (79%) del empleo y aportan el cuarenta por ciento (40%) del Producto Interno Bruto –PIB–. No obstante, según la ANIF, un problema para este tipo de empresas es que, si bien fomentan el empleo en Colombia, les falta crecimiento para ser más competitivas con las grandes empresas</w:t>
      </w:r>
      <w:r w:rsidRPr="00611315">
        <w:rPr>
          <w:rFonts w:ascii="Verdana" w:eastAsia="Times New Roman" w:hAnsi="Verdana" w:cs="Arial"/>
          <w:vertAlign w:val="superscript"/>
          <w:lang w:val="es-CO" w:eastAsia="es-MX"/>
        </w:rPr>
        <w:footnoteReference w:id="51"/>
      </w:r>
      <w:r w:rsidRPr="00611315">
        <w:rPr>
          <w:rFonts w:ascii="Verdana" w:eastAsia="Times New Roman" w:hAnsi="Verdana" w:cs="Arial"/>
          <w:lang w:val="es-CO" w:eastAsia="es-MX"/>
        </w:rPr>
        <w:t xml:space="preserve">, por lo que es necesario promover su consolidación, entre otras medidas, mediante su inserción en el mercado de la compra pública, pues le facilitaría tener acceso a clientes como las Entidades Públicas, que tendría como consecuencia fortalecer su desempeño en el mercado como prestador de bienes y servicios. </w:t>
      </w:r>
    </w:p>
    <w:p w14:paraId="779E2C6B" w14:textId="77777777" w:rsidR="003C6CE0" w:rsidRDefault="003C6CE0" w:rsidP="002E3168">
      <w:pPr>
        <w:pStyle w:val="Normal0"/>
        <w:spacing w:after="0"/>
        <w:rPr>
          <w:rFonts w:ascii="Verdana" w:eastAsia="Times New Roman" w:hAnsi="Verdana" w:cs="Arial"/>
          <w:lang w:val="es-CO" w:eastAsia="es-MX"/>
        </w:rPr>
      </w:pPr>
    </w:p>
    <w:p w14:paraId="15D43A86" w14:textId="1AE862AF" w:rsidR="00A920C6" w:rsidRDefault="00A920C6" w:rsidP="00A920C6">
      <w:pPr>
        <w:pStyle w:val="Normal0"/>
        <w:rPr>
          <w:rFonts w:ascii="Verdana" w:eastAsia="Times New Roman" w:hAnsi="Verdana" w:cs="Arial"/>
          <w:lang w:val="es-CO" w:eastAsia="es-MX"/>
        </w:rPr>
      </w:pPr>
      <w:r>
        <w:rPr>
          <w:rFonts w:ascii="Verdana" w:eastAsia="Times New Roman" w:hAnsi="Verdana" w:cs="Arial"/>
          <w:lang w:val="es-CO" w:eastAsia="es-MX"/>
        </w:rPr>
        <w:t xml:space="preserve">En el marco de la importancia que tienen las </w:t>
      </w:r>
      <w:proofErr w:type="spellStart"/>
      <w:r>
        <w:rPr>
          <w:rFonts w:ascii="Verdana" w:eastAsia="Times New Roman" w:hAnsi="Verdana" w:cs="Arial"/>
          <w:lang w:val="es-CO" w:eastAsia="es-MX"/>
        </w:rPr>
        <w:t>Mipymes</w:t>
      </w:r>
      <w:proofErr w:type="spellEnd"/>
      <w:r>
        <w:rPr>
          <w:rFonts w:ascii="Verdana" w:eastAsia="Times New Roman" w:hAnsi="Verdana" w:cs="Arial"/>
          <w:lang w:val="es-CO" w:eastAsia="es-MX"/>
        </w:rPr>
        <w:t xml:space="preserve"> como actores de la economía, resulta relevante analizar su dinámica de creación </w:t>
      </w:r>
      <w:r w:rsidR="00477B8F">
        <w:rPr>
          <w:rFonts w:ascii="Verdana" w:eastAsia="Times New Roman" w:hAnsi="Verdana" w:cs="Arial"/>
          <w:lang w:val="es-CO" w:eastAsia="es-MX"/>
        </w:rPr>
        <w:t xml:space="preserve">en un periodo reciente. </w:t>
      </w:r>
      <w:r w:rsidR="00483481">
        <w:rPr>
          <w:rFonts w:ascii="Verdana" w:eastAsia="Times New Roman" w:hAnsi="Verdana" w:cs="Arial"/>
          <w:lang w:val="es-CO" w:eastAsia="es-MX"/>
        </w:rPr>
        <w:t>La</w:t>
      </w:r>
      <w:r w:rsidRPr="00611315">
        <w:rPr>
          <w:rFonts w:ascii="Verdana" w:eastAsia="Times New Roman" w:hAnsi="Verdana" w:cs="Arial"/>
          <w:lang w:val="es-CO" w:eastAsia="es-MX"/>
        </w:rPr>
        <w:t xml:space="preserve"> Confederación Colombiana de Cámaras de Comercio –Confecámaras– presentó un informe de Dinámica de Creación de Empresas que analizó el comportamiento de la constitución de sociedades y matrícula de personas naturales durante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La fuente de información de este informe es la reportada en el Registro Único Empresarial y Social –RUES–, que recoge información registral de las Cámaras de Comercio del país y permite seguir la demografía de las empresas por organización jurídica, sectores y tamaño. En esta línea, durante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xml:space="preserve"> se crearon 17</w:t>
      </w:r>
      <w:r>
        <w:rPr>
          <w:rFonts w:ascii="Verdana" w:eastAsia="Times New Roman" w:hAnsi="Verdana" w:cs="Arial"/>
          <w:lang w:val="es-CO" w:eastAsia="es-MX"/>
        </w:rPr>
        <w:t>3</w:t>
      </w:r>
      <w:r w:rsidRPr="00611315">
        <w:rPr>
          <w:rFonts w:ascii="Verdana" w:eastAsia="Times New Roman" w:hAnsi="Verdana" w:cs="Arial"/>
          <w:lang w:val="es-CO" w:eastAsia="es-MX"/>
        </w:rPr>
        <w:t>.9</w:t>
      </w:r>
      <w:r>
        <w:rPr>
          <w:rFonts w:ascii="Verdana" w:eastAsia="Times New Roman" w:hAnsi="Verdana" w:cs="Arial"/>
          <w:lang w:val="es-CO" w:eastAsia="es-MX"/>
        </w:rPr>
        <w:t>0</w:t>
      </w:r>
      <w:r w:rsidRPr="00611315">
        <w:rPr>
          <w:rFonts w:ascii="Verdana" w:eastAsia="Times New Roman" w:hAnsi="Verdana" w:cs="Arial"/>
          <w:lang w:val="es-CO" w:eastAsia="es-MX"/>
        </w:rPr>
        <w:t xml:space="preserve">7 empresas, </w:t>
      </w:r>
      <w:r>
        <w:rPr>
          <w:rFonts w:ascii="Verdana" w:eastAsia="Times New Roman" w:hAnsi="Verdana" w:cs="Arial"/>
          <w:lang w:val="es-CO" w:eastAsia="es-MX"/>
        </w:rPr>
        <w:t>1</w:t>
      </w:r>
      <w:r w:rsidRPr="00611315">
        <w:rPr>
          <w:rFonts w:ascii="Verdana" w:eastAsia="Times New Roman" w:hAnsi="Verdana" w:cs="Arial"/>
          <w:lang w:val="es-CO" w:eastAsia="es-MX"/>
        </w:rPr>
        <w:t>,</w:t>
      </w:r>
      <w:r>
        <w:rPr>
          <w:rFonts w:ascii="Verdana" w:eastAsia="Times New Roman" w:hAnsi="Verdana" w:cs="Arial"/>
          <w:lang w:val="es-CO" w:eastAsia="es-MX"/>
        </w:rPr>
        <w:t>9</w:t>
      </w:r>
      <w:r w:rsidRPr="00611315">
        <w:rPr>
          <w:rFonts w:ascii="Verdana" w:eastAsia="Times New Roman" w:hAnsi="Verdana" w:cs="Arial"/>
          <w:lang w:val="es-CO" w:eastAsia="es-MX"/>
        </w:rPr>
        <w:t xml:space="preserve">% </w:t>
      </w:r>
      <w:r>
        <w:rPr>
          <w:rFonts w:ascii="Verdana" w:eastAsia="Times New Roman" w:hAnsi="Verdana" w:cs="Arial"/>
          <w:lang w:val="es-CO" w:eastAsia="es-MX"/>
        </w:rPr>
        <w:t>más</w:t>
      </w:r>
      <w:r w:rsidRPr="00611315">
        <w:rPr>
          <w:rFonts w:ascii="Verdana" w:eastAsia="Times New Roman" w:hAnsi="Verdana" w:cs="Arial"/>
          <w:lang w:val="es-CO" w:eastAsia="es-MX"/>
        </w:rPr>
        <w:t xml:space="preserve"> que en el mismo periodo en 202</w:t>
      </w:r>
      <w:r>
        <w:rPr>
          <w:rFonts w:ascii="Verdana" w:eastAsia="Times New Roman" w:hAnsi="Verdana" w:cs="Arial"/>
          <w:lang w:val="es-CO" w:eastAsia="es-MX"/>
        </w:rPr>
        <w:t>4</w:t>
      </w:r>
      <w:r w:rsidRPr="00611315">
        <w:rPr>
          <w:rFonts w:ascii="Verdana" w:eastAsia="Times New Roman" w:hAnsi="Verdana" w:cs="Arial"/>
          <w:lang w:val="es-CO" w:eastAsia="es-MX"/>
        </w:rPr>
        <w:t>. Del total de unidades registradas durante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el 74% corresponden a personas naturales y el 26% a sociedades</w:t>
      </w:r>
      <w:r>
        <w:rPr>
          <w:rStyle w:val="Refdenotaalpie"/>
          <w:rFonts w:ascii="Verdana" w:eastAsia="Times New Roman" w:hAnsi="Verdana" w:cs="Arial"/>
          <w:lang w:val="es-CO" w:eastAsia="es-MX"/>
        </w:rPr>
        <w:footnoteReference w:id="52"/>
      </w:r>
      <w:r w:rsidRPr="00611315">
        <w:rPr>
          <w:rFonts w:ascii="Verdana" w:eastAsia="Times New Roman" w:hAnsi="Verdana" w:cs="Arial"/>
          <w:lang w:val="es-CO" w:eastAsia="es-MX"/>
        </w:rPr>
        <w:t xml:space="preserve">. </w:t>
      </w:r>
    </w:p>
    <w:p w14:paraId="357510B2" w14:textId="77777777" w:rsidR="009B3A0D" w:rsidRDefault="009B3A0D" w:rsidP="00A920C6">
      <w:pPr>
        <w:pStyle w:val="Normal0"/>
        <w:rPr>
          <w:rFonts w:ascii="Verdana" w:eastAsia="Times New Roman" w:hAnsi="Verdana" w:cs="Arial"/>
          <w:lang w:val="es-CO" w:eastAsia="es-MX"/>
        </w:rPr>
      </w:pPr>
    </w:p>
    <w:p w14:paraId="11812E9D" w14:textId="77777777" w:rsidR="006E0A9E" w:rsidRDefault="006E0A9E" w:rsidP="00A920C6">
      <w:pPr>
        <w:pStyle w:val="Normal0"/>
        <w:rPr>
          <w:rFonts w:ascii="Verdana" w:eastAsia="Times New Roman" w:hAnsi="Verdana" w:cs="Arial"/>
          <w:lang w:val="es-CO" w:eastAsia="es-MX"/>
        </w:rPr>
      </w:pPr>
    </w:p>
    <w:p w14:paraId="2867AF16" w14:textId="77777777" w:rsidR="009B3A0D" w:rsidRDefault="009B3A0D" w:rsidP="00A920C6">
      <w:pPr>
        <w:pStyle w:val="Normal0"/>
        <w:rPr>
          <w:rFonts w:ascii="Verdana" w:eastAsia="Times New Roman" w:hAnsi="Verdana" w:cs="Arial"/>
          <w:lang w:val="es-CO" w:eastAsia="es-MX"/>
        </w:rPr>
      </w:pPr>
    </w:p>
    <w:p w14:paraId="09D5F030" w14:textId="2F04035F" w:rsidR="00A920C6" w:rsidRPr="00043D9B" w:rsidRDefault="00A920C6" w:rsidP="00A920C6">
      <w:pPr>
        <w:pStyle w:val="Descripcin"/>
        <w:jc w:val="center"/>
        <w:rPr>
          <w:rFonts w:ascii="Verdana" w:hAnsi="Verdana"/>
          <w:sz w:val="22"/>
          <w:szCs w:val="22"/>
        </w:rPr>
      </w:pPr>
      <w:bookmarkStart w:id="513" w:name="_Toc231368814"/>
      <w:r w:rsidRPr="00043D9B">
        <w:rPr>
          <w:rFonts w:ascii="Verdana" w:hAnsi="Verdana"/>
          <w:sz w:val="22"/>
          <w:szCs w:val="22"/>
        </w:rPr>
        <w:lastRenderedPageBreak/>
        <w:t xml:space="preserve">Gráfica </w:t>
      </w:r>
      <w:r w:rsidRPr="00043D9B">
        <w:rPr>
          <w:rFonts w:ascii="Verdana" w:hAnsi="Verdana"/>
          <w:sz w:val="22"/>
          <w:szCs w:val="22"/>
        </w:rPr>
        <w:fldChar w:fldCharType="begin"/>
      </w:r>
      <w:r w:rsidRPr="00043D9B">
        <w:rPr>
          <w:rFonts w:ascii="Verdana" w:hAnsi="Verdana"/>
          <w:sz w:val="22"/>
          <w:szCs w:val="22"/>
        </w:rPr>
        <w:instrText xml:space="preserve"> SEQ Gráfica \* ARABIC </w:instrText>
      </w:r>
      <w:r w:rsidRPr="00043D9B">
        <w:rPr>
          <w:rFonts w:ascii="Verdana" w:hAnsi="Verdana"/>
          <w:sz w:val="22"/>
          <w:szCs w:val="22"/>
        </w:rPr>
        <w:fldChar w:fldCharType="separate"/>
      </w:r>
      <w:r w:rsidR="00973CF5">
        <w:rPr>
          <w:rFonts w:ascii="Verdana" w:hAnsi="Verdana"/>
          <w:noProof/>
          <w:sz w:val="22"/>
          <w:szCs w:val="22"/>
        </w:rPr>
        <w:t>39</w:t>
      </w:r>
      <w:r w:rsidRPr="00043D9B">
        <w:rPr>
          <w:rFonts w:ascii="Verdana" w:hAnsi="Verdana"/>
          <w:sz w:val="22"/>
          <w:szCs w:val="22"/>
        </w:rPr>
        <w:fldChar w:fldCharType="end"/>
      </w:r>
      <w:r w:rsidRPr="00043D9B">
        <w:rPr>
          <w:rFonts w:ascii="Verdana" w:hAnsi="Verdana"/>
          <w:sz w:val="22"/>
          <w:szCs w:val="22"/>
        </w:rPr>
        <w:t>. Creación de empresas según organización jurídica</w:t>
      </w:r>
      <w:bookmarkEnd w:id="513"/>
    </w:p>
    <w:p w14:paraId="6F6C1C2E" w14:textId="77777777" w:rsidR="00A920C6" w:rsidRDefault="00A920C6" w:rsidP="00A920C6">
      <w:pPr>
        <w:pStyle w:val="Normal0"/>
        <w:jc w:val="center"/>
        <w:rPr>
          <w:rFonts w:ascii="Verdana" w:eastAsia="Times New Roman" w:hAnsi="Verdana" w:cs="Arial"/>
          <w:lang w:val="es-CO" w:eastAsia="es-MX"/>
        </w:rPr>
      </w:pPr>
      <w:r>
        <w:rPr>
          <w:noProof/>
        </w:rPr>
        <w:drawing>
          <wp:inline distT="0" distB="0" distL="0" distR="0" wp14:anchorId="21A68CCD" wp14:editId="2BEE6027">
            <wp:extent cx="3925090" cy="1971304"/>
            <wp:effectExtent l="0" t="0" r="0" b="0"/>
            <wp:docPr id="188334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3419" name=""/>
                    <pic:cNvPicPr/>
                  </pic:nvPicPr>
                  <pic:blipFill rotWithShape="1">
                    <a:blip r:embed="rId80"/>
                    <a:srcRect l="35131" t="32785" r="34977" b="32010"/>
                    <a:stretch>
                      <a:fillRect/>
                    </a:stretch>
                  </pic:blipFill>
                  <pic:spPr bwMode="auto">
                    <a:xfrm>
                      <a:off x="0" y="0"/>
                      <a:ext cx="3967001" cy="1992353"/>
                    </a:xfrm>
                    <a:prstGeom prst="rect">
                      <a:avLst/>
                    </a:prstGeom>
                    <a:ln>
                      <a:noFill/>
                    </a:ln>
                    <a:extLst>
                      <a:ext uri="{53640926-AAD7-44D8-BBD7-CCE9431645EC}">
                        <a14:shadowObscured xmlns:a14="http://schemas.microsoft.com/office/drawing/2010/main"/>
                      </a:ext>
                    </a:extLst>
                  </pic:spPr>
                </pic:pic>
              </a:graphicData>
            </a:graphic>
          </wp:inline>
        </w:drawing>
      </w:r>
    </w:p>
    <w:p w14:paraId="2181FA23"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1265DA13" w14:textId="77777777" w:rsidR="00A920C6" w:rsidRDefault="00A920C6" w:rsidP="00A920C6">
      <w:pPr>
        <w:rPr>
          <w:rFonts w:ascii="Verdana" w:hAnsi="Verdana" w:cs="Arial"/>
          <w:b/>
          <w:bCs/>
          <w:sz w:val="16"/>
          <w:szCs w:val="16"/>
        </w:rPr>
      </w:pPr>
    </w:p>
    <w:p w14:paraId="686BB7B5" w14:textId="77777777" w:rsidR="00A920C6" w:rsidRDefault="00A920C6" w:rsidP="00A920C6">
      <w:pPr>
        <w:rPr>
          <w:rFonts w:ascii="Verdana" w:hAnsi="Verdana" w:cs="Arial"/>
          <w:b/>
          <w:bCs/>
          <w:sz w:val="16"/>
          <w:szCs w:val="16"/>
        </w:rPr>
      </w:pPr>
    </w:p>
    <w:p w14:paraId="0098E321" w14:textId="77777777" w:rsidR="00A920C6" w:rsidRPr="009D7526" w:rsidRDefault="00A920C6" w:rsidP="00A920C6">
      <w:pPr>
        <w:jc w:val="both"/>
        <w:rPr>
          <w:rFonts w:ascii="Verdana" w:hAnsi="Verdana" w:cs="Arial"/>
          <w:sz w:val="22"/>
          <w:szCs w:val="22"/>
        </w:rPr>
      </w:pPr>
      <w:r>
        <w:rPr>
          <w:rFonts w:ascii="Verdana" w:hAnsi="Verdana" w:cs="Arial"/>
          <w:sz w:val="22"/>
          <w:szCs w:val="22"/>
        </w:rPr>
        <w:t>De acuerdo con el informe a</w:t>
      </w:r>
      <w:r w:rsidRPr="009D7526">
        <w:rPr>
          <w:rFonts w:ascii="Verdana" w:hAnsi="Verdana" w:cs="Arial"/>
          <w:sz w:val="22"/>
          <w:szCs w:val="22"/>
        </w:rPr>
        <w:t xml:space="preserve">l comparar la evolución de la creación de empresas entre el primer semestre de 2024 y 2025, </w:t>
      </w:r>
      <w:r>
        <w:rPr>
          <w:rFonts w:ascii="Verdana" w:hAnsi="Verdana" w:cs="Arial"/>
          <w:sz w:val="22"/>
          <w:szCs w:val="22"/>
        </w:rPr>
        <w:t>de acuerdo con su tamaño empresarial</w:t>
      </w:r>
      <w:r w:rsidRPr="009D7526">
        <w:rPr>
          <w:rFonts w:ascii="Verdana" w:hAnsi="Verdana" w:cs="Arial"/>
          <w:sz w:val="22"/>
          <w:szCs w:val="22"/>
        </w:rPr>
        <w:t>, se evidencia un aumento del 1,9% en la creación de microempresas, que además explican en su totalidad el crecimiento neto en el periodo. En contraste, se observa una disminución del 12,6% en la creación de pequeñas empresas, del 15% en las medianas y del 62% en las empresas grandes. Estos resultados reflejan que el dinamismo empresarial en el primer semestre de 2025 se concentró en el segmento de las microempresas, que siguen representando la principal vía de emprendimiento en el país.</w:t>
      </w:r>
    </w:p>
    <w:p w14:paraId="044E0E02" w14:textId="77777777" w:rsidR="00A920C6" w:rsidRDefault="00A920C6" w:rsidP="00A920C6">
      <w:pPr>
        <w:rPr>
          <w:rFonts w:ascii="Verdana" w:hAnsi="Verdana" w:cs="Arial"/>
          <w:b/>
          <w:bCs/>
          <w:sz w:val="16"/>
          <w:szCs w:val="16"/>
        </w:rPr>
      </w:pPr>
    </w:p>
    <w:p w14:paraId="417C0BDD" w14:textId="77777777" w:rsidR="00A920C6" w:rsidRPr="00AA0F9D" w:rsidRDefault="00A920C6" w:rsidP="00A920C6"/>
    <w:p w14:paraId="4EDFF7E8" w14:textId="560F6B1D" w:rsidR="00A920C6" w:rsidRDefault="00A920C6" w:rsidP="00A920C6">
      <w:pPr>
        <w:pStyle w:val="Descripcin"/>
        <w:jc w:val="center"/>
        <w:rPr>
          <w:rFonts w:ascii="Verdana" w:hAnsi="Verdana" w:cs="Arial"/>
          <w:sz w:val="16"/>
          <w:szCs w:val="16"/>
        </w:rPr>
      </w:pPr>
      <w:bookmarkStart w:id="514" w:name="_Toc231368815"/>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40</w:t>
      </w:r>
      <w:r w:rsidRPr="00611315">
        <w:rPr>
          <w:rFonts w:ascii="Verdana" w:hAnsi="Verdana"/>
          <w:sz w:val="22"/>
          <w:szCs w:val="22"/>
        </w:rPr>
        <w:fldChar w:fldCharType="end"/>
      </w:r>
      <w:r w:rsidRPr="00611315">
        <w:rPr>
          <w:rFonts w:ascii="Verdana" w:hAnsi="Verdana"/>
          <w:sz w:val="22"/>
          <w:szCs w:val="22"/>
        </w:rPr>
        <w:t>. Unidades productivas creadas por tamaño</w:t>
      </w:r>
      <w:bookmarkEnd w:id="514"/>
      <w:r w:rsidRPr="00611315">
        <w:rPr>
          <w:rFonts w:ascii="Verdana" w:hAnsi="Verdana"/>
          <w:noProof/>
        </w:rPr>
        <w:t xml:space="preserve"> </w:t>
      </w:r>
    </w:p>
    <w:p w14:paraId="013658F9" w14:textId="77777777" w:rsidR="00A920C6" w:rsidRDefault="00A920C6" w:rsidP="00A920C6">
      <w:pPr>
        <w:pBdr>
          <w:top w:val="nil"/>
          <w:left w:val="nil"/>
          <w:bottom w:val="nil"/>
          <w:right w:val="nil"/>
          <w:between w:val="nil"/>
        </w:pBdr>
        <w:tabs>
          <w:tab w:val="left" w:pos="284"/>
        </w:tabs>
        <w:jc w:val="center"/>
        <w:rPr>
          <w:rFonts w:ascii="Verdana" w:hAnsi="Verdana" w:cs="Arial"/>
          <w:sz w:val="16"/>
          <w:szCs w:val="16"/>
        </w:rPr>
      </w:pPr>
      <w:r>
        <w:rPr>
          <w:noProof/>
        </w:rPr>
        <w:drawing>
          <wp:inline distT="0" distB="0" distL="0" distR="0" wp14:anchorId="43DEA595" wp14:editId="37F88ECF">
            <wp:extent cx="4855524" cy="1615044"/>
            <wp:effectExtent l="0" t="0" r="2540" b="4445"/>
            <wp:docPr id="10047761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76128" name=""/>
                    <pic:cNvPicPr/>
                  </pic:nvPicPr>
                  <pic:blipFill rotWithShape="1">
                    <a:blip r:embed="rId81"/>
                    <a:srcRect l="30355" t="44173" r="30862" b="26145"/>
                    <a:stretch>
                      <a:fillRect/>
                    </a:stretch>
                  </pic:blipFill>
                  <pic:spPr bwMode="auto">
                    <a:xfrm>
                      <a:off x="0" y="0"/>
                      <a:ext cx="4889520" cy="1626352"/>
                    </a:xfrm>
                    <a:prstGeom prst="rect">
                      <a:avLst/>
                    </a:prstGeom>
                    <a:ln>
                      <a:noFill/>
                    </a:ln>
                    <a:extLst>
                      <a:ext uri="{53640926-AAD7-44D8-BBD7-CCE9431645EC}">
                        <a14:shadowObscured xmlns:a14="http://schemas.microsoft.com/office/drawing/2010/main"/>
                      </a:ext>
                    </a:extLst>
                  </pic:spPr>
                </pic:pic>
              </a:graphicData>
            </a:graphic>
          </wp:inline>
        </w:drawing>
      </w:r>
    </w:p>
    <w:p w14:paraId="1D000C32"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33D19C4D" w14:textId="77777777" w:rsidR="00A920C6" w:rsidRPr="00611315" w:rsidRDefault="00A920C6" w:rsidP="00A920C6">
      <w:pPr>
        <w:pStyle w:val="Normal0"/>
        <w:spacing w:after="0"/>
        <w:rPr>
          <w:rFonts w:ascii="Verdana" w:eastAsia="Times New Roman" w:hAnsi="Verdana" w:cs="Arial"/>
          <w:lang w:val="es-CO" w:eastAsia="es-MX"/>
        </w:rPr>
      </w:pPr>
      <w:r w:rsidRPr="00611315">
        <w:rPr>
          <w:rFonts w:ascii="Verdana" w:eastAsia="Times New Roman" w:hAnsi="Verdana" w:cs="Arial"/>
          <w:lang w:val="es-CO" w:eastAsia="es-MX"/>
        </w:rPr>
        <w:lastRenderedPageBreak/>
        <w:t>Durante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se constituyeron 4</w:t>
      </w:r>
      <w:r>
        <w:rPr>
          <w:rFonts w:ascii="Verdana" w:eastAsia="Times New Roman" w:hAnsi="Verdana" w:cs="Arial"/>
          <w:lang w:val="es-CO" w:eastAsia="es-MX"/>
        </w:rPr>
        <w:t>4</w:t>
      </w:r>
      <w:r w:rsidRPr="00611315">
        <w:rPr>
          <w:rFonts w:ascii="Verdana" w:eastAsia="Times New Roman" w:hAnsi="Verdana" w:cs="Arial"/>
          <w:lang w:val="es-CO" w:eastAsia="es-MX"/>
        </w:rPr>
        <w:t>.</w:t>
      </w:r>
      <w:r>
        <w:rPr>
          <w:rFonts w:ascii="Verdana" w:eastAsia="Times New Roman" w:hAnsi="Verdana" w:cs="Arial"/>
          <w:lang w:val="es-CO" w:eastAsia="es-MX"/>
        </w:rPr>
        <w:t>859</w:t>
      </w:r>
      <w:r w:rsidRPr="00611315">
        <w:rPr>
          <w:rFonts w:ascii="Verdana" w:eastAsia="Times New Roman" w:hAnsi="Verdana" w:cs="Arial"/>
          <w:lang w:val="es-CO" w:eastAsia="es-MX"/>
        </w:rPr>
        <w:t xml:space="preserve"> empresas </w:t>
      </w:r>
      <w:r>
        <w:rPr>
          <w:rFonts w:ascii="Verdana" w:eastAsia="Times New Roman" w:hAnsi="Verdana" w:cs="Arial"/>
          <w:lang w:val="es-CO" w:eastAsia="es-MX"/>
        </w:rPr>
        <w:t>registradas bajo la figura de</w:t>
      </w:r>
      <w:r w:rsidRPr="00611315">
        <w:rPr>
          <w:rFonts w:ascii="Verdana" w:eastAsia="Times New Roman" w:hAnsi="Verdana" w:cs="Arial"/>
          <w:lang w:val="es-CO" w:eastAsia="es-MX"/>
        </w:rPr>
        <w:t xml:space="preserve"> sociedades, representando un</w:t>
      </w:r>
      <w:r>
        <w:rPr>
          <w:rFonts w:ascii="Verdana" w:eastAsia="Times New Roman" w:hAnsi="Verdana" w:cs="Arial"/>
          <w:lang w:val="es-CO" w:eastAsia="es-MX"/>
        </w:rPr>
        <w:t>a</w:t>
      </w:r>
      <w:r w:rsidRPr="00611315">
        <w:rPr>
          <w:rFonts w:ascii="Verdana" w:eastAsia="Times New Roman" w:hAnsi="Verdana" w:cs="Arial"/>
          <w:lang w:val="es-CO" w:eastAsia="es-MX"/>
        </w:rPr>
        <w:t xml:space="preserve"> </w:t>
      </w:r>
      <w:r>
        <w:rPr>
          <w:rFonts w:ascii="Verdana" w:eastAsia="Times New Roman" w:hAnsi="Verdana" w:cs="Arial"/>
          <w:lang w:val="es-CO" w:eastAsia="es-MX"/>
        </w:rPr>
        <w:t xml:space="preserve">disminución </w:t>
      </w:r>
      <w:r w:rsidRPr="00611315">
        <w:rPr>
          <w:rFonts w:ascii="Verdana" w:eastAsia="Times New Roman" w:hAnsi="Verdana" w:cs="Arial"/>
          <w:lang w:val="es-CO" w:eastAsia="es-MX"/>
        </w:rPr>
        <w:t xml:space="preserve">del </w:t>
      </w:r>
      <w:r>
        <w:rPr>
          <w:rFonts w:ascii="Verdana" w:eastAsia="Times New Roman" w:hAnsi="Verdana" w:cs="Arial"/>
          <w:lang w:val="es-CO" w:eastAsia="es-MX"/>
        </w:rPr>
        <w:t>0,</w:t>
      </w:r>
      <w:r w:rsidRPr="00611315">
        <w:rPr>
          <w:rFonts w:ascii="Verdana" w:eastAsia="Times New Roman" w:hAnsi="Verdana" w:cs="Arial"/>
          <w:lang w:val="es-CO" w:eastAsia="es-MX"/>
        </w:rPr>
        <w:t>7% en comparación con las 4</w:t>
      </w:r>
      <w:r>
        <w:rPr>
          <w:rFonts w:ascii="Verdana" w:eastAsia="Times New Roman" w:hAnsi="Verdana" w:cs="Arial"/>
          <w:lang w:val="es-CO" w:eastAsia="es-MX"/>
        </w:rPr>
        <w:t>4</w:t>
      </w:r>
      <w:r w:rsidRPr="00611315">
        <w:rPr>
          <w:rFonts w:ascii="Verdana" w:eastAsia="Times New Roman" w:hAnsi="Verdana" w:cs="Arial"/>
          <w:lang w:val="es-CO" w:eastAsia="es-MX"/>
        </w:rPr>
        <w:t>.</w:t>
      </w:r>
      <w:r>
        <w:rPr>
          <w:rFonts w:ascii="Verdana" w:eastAsia="Times New Roman" w:hAnsi="Verdana" w:cs="Arial"/>
          <w:lang w:val="es-CO" w:eastAsia="es-MX"/>
        </w:rPr>
        <w:t>892</w:t>
      </w:r>
      <w:r w:rsidRPr="00611315">
        <w:rPr>
          <w:rFonts w:ascii="Verdana" w:eastAsia="Times New Roman" w:hAnsi="Verdana" w:cs="Arial"/>
          <w:lang w:val="es-CO" w:eastAsia="es-MX"/>
        </w:rPr>
        <w:t xml:space="preserve"> empresas creadas en el primer semestre de 202</w:t>
      </w:r>
      <w:r>
        <w:rPr>
          <w:rFonts w:ascii="Verdana" w:eastAsia="Times New Roman" w:hAnsi="Verdana" w:cs="Arial"/>
          <w:lang w:val="es-CO" w:eastAsia="es-MX"/>
        </w:rPr>
        <w:t>4</w:t>
      </w:r>
      <w:r w:rsidRPr="00611315">
        <w:rPr>
          <w:rFonts w:ascii="Verdana" w:eastAsia="Times New Roman" w:hAnsi="Verdana" w:cs="Arial"/>
          <w:lang w:val="es-CO" w:eastAsia="es-MX"/>
        </w:rPr>
        <w:t xml:space="preserve">. </w:t>
      </w:r>
      <w:r w:rsidRPr="007328D6">
        <w:rPr>
          <w:rFonts w:ascii="Verdana" w:eastAsia="Times New Roman" w:hAnsi="Verdana" w:cs="Arial"/>
          <w:lang w:val="es-CO" w:eastAsia="es-MX"/>
        </w:rPr>
        <w:t>De las sociedades creadas, 44.441 corresponden a microempresas, 421 a pequeñas, 11 a medianas y 7 a grandes.</w:t>
      </w:r>
    </w:p>
    <w:p w14:paraId="0B66176C" w14:textId="77777777" w:rsidR="00A920C6" w:rsidRDefault="00A920C6" w:rsidP="00A920C6">
      <w:pPr>
        <w:pStyle w:val="Normal0"/>
        <w:spacing w:after="0"/>
        <w:ind w:left="720"/>
        <w:rPr>
          <w:rFonts w:ascii="Verdana" w:eastAsia="Times New Roman" w:hAnsi="Verdana" w:cs="Arial"/>
          <w:lang w:val="es-CO" w:eastAsia="es-MX"/>
        </w:rPr>
      </w:pPr>
    </w:p>
    <w:p w14:paraId="06383BDB" w14:textId="5421DD05" w:rsidR="00A920C6" w:rsidRPr="00611315" w:rsidRDefault="00A920C6" w:rsidP="00F153A2">
      <w:pPr>
        <w:pStyle w:val="Descripcin"/>
        <w:jc w:val="center"/>
        <w:rPr>
          <w:rFonts w:ascii="Verdana" w:eastAsia="Times New Roman" w:hAnsi="Verdana" w:cs="Arial"/>
          <w:noProof/>
          <w:lang w:val="es-CO" w:eastAsia="es-MX"/>
        </w:rPr>
      </w:pPr>
      <w:bookmarkStart w:id="515" w:name="_Toc231368816"/>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41</w:t>
      </w:r>
      <w:r w:rsidRPr="00611315">
        <w:rPr>
          <w:rFonts w:ascii="Verdana" w:hAnsi="Verdana"/>
          <w:sz w:val="22"/>
          <w:szCs w:val="22"/>
        </w:rPr>
        <w:fldChar w:fldCharType="end"/>
      </w:r>
      <w:r w:rsidRPr="00611315">
        <w:rPr>
          <w:rFonts w:ascii="Verdana" w:hAnsi="Verdana"/>
          <w:sz w:val="22"/>
          <w:szCs w:val="22"/>
        </w:rPr>
        <w:t>. Nuevas sociedades por tamaño</w:t>
      </w:r>
      <w:bookmarkEnd w:id="515"/>
    </w:p>
    <w:p w14:paraId="365CEC78" w14:textId="77777777" w:rsidR="00A920C6" w:rsidRDefault="00A920C6" w:rsidP="00A920C6">
      <w:pPr>
        <w:pStyle w:val="Prrafodelista"/>
        <w:ind w:left="0"/>
        <w:jc w:val="center"/>
        <w:rPr>
          <w:rFonts w:ascii="Verdana" w:hAnsi="Verdana"/>
          <w:noProof/>
        </w:rPr>
      </w:pPr>
      <w:r>
        <w:rPr>
          <w:noProof/>
        </w:rPr>
        <w:drawing>
          <wp:inline distT="0" distB="0" distL="0" distR="0" wp14:anchorId="75DA4FA8" wp14:editId="2613FCEB">
            <wp:extent cx="4190674" cy="1579245"/>
            <wp:effectExtent l="0" t="0" r="635" b="1905"/>
            <wp:docPr id="11707647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64788" name=""/>
                    <pic:cNvPicPr/>
                  </pic:nvPicPr>
                  <pic:blipFill rotWithShape="1">
                    <a:blip r:embed="rId82"/>
                    <a:srcRect l="31067" t="41993" r="31069" b="29632"/>
                    <a:stretch>
                      <a:fillRect/>
                    </a:stretch>
                  </pic:blipFill>
                  <pic:spPr bwMode="auto">
                    <a:xfrm>
                      <a:off x="0" y="0"/>
                      <a:ext cx="4222690" cy="1591310"/>
                    </a:xfrm>
                    <a:prstGeom prst="rect">
                      <a:avLst/>
                    </a:prstGeom>
                    <a:ln>
                      <a:noFill/>
                    </a:ln>
                    <a:extLst>
                      <a:ext uri="{53640926-AAD7-44D8-BBD7-CCE9431645EC}">
                        <a14:shadowObscured xmlns:a14="http://schemas.microsoft.com/office/drawing/2010/main"/>
                      </a:ext>
                    </a:extLst>
                  </pic:spPr>
                </pic:pic>
              </a:graphicData>
            </a:graphic>
          </wp:inline>
        </w:drawing>
      </w:r>
    </w:p>
    <w:p w14:paraId="25E87C01"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46F4634C" w14:textId="77777777" w:rsidR="00A920C6" w:rsidRPr="00611315" w:rsidRDefault="00A920C6" w:rsidP="00A920C6">
      <w:pPr>
        <w:pStyle w:val="Normal0"/>
        <w:rPr>
          <w:rFonts w:ascii="Verdana" w:eastAsia="Times New Roman" w:hAnsi="Verdana" w:cs="Arial"/>
          <w:lang w:val="es-CO" w:eastAsia="es-MX"/>
        </w:rPr>
      </w:pPr>
      <w:r w:rsidRPr="00611315">
        <w:rPr>
          <w:rFonts w:ascii="Verdana" w:eastAsia="Times New Roman" w:hAnsi="Verdana" w:cs="Arial"/>
          <w:lang w:val="es-CO" w:eastAsia="es-MX"/>
        </w:rPr>
        <w:t>Por otro lado, en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xml:space="preserve"> se crearon 129.</w:t>
      </w:r>
      <w:r>
        <w:rPr>
          <w:rFonts w:ascii="Verdana" w:eastAsia="Times New Roman" w:hAnsi="Verdana" w:cs="Arial"/>
          <w:lang w:val="es-CO" w:eastAsia="es-MX"/>
        </w:rPr>
        <w:t>0</w:t>
      </w:r>
      <w:r w:rsidRPr="00611315">
        <w:rPr>
          <w:rFonts w:ascii="Verdana" w:eastAsia="Times New Roman" w:hAnsi="Verdana" w:cs="Arial"/>
          <w:lang w:val="es-CO" w:eastAsia="es-MX"/>
        </w:rPr>
        <w:t>4</w:t>
      </w:r>
      <w:r>
        <w:rPr>
          <w:rFonts w:ascii="Verdana" w:eastAsia="Times New Roman" w:hAnsi="Verdana" w:cs="Arial"/>
          <w:lang w:val="es-CO" w:eastAsia="es-MX"/>
        </w:rPr>
        <w:t>8</w:t>
      </w:r>
      <w:r w:rsidRPr="00611315">
        <w:rPr>
          <w:rFonts w:ascii="Verdana" w:eastAsia="Times New Roman" w:hAnsi="Verdana" w:cs="Arial"/>
          <w:lang w:val="es-CO" w:eastAsia="es-MX"/>
        </w:rPr>
        <w:t xml:space="preserve"> empresas constituidas como personas naturales, lo que representa </w:t>
      </w:r>
      <w:proofErr w:type="gramStart"/>
      <w:r w:rsidRPr="00611315">
        <w:rPr>
          <w:rFonts w:ascii="Verdana" w:eastAsia="Times New Roman" w:hAnsi="Verdana" w:cs="Arial"/>
          <w:lang w:val="es-CO" w:eastAsia="es-MX"/>
        </w:rPr>
        <w:t xml:space="preserve">una </w:t>
      </w:r>
      <w:r>
        <w:rPr>
          <w:rFonts w:ascii="Verdana" w:eastAsia="Times New Roman" w:hAnsi="Verdana" w:cs="Arial"/>
          <w:lang w:val="es-CO" w:eastAsia="es-MX"/>
        </w:rPr>
        <w:t>aumento</w:t>
      </w:r>
      <w:proofErr w:type="gramEnd"/>
      <w:r w:rsidRPr="00611315">
        <w:rPr>
          <w:rFonts w:ascii="Verdana" w:eastAsia="Times New Roman" w:hAnsi="Verdana" w:cs="Arial"/>
          <w:lang w:val="es-CO" w:eastAsia="es-MX"/>
        </w:rPr>
        <w:t xml:space="preserve"> del 2,</w:t>
      </w:r>
      <w:r>
        <w:rPr>
          <w:rFonts w:ascii="Verdana" w:eastAsia="Times New Roman" w:hAnsi="Verdana" w:cs="Arial"/>
          <w:lang w:val="es-CO" w:eastAsia="es-MX"/>
        </w:rPr>
        <w:t>5</w:t>
      </w:r>
      <w:r w:rsidRPr="00611315">
        <w:rPr>
          <w:rFonts w:ascii="Verdana" w:eastAsia="Times New Roman" w:hAnsi="Verdana" w:cs="Arial"/>
          <w:lang w:val="es-CO" w:eastAsia="es-MX"/>
        </w:rPr>
        <w:t>% en comparación con las 1</w:t>
      </w:r>
      <w:r>
        <w:rPr>
          <w:rFonts w:ascii="Verdana" w:eastAsia="Times New Roman" w:hAnsi="Verdana" w:cs="Arial"/>
          <w:lang w:val="es-CO" w:eastAsia="es-MX"/>
        </w:rPr>
        <w:t>25</w:t>
      </w:r>
      <w:r w:rsidRPr="00611315">
        <w:rPr>
          <w:rFonts w:ascii="Verdana" w:eastAsia="Times New Roman" w:hAnsi="Verdana" w:cs="Arial"/>
          <w:lang w:val="es-CO" w:eastAsia="es-MX"/>
        </w:rPr>
        <w:t>.</w:t>
      </w:r>
      <w:r>
        <w:rPr>
          <w:rFonts w:ascii="Verdana" w:eastAsia="Times New Roman" w:hAnsi="Verdana" w:cs="Arial"/>
          <w:lang w:val="es-CO" w:eastAsia="es-MX"/>
        </w:rPr>
        <w:t>849</w:t>
      </w:r>
      <w:r w:rsidRPr="00611315">
        <w:rPr>
          <w:rFonts w:ascii="Verdana" w:eastAsia="Times New Roman" w:hAnsi="Verdana" w:cs="Arial"/>
          <w:lang w:val="es-CO" w:eastAsia="es-MX"/>
        </w:rPr>
        <w:t xml:space="preserve"> creadas en el mismo periodo de 202</w:t>
      </w:r>
      <w:r>
        <w:rPr>
          <w:rFonts w:ascii="Verdana" w:eastAsia="Times New Roman" w:hAnsi="Verdana" w:cs="Arial"/>
          <w:lang w:val="es-CO" w:eastAsia="es-MX"/>
        </w:rPr>
        <w:t>4</w:t>
      </w:r>
      <w:r w:rsidRPr="00611315">
        <w:rPr>
          <w:rFonts w:ascii="Verdana" w:eastAsia="Times New Roman" w:hAnsi="Verdana" w:cs="Arial"/>
          <w:lang w:val="es-CO" w:eastAsia="es-MX"/>
        </w:rPr>
        <w:t>. De las empresas constituidas como personas naturales en 202</w:t>
      </w:r>
      <w:r>
        <w:rPr>
          <w:rFonts w:ascii="Verdana" w:eastAsia="Times New Roman" w:hAnsi="Verdana" w:cs="Arial"/>
          <w:lang w:val="es-CO" w:eastAsia="es-MX"/>
        </w:rPr>
        <w:t>5</w:t>
      </w:r>
      <w:r w:rsidRPr="00611315">
        <w:rPr>
          <w:rFonts w:ascii="Verdana" w:eastAsia="Times New Roman" w:hAnsi="Verdana" w:cs="Arial"/>
          <w:lang w:val="es-CO" w:eastAsia="es-MX"/>
        </w:rPr>
        <w:t>, 129</w:t>
      </w:r>
      <w:r>
        <w:rPr>
          <w:rFonts w:ascii="Verdana" w:eastAsia="Times New Roman" w:hAnsi="Verdana" w:cs="Arial"/>
          <w:lang w:val="es-CO" w:eastAsia="es-MX"/>
        </w:rPr>
        <w:t>.009</w:t>
      </w:r>
      <w:r w:rsidRPr="00611315">
        <w:rPr>
          <w:rFonts w:ascii="Verdana" w:eastAsia="Times New Roman" w:hAnsi="Verdana" w:cs="Arial"/>
          <w:lang w:val="es-CO" w:eastAsia="es-MX"/>
        </w:rPr>
        <w:t xml:space="preserve"> son microempresas, </w:t>
      </w:r>
      <w:r>
        <w:rPr>
          <w:rFonts w:ascii="Verdana" w:eastAsia="Times New Roman" w:hAnsi="Verdana" w:cs="Arial"/>
          <w:lang w:val="es-CO" w:eastAsia="es-MX"/>
        </w:rPr>
        <w:t>36</w:t>
      </w:r>
      <w:r w:rsidRPr="00611315">
        <w:rPr>
          <w:rFonts w:ascii="Verdana" w:eastAsia="Times New Roman" w:hAnsi="Verdana" w:cs="Arial"/>
          <w:lang w:val="es-CO" w:eastAsia="es-MX"/>
        </w:rPr>
        <w:t xml:space="preserve"> pequeñas</w:t>
      </w:r>
      <w:r>
        <w:rPr>
          <w:rFonts w:ascii="Verdana" w:eastAsia="Times New Roman" w:hAnsi="Verdana" w:cs="Arial"/>
          <w:lang w:val="es-CO" w:eastAsia="es-MX"/>
        </w:rPr>
        <w:t xml:space="preserve"> y</w:t>
      </w:r>
      <w:r w:rsidRPr="00611315">
        <w:rPr>
          <w:rFonts w:ascii="Verdana" w:eastAsia="Times New Roman" w:hAnsi="Verdana" w:cs="Arial"/>
          <w:lang w:val="es-CO" w:eastAsia="es-MX"/>
        </w:rPr>
        <w:t xml:space="preserve"> </w:t>
      </w:r>
      <w:r>
        <w:rPr>
          <w:rFonts w:ascii="Verdana" w:eastAsia="Times New Roman" w:hAnsi="Verdana" w:cs="Arial"/>
          <w:lang w:val="es-CO" w:eastAsia="es-MX"/>
        </w:rPr>
        <w:t>3</w:t>
      </w:r>
      <w:r w:rsidRPr="00611315">
        <w:rPr>
          <w:rFonts w:ascii="Verdana" w:eastAsia="Times New Roman" w:hAnsi="Verdana" w:cs="Arial"/>
          <w:lang w:val="es-CO" w:eastAsia="es-MX"/>
        </w:rPr>
        <w:t xml:space="preserve"> medianas, tal y como se muestra a continuación:</w:t>
      </w:r>
    </w:p>
    <w:p w14:paraId="289230C7" w14:textId="050E5A49" w:rsidR="00A920C6" w:rsidRPr="00611315" w:rsidRDefault="00A920C6" w:rsidP="00A920C6">
      <w:pPr>
        <w:pStyle w:val="Descripcin"/>
        <w:jc w:val="center"/>
        <w:rPr>
          <w:rFonts w:ascii="Verdana" w:hAnsi="Verdana"/>
        </w:rPr>
      </w:pPr>
      <w:bookmarkStart w:id="516" w:name="_Toc231368817"/>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42</w:t>
      </w:r>
      <w:r w:rsidRPr="00611315">
        <w:rPr>
          <w:rFonts w:ascii="Verdana" w:hAnsi="Verdana"/>
          <w:sz w:val="22"/>
          <w:szCs w:val="22"/>
        </w:rPr>
        <w:fldChar w:fldCharType="end"/>
      </w:r>
      <w:r w:rsidRPr="00611315">
        <w:rPr>
          <w:rFonts w:ascii="Verdana" w:hAnsi="Verdana"/>
          <w:sz w:val="22"/>
          <w:szCs w:val="22"/>
        </w:rPr>
        <w:t>. Nuevas empresas de personas naturales por tamaño</w:t>
      </w:r>
      <w:bookmarkEnd w:id="516"/>
    </w:p>
    <w:p w14:paraId="0B6617CA" w14:textId="77777777" w:rsidR="00A920C6" w:rsidRDefault="00A920C6" w:rsidP="00A920C6">
      <w:pPr>
        <w:pStyle w:val="Normal0"/>
        <w:spacing w:after="0"/>
        <w:jc w:val="center"/>
        <w:rPr>
          <w:rFonts w:ascii="Verdana" w:hAnsi="Verdana"/>
          <w:noProof/>
        </w:rPr>
      </w:pPr>
      <w:r>
        <w:rPr>
          <w:noProof/>
        </w:rPr>
        <w:drawing>
          <wp:inline distT="0" distB="0" distL="0" distR="0" wp14:anchorId="481272E8" wp14:editId="471FBB86">
            <wp:extent cx="3950335" cy="1579419"/>
            <wp:effectExtent l="0" t="0" r="0" b="1905"/>
            <wp:docPr id="12954893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489332" name=""/>
                    <pic:cNvPicPr/>
                  </pic:nvPicPr>
                  <pic:blipFill rotWithShape="1">
                    <a:blip r:embed="rId83"/>
                    <a:srcRect l="31840" t="40032" r="31657" b="30749"/>
                    <a:stretch>
                      <a:fillRect/>
                    </a:stretch>
                  </pic:blipFill>
                  <pic:spPr bwMode="auto">
                    <a:xfrm>
                      <a:off x="0" y="0"/>
                      <a:ext cx="3985611" cy="1593523"/>
                    </a:xfrm>
                    <a:prstGeom prst="rect">
                      <a:avLst/>
                    </a:prstGeom>
                    <a:ln>
                      <a:noFill/>
                    </a:ln>
                    <a:extLst>
                      <a:ext uri="{53640926-AAD7-44D8-BBD7-CCE9431645EC}">
                        <a14:shadowObscured xmlns:a14="http://schemas.microsoft.com/office/drawing/2010/main"/>
                      </a:ext>
                    </a:extLst>
                  </pic:spPr>
                </pic:pic>
              </a:graphicData>
            </a:graphic>
          </wp:inline>
        </w:drawing>
      </w:r>
    </w:p>
    <w:p w14:paraId="572FBFE9"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5DE22C81" w14:textId="77777777" w:rsidR="00A920C6" w:rsidRPr="00FA5010" w:rsidRDefault="00A920C6" w:rsidP="00A920C6">
      <w:pPr>
        <w:pStyle w:val="Normal0"/>
        <w:spacing w:after="0"/>
        <w:ind w:left="720"/>
        <w:jc w:val="center"/>
        <w:rPr>
          <w:rFonts w:ascii="Verdana" w:hAnsi="Verdana"/>
          <w:noProof/>
          <w:lang w:val="es-CO"/>
        </w:rPr>
      </w:pPr>
    </w:p>
    <w:p w14:paraId="48D2290E" w14:textId="77777777" w:rsidR="00A920C6" w:rsidRDefault="00A920C6" w:rsidP="00A920C6">
      <w:pPr>
        <w:pStyle w:val="Normal0"/>
        <w:spacing w:after="0"/>
        <w:ind w:left="720"/>
        <w:jc w:val="center"/>
        <w:rPr>
          <w:rFonts w:ascii="Verdana" w:hAnsi="Verdana"/>
          <w:noProof/>
        </w:rPr>
      </w:pPr>
    </w:p>
    <w:p w14:paraId="129DDE9C" w14:textId="77777777" w:rsidR="00A920C6" w:rsidRPr="00611315" w:rsidRDefault="00A920C6" w:rsidP="00A920C6">
      <w:pPr>
        <w:pStyle w:val="Normal0"/>
        <w:rPr>
          <w:rFonts w:ascii="Verdana" w:eastAsia="Times New Roman" w:hAnsi="Verdana" w:cs="Arial"/>
          <w:lang w:val="es-CO" w:eastAsia="es-MX"/>
        </w:rPr>
      </w:pPr>
      <w:r w:rsidRPr="00611315">
        <w:rPr>
          <w:rFonts w:ascii="Verdana" w:eastAsia="Times New Roman" w:hAnsi="Verdana" w:cs="Arial"/>
          <w:lang w:val="es-CO" w:eastAsia="es-MX"/>
        </w:rPr>
        <w:lastRenderedPageBreak/>
        <w:t>En cuanto a la creación de empresas por sectores económicos durante el primer semestre de 202</w:t>
      </w:r>
      <w:r>
        <w:rPr>
          <w:rFonts w:ascii="Verdana" w:eastAsia="Times New Roman" w:hAnsi="Verdana" w:cs="Arial"/>
          <w:lang w:val="es-CO" w:eastAsia="es-MX"/>
        </w:rPr>
        <w:t>5</w:t>
      </w:r>
      <w:r w:rsidRPr="00611315">
        <w:rPr>
          <w:rFonts w:ascii="Verdana" w:eastAsia="Times New Roman" w:hAnsi="Verdana" w:cs="Arial"/>
          <w:lang w:val="es-CO" w:eastAsia="es-MX"/>
        </w:rPr>
        <w:t xml:space="preserve">, los sectores de </w:t>
      </w:r>
      <w:r w:rsidRPr="00E40BA7">
        <w:rPr>
          <w:rFonts w:ascii="Verdana" w:eastAsia="Times New Roman" w:hAnsi="Verdana" w:cs="Arial"/>
          <w:lang w:val="es-CO" w:eastAsia="es-MX"/>
        </w:rPr>
        <w:t>comercio, servicios y agricultura</w:t>
      </w:r>
      <w:r>
        <w:rPr>
          <w:rFonts w:ascii="Verdana" w:eastAsia="Times New Roman" w:hAnsi="Verdana" w:cs="Arial"/>
          <w:lang w:val="es-CO" w:eastAsia="es-MX"/>
        </w:rPr>
        <w:t xml:space="preserve"> </w:t>
      </w:r>
      <w:r w:rsidRPr="00611315">
        <w:rPr>
          <w:rFonts w:ascii="Verdana" w:eastAsia="Times New Roman" w:hAnsi="Verdana" w:cs="Arial"/>
          <w:lang w:val="es-CO" w:eastAsia="es-MX"/>
        </w:rPr>
        <w:t xml:space="preserve">experimentaron un aumento en la creación de empresas. En contraste, los sectores de </w:t>
      </w:r>
      <w:r w:rsidRPr="002B0493">
        <w:rPr>
          <w:rFonts w:ascii="Verdana" w:eastAsia="Times New Roman" w:hAnsi="Verdana" w:cs="Arial"/>
          <w:lang w:val="es-CO" w:eastAsia="es-MX"/>
        </w:rPr>
        <w:t>construcción e industria</w:t>
      </w:r>
      <w:r>
        <w:rPr>
          <w:rFonts w:ascii="Verdana" w:eastAsia="Times New Roman" w:hAnsi="Verdana" w:cs="Arial"/>
          <w:lang w:val="es-CO" w:eastAsia="es-MX"/>
        </w:rPr>
        <w:t xml:space="preserve"> </w:t>
      </w:r>
      <w:r w:rsidRPr="00611315">
        <w:rPr>
          <w:rFonts w:ascii="Verdana" w:eastAsia="Times New Roman" w:hAnsi="Verdana" w:cs="Arial"/>
          <w:lang w:val="es-CO" w:eastAsia="es-MX"/>
        </w:rPr>
        <w:t>registraron un menor número de empresas con relación a la primera mitad de 202</w:t>
      </w:r>
      <w:r>
        <w:rPr>
          <w:rFonts w:ascii="Verdana" w:eastAsia="Times New Roman" w:hAnsi="Verdana" w:cs="Arial"/>
          <w:lang w:val="es-CO" w:eastAsia="es-MX"/>
        </w:rPr>
        <w:t>4</w:t>
      </w:r>
      <w:r w:rsidRPr="00611315">
        <w:rPr>
          <w:rFonts w:ascii="Verdana" w:eastAsia="Times New Roman" w:hAnsi="Verdana" w:cs="Arial"/>
          <w:lang w:val="es-CO" w:eastAsia="es-MX"/>
        </w:rPr>
        <w:t>.</w:t>
      </w:r>
    </w:p>
    <w:p w14:paraId="21C51589" w14:textId="34D3FABA" w:rsidR="00A920C6" w:rsidRPr="00611315" w:rsidRDefault="00A920C6" w:rsidP="00A920C6">
      <w:pPr>
        <w:pStyle w:val="Normal0"/>
        <w:jc w:val="center"/>
        <w:rPr>
          <w:rFonts w:ascii="Verdana" w:eastAsia="Times New Roman" w:hAnsi="Verdana" w:cs="Arial"/>
          <w:b/>
          <w:bCs/>
          <w:lang w:val="es-CO" w:eastAsia="es-MX"/>
        </w:rPr>
      </w:pPr>
      <w:bookmarkStart w:id="517" w:name="_Toc231368818"/>
      <w:r w:rsidRPr="00611315">
        <w:rPr>
          <w:rFonts w:ascii="Verdana" w:hAnsi="Verdana"/>
          <w:b/>
          <w:bCs/>
        </w:rPr>
        <w:t xml:space="preserve">Gráfica </w:t>
      </w:r>
      <w:r w:rsidRPr="00611315">
        <w:rPr>
          <w:rFonts w:ascii="Verdana" w:hAnsi="Verdana"/>
          <w:b/>
          <w:bCs/>
        </w:rPr>
        <w:fldChar w:fldCharType="begin"/>
      </w:r>
      <w:r w:rsidRPr="00611315">
        <w:rPr>
          <w:rFonts w:ascii="Verdana" w:hAnsi="Verdana"/>
          <w:b/>
          <w:bCs/>
        </w:rPr>
        <w:instrText xml:space="preserve"> SEQ Gráfica \* ARABIC </w:instrText>
      </w:r>
      <w:r w:rsidRPr="00611315">
        <w:rPr>
          <w:rFonts w:ascii="Verdana" w:hAnsi="Verdana"/>
          <w:b/>
          <w:bCs/>
        </w:rPr>
        <w:fldChar w:fldCharType="separate"/>
      </w:r>
      <w:r w:rsidR="00973CF5">
        <w:rPr>
          <w:rFonts w:ascii="Verdana" w:hAnsi="Verdana"/>
          <w:b/>
          <w:bCs/>
          <w:noProof/>
        </w:rPr>
        <w:t>43</w:t>
      </w:r>
      <w:r w:rsidRPr="00611315">
        <w:rPr>
          <w:rFonts w:ascii="Verdana" w:hAnsi="Verdana"/>
          <w:b/>
          <w:bCs/>
        </w:rPr>
        <w:fldChar w:fldCharType="end"/>
      </w:r>
      <w:r w:rsidRPr="00611315">
        <w:rPr>
          <w:rFonts w:ascii="Verdana" w:hAnsi="Verdana"/>
          <w:b/>
          <w:bCs/>
        </w:rPr>
        <w:t>. Unidades productivas creadas por sector económico</w:t>
      </w:r>
      <w:bookmarkEnd w:id="517"/>
    </w:p>
    <w:p w14:paraId="20D7EDB5" w14:textId="77777777" w:rsidR="00A920C6" w:rsidRDefault="00A920C6" w:rsidP="00A920C6">
      <w:pPr>
        <w:pStyle w:val="Normal0"/>
        <w:jc w:val="center"/>
        <w:rPr>
          <w:rFonts w:ascii="Verdana" w:eastAsia="Times New Roman" w:hAnsi="Verdana" w:cs="Arial"/>
          <w:lang w:val="es-CO" w:eastAsia="es-MX"/>
        </w:rPr>
      </w:pPr>
      <w:r>
        <w:rPr>
          <w:noProof/>
        </w:rPr>
        <w:drawing>
          <wp:inline distT="0" distB="0" distL="0" distR="0" wp14:anchorId="4F40C164" wp14:editId="7BA07B1A">
            <wp:extent cx="3371069" cy="1483995"/>
            <wp:effectExtent l="0" t="0" r="1270" b="1905"/>
            <wp:docPr id="181600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0159" name=""/>
                    <pic:cNvPicPr/>
                  </pic:nvPicPr>
                  <pic:blipFill rotWithShape="1">
                    <a:blip r:embed="rId84"/>
                    <a:srcRect l="30472" t="38315" r="31097" b="26830"/>
                    <a:stretch>
                      <a:fillRect/>
                    </a:stretch>
                  </pic:blipFill>
                  <pic:spPr bwMode="auto">
                    <a:xfrm>
                      <a:off x="0" y="0"/>
                      <a:ext cx="3416299" cy="1503906"/>
                    </a:xfrm>
                    <a:prstGeom prst="rect">
                      <a:avLst/>
                    </a:prstGeom>
                    <a:ln>
                      <a:noFill/>
                    </a:ln>
                    <a:extLst>
                      <a:ext uri="{53640926-AAD7-44D8-BBD7-CCE9431645EC}">
                        <a14:shadowObscured xmlns:a14="http://schemas.microsoft.com/office/drawing/2010/main"/>
                      </a:ext>
                    </a:extLst>
                  </pic:spPr>
                </pic:pic>
              </a:graphicData>
            </a:graphic>
          </wp:inline>
        </w:drawing>
      </w:r>
    </w:p>
    <w:p w14:paraId="16C6F06E"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1AD7C014" w14:textId="77777777" w:rsidR="00A920C6" w:rsidRDefault="00A920C6" w:rsidP="00A920C6">
      <w:pPr>
        <w:jc w:val="both"/>
        <w:rPr>
          <w:rFonts w:ascii="Verdana" w:hAnsi="Verdana" w:cs="Arial"/>
          <w:sz w:val="22"/>
          <w:szCs w:val="22"/>
        </w:rPr>
      </w:pPr>
      <w:r w:rsidRPr="00611315">
        <w:rPr>
          <w:rFonts w:ascii="Verdana" w:hAnsi="Verdana" w:cs="Arial"/>
          <w:sz w:val="22"/>
          <w:szCs w:val="22"/>
        </w:rPr>
        <w:t>En cuanto a la creación de empresas y generación de empleo, de acuerdo con el RUES, el 4</w:t>
      </w:r>
      <w:r>
        <w:rPr>
          <w:rFonts w:ascii="Verdana" w:hAnsi="Verdana" w:cs="Arial"/>
          <w:sz w:val="22"/>
          <w:szCs w:val="22"/>
        </w:rPr>
        <w:t>3</w:t>
      </w:r>
      <w:r w:rsidRPr="00611315">
        <w:rPr>
          <w:rFonts w:ascii="Verdana" w:hAnsi="Verdana" w:cs="Arial"/>
          <w:sz w:val="22"/>
          <w:szCs w:val="22"/>
        </w:rPr>
        <w:t>,</w:t>
      </w:r>
      <w:r>
        <w:rPr>
          <w:rFonts w:ascii="Verdana" w:hAnsi="Verdana" w:cs="Arial"/>
          <w:sz w:val="22"/>
          <w:szCs w:val="22"/>
        </w:rPr>
        <w:t>8</w:t>
      </w:r>
      <w:r w:rsidRPr="00611315">
        <w:rPr>
          <w:rFonts w:ascii="Verdana" w:hAnsi="Verdana" w:cs="Arial"/>
          <w:sz w:val="22"/>
          <w:szCs w:val="22"/>
        </w:rPr>
        <w:t xml:space="preserve">% de las empresas nuevas crearon al menos un empleo; </w:t>
      </w:r>
      <w:r w:rsidRPr="00CD3932">
        <w:rPr>
          <w:rFonts w:ascii="Verdana" w:hAnsi="Verdana" w:cs="Arial"/>
          <w:sz w:val="22"/>
          <w:szCs w:val="22"/>
        </w:rPr>
        <w:t>de estas, el 39% pertenece al subsector del comercio al por mayor y al por menor, 17% al subsector de alojamiento y servicios de comida, 10% al subsector de industrias manufactureras, 6% al subsector de actividades profesionales, científicas y técnicas y 5% al subsector de otras actividades de servicio.</w:t>
      </w:r>
    </w:p>
    <w:p w14:paraId="61F07C1B" w14:textId="77777777" w:rsidR="00A920C6" w:rsidRDefault="00A920C6" w:rsidP="00A920C6">
      <w:pPr>
        <w:jc w:val="both"/>
        <w:rPr>
          <w:rFonts w:ascii="Verdana" w:hAnsi="Verdana" w:cs="Arial"/>
          <w:sz w:val="22"/>
          <w:szCs w:val="22"/>
        </w:rPr>
      </w:pPr>
    </w:p>
    <w:p w14:paraId="11A402E1" w14:textId="248AAECB" w:rsidR="00A920C6" w:rsidRPr="00611315" w:rsidRDefault="00A920C6" w:rsidP="00A920C6">
      <w:pPr>
        <w:pStyle w:val="Descripcin"/>
        <w:spacing w:after="0"/>
        <w:jc w:val="center"/>
        <w:rPr>
          <w:rFonts w:ascii="Verdana" w:hAnsi="Verdana" w:cs="Arial"/>
          <w:sz w:val="22"/>
          <w:szCs w:val="22"/>
        </w:rPr>
      </w:pPr>
      <w:bookmarkStart w:id="518" w:name="_Toc231368819"/>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44</w:t>
      </w:r>
      <w:r w:rsidRPr="00611315">
        <w:rPr>
          <w:rFonts w:ascii="Verdana" w:hAnsi="Verdana"/>
          <w:sz w:val="22"/>
          <w:szCs w:val="22"/>
        </w:rPr>
        <w:fldChar w:fldCharType="end"/>
      </w:r>
      <w:r w:rsidRPr="00611315">
        <w:rPr>
          <w:rFonts w:ascii="Verdana" w:hAnsi="Verdana"/>
          <w:sz w:val="22"/>
          <w:szCs w:val="22"/>
        </w:rPr>
        <w:t>. Subsectores económicos con mayor creación de empresas empleadoras</w:t>
      </w:r>
      <w:bookmarkEnd w:id="518"/>
    </w:p>
    <w:p w14:paraId="4CDF9778" w14:textId="77777777" w:rsidR="00A920C6" w:rsidRDefault="00A920C6" w:rsidP="00A920C6">
      <w:pPr>
        <w:jc w:val="center"/>
        <w:rPr>
          <w:rFonts w:ascii="Verdana" w:hAnsi="Verdana"/>
          <w:noProof/>
        </w:rPr>
      </w:pPr>
      <w:r>
        <w:rPr>
          <w:noProof/>
        </w:rPr>
        <w:drawing>
          <wp:inline distT="0" distB="0" distL="0" distR="0" wp14:anchorId="1D73A85B" wp14:editId="49FC1887">
            <wp:extent cx="5369711" cy="1900052"/>
            <wp:effectExtent l="0" t="0" r="2540" b="5080"/>
            <wp:docPr id="8072866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286615" name=""/>
                    <pic:cNvPicPr/>
                  </pic:nvPicPr>
                  <pic:blipFill rotWithShape="1">
                    <a:blip r:embed="rId85"/>
                    <a:srcRect l="33197" t="38652" r="31469" b="29939"/>
                    <a:stretch>
                      <a:fillRect/>
                    </a:stretch>
                  </pic:blipFill>
                  <pic:spPr bwMode="auto">
                    <a:xfrm>
                      <a:off x="0" y="0"/>
                      <a:ext cx="5401391" cy="1911262"/>
                    </a:xfrm>
                    <a:prstGeom prst="rect">
                      <a:avLst/>
                    </a:prstGeom>
                    <a:ln>
                      <a:noFill/>
                    </a:ln>
                    <a:extLst>
                      <a:ext uri="{53640926-AAD7-44D8-BBD7-CCE9431645EC}">
                        <a14:shadowObscured xmlns:a14="http://schemas.microsoft.com/office/drawing/2010/main"/>
                      </a:ext>
                    </a:extLst>
                  </pic:spPr>
                </pic:pic>
              </a:graphicData>
            </a:graphic>
          </wp:inline>
        </w:drawing>
      </w:r>
    </w:p>
    <w:p w14:paraId="38C2BE4C" w14:textId="77777777" w:rsidR="00A920C6" w:rsidRPr="006E0A9E" w:rsidRDefault="00A920C6" w:rsidP="00A920C6">
      <w:pPr>
        <w:pStyle w:val="Normal0"/>
        <w:jc w:val="center"/>
        <w:rPr>
          <w:rFonts w:ascii="Verdana" w:eastAsia="Times New Roman" w:hAnsi="Verdana" w:cs="Arial"/>
          <w:b/>
          <w:bCs/>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Informe </w:t>
      </w:r>
      <w:r w:rsidRPr="006E0A9E">
        <w:rPr>
          <w:rFonts w:ascii="Verdana" w:hAnsi="Verdana" w:cs="Arial"/>
        </w:rPr>
        <w:t>Dinámica de Creación de Empresas en Colombia – 2025 (I)</w:t>
      </w:r>
    </w:p>
    <w:p w14:paraId="18720D81" w14:textId="77777777" w:rsidR="00457C83" w:rsidRDefault="00457C83" w:rsidP="002E3168">
      <w:pPr>
        <w:pStyle w:val="Normal0"/>
        <w:spacing w:after="0"/>
        <w:rPr>
          <w:rFonts w:ascii="Verdana" w:eastAsia="Times New Roman" w:hAnsi="Verdana" w:cs="Arial"/>
          <w:lang w:val="es-CO" w:eastAsia="es-MX"/>
        </w:rPr>
      </w:pPr>
    </w:p>
    <w:p w14:paraId="0D3353C9" w14:textId="0404370F" w:rsidR="0001204E" w:rsidRDefault="00D554C7" w:rsidP="00447A32">
      <w:pPr>
        <w:pStyle w:val="Normal0"/>
        <w:spacing w:after="0"/>
        <w:rPr>
          <w:rFonts w:ascii="Verdana" w:eastAsia="Times New Roman" w:hAnsi="Verdana" w:cs="Arial"/>
          <w:lang w:val="es-CO" w:eastAsia="es-MX"/>
        </w:rPr>
      </w:pPr>
      <w:r>
        <w:rPr>
          <w:rFonts w:ascii="Verdana" w:eastAsia="Times New Roman" w:hAnsi="Verdana" w:cs="Arial"/>
          <w:lang w:val="es-CO" w:eastAsia="es-MX"/>
        </w:rPr>
        <w:t xml:space="preserve">Aunado a lo anterior, y con base en información del </w:t>
      </w:r>
      <w:r w:rsidR="002D043D" w:rsidRPr="002D043D">
        <w:rPr>
          <w:rFonts w:ascii="Verdana" w:eastAsia="Times New Roman" w:hAnsi="Verdana" w:cs="Arial"/>
          <w:lang w:val="es-CO" w:eastAsia="es-MX"/>
        </w:rPr>
        <w:t>Observatorio de Movilidad Empresarial</w:t>
      </w:r>
      <w:r w:rsidR="002D043D">
        <w:rPr>
          <w:rFonts w:ascii="Verdana" w:eastAsia="Times New Roman" w:hAnsi="Verdana" w:cs="Arial"/>
          <w:lang w:val="es-CO" w:eastAsia="es-MX"/>
        </w:rPr>
        <w:t xml:space="preserve"> de Confecámaras</w:t>
      </w:r>
      <w:r w:rsidR="00E94054">
        <w:rPr>
          <w:rFonts w:ascii="Verdana" w:eastAsia="Times New Roman" w:hAnsi="Verdana" w:cs="Arial"/>
          <w:lang w:val="es-CO" w:eastAsia="es-MX"/>
        </w:rPr>
        <w:t xml:space="preserve"> a continuación se analizan algunas variables representativas de las </w:t>
      </w:r>
      <w:r w:rsidR="006E0A9E">
        <w:rPr>
          <w:rFonts w:ascii="Verdana" w:eastAsia="Times New Roman" w:hAnsi="Verdana" w:cs="Arial"/>
          <w:lang w:val="es-CO" w:eastAsia="es-MX"/>
        </w:rPr>
        <w:t>MiPymes</w:t>
      </w:r>
      <w:r w:rsidR="00E94054">
        <w:rPr>
          <w:rFonts w:ascii="Verdana" w:eastAsia="Times New Roman" w:hAnsi="Verdana" w:cs="Arial"/>
          <w:lang w:val="es-CO" w:eastAsia="es-MX"/>
        </w:rPr>
        <w:t xml:space="preserve"> </w:t>
      </w:r>
      <w:r w:rsidR="00E920E2">
        <w:rPr>
          <w:rFonts w:ascii="Verdana" w:eastAsia="Times New Roman" w:hAnsi="Verdana" w:cs="Arial"/>
          <w:lang w:val="es-CO" w:eastAsia="es-MX"/>
        </w:rPr>
        <w:t>para el año 2025. En primer lugar, de conformidad con el observatorio y la herramienta de “</w:t>
      </w:r>
      <w:r w:rsidR="00137B0E" w:rsidRPr="00137B0E">
        <w:rPr>
          <w:rFonts w:ascii="Verdana" w:eastAsia="Times New Roman" w:hAnsi="Verdana" w:cs="Arial"/>
          <w:lang w:val="es-CO" w:eastAsia="es-MX"/>
        </w:rPr>
        <w:t>Comportamiento histórico de las empresas</w:t>
      </w:r>
      <w:r w:rsidR="00E920E2">
        <w:rPr>
          <w:rFonts w:ascii="Verdana" w:eastAsia="Times New Roman" w:hAnsi="Verdana" w:cs="Arial"/>
          <w:lang w:val="es-CO" w:eastAsia="es-MX"/>
        </w:rPr>
        <w:t>”</w:t>
      </w:r>
      <w:r w:rsidR="00137B0E">
        <w:rPr>
          <w:rStyle w:val="Refdenotaalpie"/>
          <w:rFonts w:ascii="Verdana" w:eastAsia="Times New Roman" w:hAnsi="Verdana" w:cs="Arial"/>
          <w:lang w:val="es-CO" w:eastAsia="es-MX"/>
        </w:rPr>
        <w:footnoteReference w:id="53"/>
      </w:r>
      <w:r w:rsidR="00F92FB7">
        <w:rPr>
          <w:rFonts w:ascii="Verdana" w:eastAsia="Times New Roman" w:hAnsi="Verdana" w:cs="Arial"/>
          <w:lang w:val="es-CO" w:eastAsia="es-MX"/>
        </w:rPr>
        <w:t xml:space="preserve"> el total de empresas en Colombia asciende a la suma de 1.805.560 de las cuales </w:t>
      </w:r>
      <w:r w:rsidR="001145CD">
        <w:rPr>
          <w:rFonts w:ascii="Verdana" w:eastAsia="Times New Roman" w:hAnsi="Verdana" w:cs="Arial"/>
          <w:lang w:val="es-CO" w:eastAsia="es-MX"/>
        </w:rPr>
        <w:t>1.797.566 (</w:t>
      </w:r>
      <w:r w:rsidR="002E79DA">
        <w:rPr>
          <w:rFonts w:ascii="Verdana" w:eastAsia="Times New Roman" w:hAnsi="Verdana" w:cs="Arial"/>
          <w:lang w:val="es-CO" w:eastAsia="es-MX"/>
        </w:rPr>
        <w:t xml:space="preserve">99,56%) corresponden a </w:t>
      </w:r>
      <w:r w:rsidR="006E0A9E">
        <w:rPr>
          <w:rFonts w:ascii="Verdana" w:eastAsia="Times New Roman" w:hAnsi="Verdana" w:cs="Arial"/>
          <w:lang w:val="es-CO" w:eastAsia="es-MX"/>
        </w:rPr>
        <w:t>MiPymes</w:t>
      </w:r>
      <w:r w:rsidR="002E79DA">
        <w:rPr>
          <w:rFonts w:ascii="Verdana" w:eastAsia="Times New Roman" w:hAnsi="Verdana" w:cs="Arial"/>
          <w:lang w:val="es-CO" w:eastAsia="es-MX"/>
        </w:rPr>
        <w:t>.</w:t>
      </w:r>
      <w:r w:rsidR="0001204E">
        <w:rPr>
          <w:rFonts w:ascii="Verdana" w:eastAsia="Times New Roman" w:hAnsi="Verdana" w:cs="Arial"/>
          <w:lang w:val="es-CO" w:eastAsia="es-MX"/>
        </w:rPr>
        <w:t xml:space="preserve"> De esas empresas, el </w:t>
      </w:r>
      <w:r w:rsidR="007345CF">
        <w:rPr>
          <w:rFonts w:ascii="Verdana" w:eastAsia="Times New Roman" w:hAnsi="Verdana" w:cs="Arial"/>
          <w:lang w:val="es-CO" w:eastAsia="es-MX"/>
        </w:rPr>
        <w:t>92% corresponden a Microempresas, el 6% corresponden a Pequeñas empresas y el 2% corresponden a Medianas empresas.</w:t>
      </w:r>
    </w:p>
    <w:p w14:paraId="3BCF0459" w14:textId="77777777" w:rsidR="00EF2E13" w:rsidRDefault="00EF2E13" w:rsidP="00447A32">
      <w:pPr>
        <w:pStyle w:val="Normal0"/>
        <w:spacing w:after="0"/>
        <w:rPr>
          <w:rFonts w:ascii="Verdana" w:eastAsia="Times New Roman" w:hAnsi="Verdana" w:cs="Arial"/>
          <w:lang w:val="es-CO" w:eastAsia="es-MX"/>
        </w:rPr>
      </w:pPr>
    </w:p>
    <w:p w14:paraId="1C6072BD" w14:textId="77777777" w:rsidR="00EF2E13" w:rsidRPr="00EF2E13" w:rsidRDefault="00EF2E13" w:rsidP="00EF2E13">
      <w:pPr>
        <w:pStyle w:val="Normal0"/>
        <w:spacing w:after="0"/>
        <w:jc w:val="center"/>
        <w:rPr>
          <w:rFonts w:ascii="Verdana" w:eastAsia="Times New Roman" w:hAnsi="Verdana" w:cs="Arial"/>
          <w:lang w:val="es-CO" w:eastAsia="es-MX"/>
        </w:rPr>
      </w:pPr>
    </w:p>
    <w:p w14:paraId="1C9DBF69" w14:textId="69FCA673" w:rsidR="00EF2E13" w:rsidRPr="00EF2E13" w:rsidRDefault="00EF2E13" w:rsidP="00EF2E13">
      <w:pPr>
        <w:pStyle w:val="Descripcin"/>
        <w:jc w:val="center"/>
        <w:rPr>
          <w:rFonts w:ascii="Verdana" w:eastAsia="Times New Roman" w:hAnsi="Verdana" w:cs="Arial"/>
          <w:sz w:val="22"/>
          <w:szCs w:val="22"/>
          <w:lang w:val="es-CO" w:eastAsia="es-MX"/>
        </w:rPr>
      </w:pPr>
      <w:bookmarkStart w:id="519" w:name="_Toc231368820"/>
      <w:r w:rsidRPr="00EF2E13">
        <w:rPr>
          <w:rFonts w:ascii="Verdana" w:hAnsi="Verdana"/>
          <w:sz w:val="22"/>
          <w:szCs w:val="22"/>
        </w:rPr>
        <w:t xml:space="preserve">Gráfica </w:t>
      </w:r>
      <w:r w:rsidRPr="00EF2E13">
        <w:rPr>
          <w:rFonts w:ascii="Verdana" w:hAnsi="Verdana"/>
          <w:sz w:val="22"/>
          <w:szCs w:val="22"/>
        </w:rPr>
        <w:fldChar w:fldCharType="begin"/>
      </w:r>
      <w:r w:rsidRPr="00EF2E13">
        <w:rPr>
          <w:rFonts w:ascii="Verdana" w:hAnsi="Verdana"/>
          <w:sz w:val="22"/>
          <w:szCs w:val="22"/>
        </w:rPr>
        <w:instrText xml:space="preserve"> SEQ Gráfica \* ARABIC </w:instrText>
      </w:r>
      <w:r w:rsidRPr="00EF2E13">
        <w:rPr>
          <w:rFonts w:ascii="Verdana" w:hAnsi="Verdana"/>
          <w:sz w:val="22"/>
          <w:szCs w:val="22"/>
        </w:rPr>
        <w:fldChar w:fldCharType="separate"/>
      </w:r>
      <w:r w:rsidR="00973CF5">
        <w:rPr>
          <w:rFonts w:ascii="Verdana" w:hAnsi="Verdana"/>
          <w:noProof/>
          <w:sz w:val="22"/>
          <w:szCs w:val="22"/>
        </w:rPr>
        <w:t>45</w:t>
      </w:r>
      <w:r w:rsidRPr="00EF2E13">
        <w:rPr>
          <w:rFonts w:ascii="Verdana" w:hAnsi="Verdana"/>
          <w:sz w:val="22"/>
          <w:szCs w:val="22"/>
        </w:rPr>
        <w:fldChar w:fldCharType="end"/>
      </w:r>
      <w:r w:rsidRPr="00EF2E13">
        <w:rPr>
          <w:rFonts w:ascii="Verdana" w:hAnsi="Verdana"/>
          <w:sz w:val="22"/>
          <w:szCs w:val="22"/>
        </w:rPr>
        <w:t>. Participación MiPymes</w:t>
      </w:r>
      <w:bookmarkEnd w:id="519"/>
    </w:p>
    <w:p w14:paraId="696C5D95" w14:textId="584FD367" w:rsidR="007345CF" w:rsidRDefault="00EF2E13" w:rsidP="00EF2E13">
      <w:pPr>
        <w:pStyle w:val="Normal0"/>
        <w:spacing w:after="0"/>
        <w:jc w:val="center"/>
        <w:rPr>
          <w:rFonts w:ascii="Verdana" w:eastAsia="Times New Roman" w:hAnsi="Verdana" w:cs="Arial"/>
          <w:lang w:val="es-CO" w:eastAsia="es-MX"/>
        </w:rPr>
      </w:pPr>
      <w:r>
        <w:rPr>
          <w:noProof/>
        </w:rPr>
        <w:drawing>
          <wp:inline distT="0" distB="0" distL="0" distR="0" wp14:anchorId="096DED1D" wp14:editId="3D20AA71">
            <wp:extent cx="3015754" cy="2493819"/>
            <wp:effectExtent l="0" t="0" r="0" b="1905"/>
            <wp:docPr id="4506091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09186" name=""/>
                    <pic:cNvPicPr/>
                  </pic:nvPicPr>
                  <pic:blipFill rotWithShape="1">
                    <a:blip r:embed="rId86"/>
                    <a:srcRect l="52978" t="36582" r="22371" b="27159"/>
                    <a:stretch>
                      <a:fillRect/>
                    </a:stretch>
                  </pic:blipFill>
                  <pic:spPr bwMode="auto">
                    <a:xfrm>
                      <a:off x="0" y="0"/>
                      <a:ext cx="3036885" cy="2511293"/>
                    </a:xfrm>
                    <a:prstGeom prst="rect">
                      <a:avLst/>
                    </a:prstGeom>
                    <a:ln>
                      <a:noFill/>
                    </a:ln>
                    <a:extLst>
                      <a:ext uri="{53640926-AAD7-44D8-BBD7-CCE9431645EC}">
                        <a14:shadowObscured xmlns:a14="http://schemas.microsoft.com/office/drawing/2010/main"/>
                      </a:ext>
                    </a:extLst>
                  </pic:spPr>
                </pic:pic>
              </a:graphicData>
            </a:graphic>
          </wp:inline>
        </w:drawing>
      </w:r>
    </w:p>
    <w:p w14:paraId="65ACB06A" w14:textId="0815D98E" w:rsidR="002E3168" w:rsidRPr="006E0A9E" w:rsidRDefault="00EF2E13" w:rsidP="00EF2E13">
      <w:pPr>
        <w:pStyle w:val="Normal0"/>
        <w:spacing w:after="0"/>
        <w:jc w:val="center"/>
        <w:rPr>
          <w:rFonts w:ascii="Verdana" w:eastAsia="Times New Roman" w:hAnsi="Verdana" w:cs="Arial"/>
          <w:lang w:val="es-CO" w:eastAsia="es-MX"/>
        </w:rPr>
      </w:pPr>
      <w:r w:rsidRPr="006E0A9E">
        <w:rPr>
          <w:rFonts w:ascii="Verdana" w:eastAsia="Times New Roman" w:hAnsi="Verdana" w:cs="Arial"/>
          <w:b/>
          <w:bCs/>
          <w:lang w:val="es-CO" w:eastAsia="es-MX"/>
        </w:rPr>
        <w:t>Fuente</w:t>
      </w:r>
      <w:r w:rsidRPr="006E0A9E">
        <w:rPr>
          <w:rFonts w:ascii="Verdana" w:eastAsia="Times New Roman" w:hAnsi="Verdana" w:cs="Arial"/>
          <w:lang w:val="es-CO" w:eastAsia="es-MX"/>
        </w:rPr>
        <w:t xml:space="preserve">: </w:t>
      </w:r>
      <w:r w:rsidRPr="006E0A9E">
        <w:rPr>
          <w:rFonts w:ascii="Verdana" w:hAnsi="Verdana"/>
        </w:rPr>
        <w:t>Observatorio de Movilidad Empresarial. Confecámaras</w:t>
      </w:r>
    </w:p>
    <w:p w14:paraId="5C2C362A" w14:textId="77777777" w:rsidR="002E3168" w:rsidRPr="00611315" w:rsidRDefault="002E3168" w:rsidP="00447A32">
      <w:pPr>
        <w:pStyle w:val="Normal0"/>
        <w:spacing w:after="0"/>
        <w:rPr>
          <w:rFonts w:ascii="Verdana" w:eastAsia="Times New Roman" w:hAnsi="Verdana" w:cs="Arial"/>
          <w:lang w:val="es-CO" w:eastAsia="es-MX"/>
        </w:rPr>
      </w:pPr>
    </w:p>
    <w:p w14:paraId="4C6874CE" w14:textId="77777777" w:rsidR="00EE1644" w:rsidRPr="00611315" w:rsidRDefault="00EE1644" w:rsidP="00447A32">
      <w:pPr>
        <w:pStyle w:val="Normal0"/>
        <w:spacing w:after="0"/>
        <w:rPr>
          <w:rFonts w:ascii="Verdana" w:eastAsia="Times New Roman" w:hAnsi="Verdana" w:cs="Arial"/>
          <w:lang w:val="es-CO" w:eastAsia="es-MX"/>
        </w:rPr>
      </w:pPr>
    </w:p>
    <w:p w14:paraId="29C95FCA" w14:textId="1B7ECCCD" w:rsidR="00CD3932" w:rsidRDefault="00043662" w:rsidP="002816EB">
      <w:pPr>
        <w:jc w:val="both"/>
        <w:rPr>
          <w:rFonts w:ascii="Verdana" w:hAnsi="Verdana"/>
          <w:noProof/>
        </w:rPr>
      </w:pPr>
      <w:r>
        <w:rPr>
          <w:rFonts w:ascii="Verdana" w:hAnsi="Verdana"/>
          <w:noProof/>
        </w:rPr>
        <w:t>Si acotamos el análisis a las empresas clasificadas dentro del sector de “Construcción”</w:t>
      </w:r>
      <w:r w:rsidR="00BF02F3">
        <w:rPr>
          <w:rFonts w:ascii="Verdana" w:hAnsi="Verdana"/>
          <w:noProof/>
        </w:rPr>
        <w:t xml:space="preserve"> aplicando el filtro en el visualizador, </w:t>
      </w:r>
      <w:r w:rsidR="00AB68E1">
        <w:rPr>
          <w:rFonts w:ascii="Verdana" w:hAnsi="Verdana"/>
          <w:noProof/>
        </w:rPr>
        <w:t>se logra establecer que el sector cuenta con 84.656 empresas categorizadas como Mipymes, d</w:t>
      </w:r>
      <w:r w:rsidR="00D2202B">
        <w:rPr>
          <w:rFonts w:ascii="Verdana" w:hAnsi="Verdana"/>
          <w:noProof/>
        </w:rPr>
        <w:t>e las cuales el 83% corresponden a Microempresas, el 14% a Pequeñas empresas y el 3% a Mediana empresas.</w:t>
      </w:r>
    </w:p>
    <w:p w14:paraId="148AF486" w14:textId="77777777" w:rsidR="006C4775" w:rsidRDefault="006C4775" w:rsidP="002816EB">
      <w:pPr>
        <w:jc w:val="both"/>
        <w:rPr>
          <w:rFonts w:ascii="Verdana" w:hAnsi="Verdana"/>
          <w:noProof/>
        </w:rPr>
      </w:pPr>
    </w:p>
    <w:p w14:paraId="16D7CCFB" w14:textId="77777777" w:rsidR="006C4775" w:rsidRDefault="006C4775" w:rsidP="002816EB">
      <w:pPr>
        <w:jc w:val="both"/>
        <w:rPr>
          <w:rFonts w:ascii="Verdana" w:hAnsi="Verdana"/>
          <w:noProof/>
        </w:rPr>
      </w:pPr>
    </w:p>
    <w:p w14:paraId="5E3A9DA9" w14:textId="68B4CB1B" w:rsidR="00564AD8" w:rsidRDefault="006C4775" w:rsidP="00E7223F">
      <w:pPr>
        <w:pStyle w:val="Descripcin"/>
        <w:jc w:val="center"/>
        <w:rPr>
          <w:rFonts w:ascii="Verdana" w:hAnsi="Verdana"/>
          <w:sz w:val="22"/>
          <w:szCs w:val="22"/>
        </w:rPr>
      </w:pPr>
      <w:bookmarkStart w:id="520" w:name="_Toc231368821"/>
      <w:r w:rsidRPr="006C4775">
        <w:rPr>
          <w:rFonts w:ascii="Verdana" w:hAnsi="Verdana"/>
          <w:sz w:val="22"/>
          <w:szCs w:val="22"/>
        </w:rPr>
        <w:t xml:space="preserve">Gráfica </w:t>
      </w:r>
      <w:r w:rsidRPr="006C4775">
        <w:rPr>
          <w:rFonts w:ascii="Verdana" w:hAnsi="Verdana"/>
          <w:sz w:val="22"/>
          <w:szCs w:val="22"/>
        </w:rPr>
        <w:fldChar w:fldCharType="begin"/>
      </w:r>
      <w:r w:rsidRPr="006C4775">
        <w:rPr>
          <w:rFonts w:ascii="Verdana" w:hAnsi="Verdana"/>
          <w:sz w:val="22"/>
          <w:szCs w:val="22"/>
        </w:rPr>
        <w:instrText xml:space="preserve"> SEQ Gráfica \* ARABIC </w:instrText>
      </w:r>
      <w:r w:rsidRPr="006C4775">
        <w:rPr>
          <w:rFonts w:ascii="Verdana" w:hAnsi="Verdana"/>
          <w:sz w:val="22"/>
          <w:szCs w:val="22"/>
        </w:rPr>
        <w:fldChar w:fldCharType="separate"/>
      </w:r>
      <w:r w:rsidR="00973CF5">
        <w:rPr>
          <w:rFonts w:ascii="Verdana" w:hAnsi="Verdana"/>
          <w:noProof/>
          <w:sz w:val="22"/>
          <w:szCs w:val="22"/>
        </w:rPr>
        <w:t>46</w:t>
      </w:r>
      <w:r w:rsidRPr="006C4775">
        <w:rPr>
          <w:rFonts w:ascii="Verdana" w:hAnsi="Verdana"/>
          <w:sz w:val="22"/>
          <w:szCs w:val="22"/>
        </w:rPr>
        <w:fldChar w:fldCharType="end"/>
      </w:r>
      <w:r w:rsidRPr="006C4775">
        <w:rPr>
          <w:rFonts w:ascii="Verdana" w:hAnsi="Verdana"/>
          <w:sz w:val="22"/>
          <w:szCs w:val="22"/>
        </w:rPr>
        <w:t>. Participación MiPymes Sector Construcción</w:t>
      </w:r>
      <w:bookmarkEnd w:id="520"/>
    </w:p>
    <w:p w14:paraId="12793B85" w14:textId="47033FED" w:rsidR="002E3168" w:rsidRDefault="00BA342A" w:rsidP="00BA342A">
      <w:pPr>
        <w:pStyle w:val="Descripcin"/>
        <w:jc w:val="center"/>
        <w:rPr>
          <w:rFonts w:ascii="Verdana" w:hAnsi="Verdana" w:cs="Arial"/>
          <w:sz w:val="22"/>
          <w:szCs w:val="22"/>
          <w:highlight w:val="yellow"/>
        </w:rPr>
      </w:pPr>
      <w:r w:rsidRPr="00BA342A">
        <w:rPr>
          <w:noProof/>
        </w:rPr>
        <w:drawing>
          <wp:inline distT="0" distB="0" distL="0" distR="0" wp14:anchorId="4DFE9BCB" wp14:editId="55736555">
            <wp:extent cx="2493645" cy="2268220"/>
            <wp:effectExtent l="0" t="0" r="1905" b="0"/>
            <wp:docPr id="17410127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493645" cy="2268220"/>
                    </a:xfrm>
                    <a:prstGeom prst="rect">
                      <a:avLst/>
                    </a:prstGeom>
                    <a:noFill/>
                    <a:ln>
                      <a:noFill/>
                    </a:ln>
                  </pic:spPr>
                </pic:pic>
              </a:graphicData>
            </a:graphic>
          </wp:inline>
        </w:drawing>
      </w:r>
    </w:p>
    <w:p w14:paraId="190F97FB" w14:textId="77777777" w:rsidR="00E7223F" w:rsidRPr="00EF2E13" w:rsidRDefault="00E7223F" w:rsidP="00BA342A">
      <w:pPr>
        <w:pStyle w:val="Normal0"/>
        <w:spacing w:after="0"/>
        <w:jc w:val="center"/>
        <w:rPr>
          <w:rFonts w:ascii="Verdana" w:eastAsia="Times New Roman" w:hAnsi="Verdana" w:cs="Arial"/>
          <w:sz w:val="16"/>
          <w:szCs w:val="16"/>
          <w:lang w:val="es-CO" w:eastAsia="es-MX"/>
        </w:rPr>
      </w:pPr>
      <w:r w:rsidRPr="004C1C05">
        <w:rPr>
          <w:rFonts w:ascii="Verdana" w:eastAsia="Times New Roman" w:hAnsi="Verdana" w:cs="Arial"/>
          <w:b/>
          <w:bCs/>
          <w:lang w:val="es-CO" w:eastAsia="es-MX"/>
        </w:rPr>
        <w:t>Fuente</w:t>
      </w:r>
      <w:r w:rsidRPr="004C1C05">
        <w:rPr>
          <w:rFonts w:ascii="Verdana" w:eastAsia="Times New Roman" w:hAnsi="Verdana" w:cs="Arial"/>
          <w:lang w:val="es-CO" w:eastAsia="es-MX"/>
        </w:rPr>
        <w:t xml:space="preserve">: </w:t>
      </w:r>
      <w:r w:rsidRPr="004C1C05">
        <w:rPr>
          <w:rFonts w:ascii="Verdana" w:hAnsi="Verdana"/>
        </w:rPr>
        <w:t>Observatorio de Movilidad Empresarial. Confecámaras</w:t>
      </w:r>
    </w:p>
    <w:p w14:paraId="576D2D9A" w14:textId="77777777" w:rsidR="002E3168" w:rsidRDefault="002E3168">
      <w:pPr>
        <w:autoSpaceDE w:val="0"/>
        <w:autoSpaceDN w:val="0"/>
        <w:spacing w:line="276" w:lineRule="auto"/>
        <w:jc w:val="both"/>
        <w:rPr>
          <w:rFonts w:ascii="Verdana" w:hAnsi="Verdana" w:cs="Arial"/>
          <w:sz w:val="22"/>
          <w:szCs w:val="22"/>
          <w:highlight w:val="yellow"/>
        </w:rPr>
      </w:pPr>
    </w:p>
    <w:p w14:paraId="462DA37D" w14:textId="5856F874" w:rsidR="00197763" w:rsidRPr="00187EC9" w:rsidRDefault="00197763">
      <w:pPr>
        <w:autoSpaceDE w:val="0"/>
        <w:autoSpaceDN w:val="0"/>
        <w:spacing w:line="276" w:lineRule="auto"/>
        <w:jc w:val="both"/>
        <w:rPr>
          <w:rFonts w:ascii="Verdana" w:hAnsi="Verdana" w:cs="Arial"/>
          <w:sz w:val="22"/>
          <w:szCs w:val="22"/>
        </w:rPr>
      </w:pPr>
      <w:r w:rsidRPr="00187EC9">
        <w:rPr>
          <w:rFonts w:ascii="Verdana" w:hAnsi="Verdana" w:cs="Arial"/>
          <w:sz w:val="22"/>
          <w:szCs w:val="22"/>
        </w:rPr>
        <w:t>Finalmente</w:t>
      </w:r>
      <w:r w:rsidR="00187EC9">
        <w:rPr>
          <w:rFonts w:ascii="Verdana" w:hAnsi="Verdana" w:cs="Arial"/>
          <w:sz w:val="22"/>
          <w:szCs w:val="22"/>
        </w:rPr>
        <w:t xml:space="preserve">, resulta pertinente reseñar las empresas categorizadas como MiPymes de </w:t>
      </w:r>
      <w:r w:rsidR="00595EA2">
        <w:rPr>
          <w:rFonts w:ascii="Verdana" w:hAnsi="Verdana" w:cs="Arial"/>
          <w:sz w:val="22"/>
          <w:szCs w:val="22"/>
        </w:rPr>
        <w:t xml:space="preserve">la muestra de empresas utilizadas para realizar el análisis de información financiera que sustentó la definición de los requisitos de capacidad financiera y organizacional en el numeral </w:t>
      </w:r>
      <w:r w:rsidR="00341502" w:rsidRPr="00341502">
        <w:rPr>
          <w:rFonts w:ascii="Verdana" w:hAnsi="Verdana" w:cs="Arial"/>
          <w:sz w:val="22"/>
          <w:szCs w:val="22"/>
        </w:rPr>
        <w:t>II. Análisis de requisitos habilitantes solicitados en los documentos tipo para proyectos de obra pública de infraestructura de agua potable y saneamiento básico</w:t>
      </w:r>
      <w:r w:rsidR="00341502">
        <w:rPr>
          <w:rFonts w:ascii="Verdana" w:hAnsi="Verdana" w:cs="Arial"/>
          <w:sz w:val="22"/>
          <w:szCs w:val="22"/>
        </w:rPr>
        <w:t>.</w:t>
      </w:r>
    </w:p>
    <w:p w14:paraId="0F469480" w14:textId="77777777" w:rsidR="00197763" w:rsidRDefault="00197763">
      <w:pPr>
        <w:autoSpaceDE w:val="0"/>
        <w:autoSpaceDN w:val="0"/>
        <w:spacing w:line="276" w:lineRule="auto"/>
        <w:jc w:val="both"/>
        <w:rPr>
          <w:rFonts w:ascii="Verdana" w:hAnsi="Verdana" w:cs="Arial"/>
          <w:sz w:val="22"/>
          <w:szCs w:val="22"/>
          <w:highlight w:val="yellow"/>
        </w:rPr>
      </w:pPr>
    </w:p>
    <w:p w14:paraId="7D4E8867" w14:textId="51584B63" w:rsidR="00C32762" w:rsidRDefault="00EE1644">
      <w:pPr>
        <w:autoSpaceDE w:val="0"/>
        <w:autoSpaceDN w:val="0"/>
        <w:spacing w:line="276" w:lineRule="auto"/>
        <w:jc w:val="both"/>
        <w:rPr>
          <w:rFonts w:ascii="Verdana" w:hAnsi="Verdana" w:cs="Arial"/>
          <w:sz w:val="22"/>
          <w:szCs w:val="22"/>
        </w:rPr>
      </w:pPr>
      <w:proofErr w:type="gramStart"/>
      <w:r w:rsidRPr="00290796">
        <w:rPr>
          <w:rFonts w:ascii="Verdana" w:hAnsi="Verdana" w:cs="Arial"/>
          <w:sz w:val="22"/>
          <w:szCs w:val="22"/>
        </w:rPr>
        <w:t>De acuerdo a</w:t>
      </w:r>
      <w:proofErr w:type="gramEnd"/>
      <w:r w:rsidRPr="00290796">
        <w:rPr>
          <w:rFonts w:ascii="Verdana" w:hAnsi="Verdana" w:cs="Arial"/>
          <w:sz w:val="22"/>
          <w:szCs w:val="22"/>
        </w:rPr>
        <w:t xml:space="preserve"> lo descrito en la sección </w:t>
      </w:r>
      <w:r w:rsidRPr="00290796">
        <w:rPr>
          <w:rFonts w:ascii="Verdana" w:hAnsi="Verdana" w:cs="Arial"/>
          <w:b/>
          <w:sz w:val="22"/>
          <w:szCs w:val="22"/>
        </w:rPr>
        <w:t>Tamaño empresarial de la muestra analizada</w:t>
      </w:r>
      <w:r w:rsidRPr="00290796">
        <w:rPr>
          <w:rFonts w:ascii="Verdana" w:hAnsi="Verdana" w:cs="Arial"/>
          <w:sz w:val="22"/>
          <w:szCs w:val="22"/>
        </w:rPr>
        <w:t xml:space="preserve">, se pudo establecer que de las </w:t>
      </w:r>
      <w:r w:rsidR="00304EE7" w:rsidRPr="00290796">
        <w:rPr>
          <w:rFonts w:ascii="Verdana" w:hAnsi="Verdana" w:cs="Arial"/>
          <w:sz w:val="22"/>
          <w:szCs w:val="22"/>
        </w:rPr>
        <w:t>589</w:t>
      </w:r>
      <w:r w:rsidR="00C32762">
        <w:rPr>
          <w:rFonts w:ascii="Verdana" w:hAnsi="Verdana" w:cs="Arial"/>
          <w:sz w:val="22"/>
          <w:szCs w:val="22"/>
        </w:rPr>
        <w:t xml:space="preserve"> empresas </w:t>
      </w:r>
      <w:r w:rsidR="00EE74A2">
        <w:rPr>
          <w:rFonts w:ascii="Verdana" w:hAnsi="Verdana" w:cs="Arial"/>
          <w:sz w:val="22"/>
          <w:szCs w:val="22"/>
        </w:rPr>
        <w:t xml:space="preserve">el 99,32% </w:t>
      </w:r>
      <w:r w:rsidR="0015545F">
        <w:rPr>
          <w:rFonts w:ascii="Verdana" w:hAnsi="Verdana" w:cs="Arial"/>
          <w:sz w:val="22"/>
          <w:szCs w:val="22"/>
        </w:rPr>
        <w:t>se encuentran clasificadas en el</w:t>
      </w:r>
      <w:r w:rsidR="00EE74A2">
        <w:rPr>
          <w:rFonts w:ascii="Verdana" w:hAnsi="Verdana" w:cs="Arial"/>
          <w:sz w:val="22"/>
          <w:szCs w:val="22"/>
        </w:rPr>
        <w:t xml:space="preserve"> sector servicios, el 0,17% </w:t>
      </w:r>
      <w:r w:rsidR="0015545F">
        <w:rPr>
          <w:rFonts w:ascii="Verdana" w:hAnsi="Verdana" w:cs="Arial"/>
          <w:sz w:val="22"/>
          <w:szCs w:val="22"/>
        </w:rPr>
        <w:t>en el</w:t>
      </w:r>
      <w:r w:rsidR="00EE74A2">
        <w:rPr>
          <w:rFonts w:ascii="Verdana" w:hAnsi="Verdana" w:cs="Arial"/>
          <w:sz w:val="22"/>
          <w:szCs w:val="22"/>
        </w:rPr>
        <w:t xml:space="preserve"> sector manufacturero y el 0,51% </w:t>
      </w:r>
      <w:r w:rsidR="0015545F">
        <w:rPr>
          <w:rFonts w:ascii="Verdana" w:hAnsi="Verdana" w:cs="Arial"/>
          <w:sz w:val="22"/>
          <w:szCs w:val="22"/>
        </w:rPr>
        <w:t>en el</w:t>
      </w:r>
      <w:r w:rsidR="00EE74A2">
        <w:rPr>
          <w:rFonts w:ascii="Verdana" w:hAnsi="Verdana" w:cs="Arial"/>
          <w:sz w:val="22"/>
          <w:szCs w:val="22"/>
        </w:rPr>
        <w:t xml:space="preserve"> sector comercio</w:t>
      </w:r>
      <w:r w:rsidR="0015545F">
        <w:rPr>
          <w:rFonts w:ascii="Verdana" w:hAnsi="Verdana" w:cs="Arial"/>
          <w:sz w:val="22"/>
          <w:szCs w:val="22"/>
        </w:rPr>
        <w:t>.</w:t>
      </w:r>
    </w:p>
    <w:p w14:paraId="03AA4D94" w14:textId="77777777" w:rsidR="00C32762" w:rsidRDefault="00C32762">
      <w:pPr>
        <w:autoSpaceDE w:val="0"/>
        <w:autoSpaceDN w:val="0"/>
        <w:spacing w:line="276" w:lineRule="auto"/>
        <w:jc w:val="both"/>
        <w:rPr>
          <w:rFonts w:ascii="Verdana" w:hAnsi="Verdana" w:cs="Arial"/>
          <w:sz w:val="22"/>
          <w:szCs w:val="22"/>
        </w:rPr>
      </w:pPr>
    </w:p>
    <w:p w14:paraId="6CF044BE" w14:textId="61696D94" w:rsidR="00EE1644" w:rsidRDefault="0015545F" w:rsidP="0015545F">
      <w:pPr>
        <w:jc w:val="both"/>
        <w:rPr>
          <w:rFonts w:ascii="Verdana" w:hAnsi="Verdana" w:cs="Arial"/>
          <w:sz w:val="22"/>
          <w:szCs w:val="22"/>
        </w:rPr>
      </w:pPr>
      <w:r w:rsidRPr="00BE592F">
        <w:rPr>
          <w:rFonts w:ascii="Verdana" w:hAnsi="Verdana" w:cs="Arial"/>
          <w:sz w:val="22"/>
          <w:szCs w:val="22"/>
        </w:rPr>
        <w:t>Con relación a las empresas clasificadas dentro del sector servicios, el análisis arrojó como resultados que el 31% de las empresas de la muestra analizada son microempresas, el 29% pequeñas empresas, el 22% medianas y el 18% se categorizan como gran empresa</w:t>
      </w:r>
      <w:r>
        <w:rPr>
          <w:rFonts w:ascii="Verdana" w:hAnsi="Verdana" w:cs="Arial"/>
          <w:sz w:val="22"/>
          <w:szCs w:val="22"/>
        </w:rPr>
        <w:t xml:space="preserve">. Esta clasificación se realizó </w:t>
      </w:r>
      <w:r w:rsidR="00EE1644" w:rsidRPr="00290796">
        <w:rPr>
          <w:rFonts w:ascii="Verdana" w:hAnsi="Verdana" w:cs="Arial"/>
          <w:sz w:val="22"/>
          <w:szCs w:val="22"/>
        </w:rPr>
        <w:t xml:space="preserve">de acuerdo con la clasificación del tamaño empresarial realizada de acuerdo con la cuenta de ingresos por actividades ordinarias anuales siguiendo las disposiciones del Decreto 957 de </w:t>
      </w:r>
      <w:r w:rsidRPr="00290796">
        <w:rPr>
          <w:rFonts w:ascii="Verdana" w:hAnsi="Verdana" w:cs="Arial"/>
          <w:sz w:val="22"/>
          <w:szCs w:val="22"/>
        </w:rPr>
        <w:t>2019 y</w:t>
      </w:r>
      <w:r w:rsidR="00EE1644" w:rsidRPr="00290796">
        <w:rPr>
          <w:rFonts w:ascii="Verdana" w:hAnsi="Verdana" w:cs="Arial"/>
          <w:sz w:val="22"/>
          <w:szCs w:val="22"/>
        </w:rPr>
        <w:t xml:space="preserve"> aplicándoles </w:t>
      </w:r>
      <w:r w:rsidR="00EE1644" w:rsidRPr="00290796">
        <w:rPr>
          <w:rFonts w:ascii="Verdana" w:hAnsi="Verdana" w:cs="Arial"/>
          <w:sz w:val="22"/>
          <w:szCs w:val="22"/>
        </w:rPr>
        <w:lastRenderedPageBreak/>
        <w:t>el factor clasificatorio con las Unidades de Valor Unitario (U.V.T.), tal y como se puede evidenciar en la siguiente gráfica:</w:t>
      </w:r>
    </w:p>
    <w:p w14:paraId="53E8F2AE" w14:textId="77777777" w:rsidR="00DE5CCE" w:rsidRDefault="00DE5CCE">
      <w:pPr>
        <w:autoSpaceDE w:val="0"/>
        <w:autoSpaceDN w:val="0"/>
        <w:spacing w:line="276" w:lineRule="auto"/>
        <w:jc w:val="both"/>
        <w:rPr>
          <w:rFonts w:ascii="Verdana" w:hAnsi="Verdana" w:cs="Arial"/>
          <w:sz w:val="22"/>
          <w:szCs w:val="22"/>
        </w:rPr>
      </w:pPr>
    </w:p>
    <w:p w14:paraId="69DCFAE0" w14:textId="77777777" w:rsidR="00DE5CCE" w:rsidRPr="00EE2244" w:rsidRDefault="00DE5CCE" w:rsidP="00DE5CCE">
      <w:pPr>
        <w:autoSpaceDE w:val="0"/>
        <w:autoSpaceDN w:val="0"/>
        <w:jc w:val="center"/>
        <w:rPr>
          <w:rFonts w:ascii="Verdana" w:eastAsia="Calibri" w:hAnsi="Verdana"/>
          <w:b/>
          <w:bCs/>
          <w:sz w:val="22"/>
          <w:szCs w:val="22"/>
          <w:lang w:val="es-ES" w:eastAsia="en-US"/>
        </w:rPr>
      </w:pPr>
    </w:p>
    <w:p w14:paraId="5D914DC6" w14:textId="30C529E2" w:rsidR="00DE5CCE" w:rsidRPr="00EE2244" w:rsidRDefault="00DE5CCE" w:rsidP="00DE5CCE">
      <w:pPr>
        <w:pStyle w:val="Descripcin"/>
        <w:jc w:val="center"/>
        <w:rPr>
          <w:rFonts w:ascii="Verdana" w:hAnsi="Verdana"/>
          <w:sz w:val="22"/>
          <w:szCs w:val="22"/>
        </w:rPr>
      </w:pPr>
      <w:bookmarkStart w:id="521" w:name="_Toc231368822"/>
      <w:r w:rsidRPr="00EE2244">
        <w:rPr>
          <w:rFonts w:ascii="Verdana" w:hAnsi="Verdana"/>
          <w:sz w:val="22"/>
          <w:szCs w:val="22"/>
        </w:rPr>
        <w:t xml:space="preserve">Gráfica </w:t>
      </w:r>
      <w:r w:rsidRPr="00EE2244">
        <w:rPr>
          <w:rFonts w:ascii="Verdana" w:hAnsi="Verdana"/>
          <w:sz w:val="22"/>
          <w:szCs w:val="22"/>
        </w:rPr>
        <w:fldChar w:fldCharType="begin"/>
      </w:r>
      <w:r w:rsidRPr="00EE2244">
        <w:rPr>
          <w:rFonts w:ascii="Verdana" w:hAnsi="Verdana"/>
          <w:sz w:val="22"/>
          <w:szCs w:val="22"/>
        </w:rPr>
        <w:instrText xml:space="preserve"> SEQ Gráfica \* ARABIC </w:instrText>
      </w:r>
      <w:r w:rsidRPr="00EE2244">
        <w:rPr>
          <w:rFonts w:ascii="Verdana" w:hAnsi="Verdana"/>
          <w:sz w:val="22"/>
          <w:szCs w:val="22"/>
        </w:rPr>
        <w:fldChar w:fldCharType="separate"/>
      </w:r>
      <w:r w:rsidR="00973CF5">
        <w:rPr>
          <w:rFonts w:ascii="Verdana" w:hAnsi="Verdana"/>
          <w:noProof/>
          <w:sz w:val="22"/>
          <w:szCs w:val="22"/>
        </w:rPr>
        <w:t>47</w:t>
      </w:r>
      <w:r w:rsidRPr="00EE2244">
        <w:rPr>
          <w:rFonts w:ascii="Verdana" w:hAnsi="Verdana"/>
          <w:sz w:val="22"/>
          <w:szCs w:val="22"/>
        </w:rPr>
        <w:fldChar w:fldCharType="end"/>
      </w:r>
      <w:r w:rsidRPr="00EE2244">
        <w:rPr>
          <w:rFonts w:ascii="Verdana" w:hAnsi="Verdana"/>
          <w:sz w:val="22"/>
          <w:szCs w:val="22"/>
        </w:rPr>
        <w:t>. Tamaño empresarial - Sector Servicios</w:t>
      </w:r>
      <w:bookmarkEnd w:id="521"/>
    </w:p>
    <w:p w14:paraId="2A617C13" w14:textId="77777777" w:rsidR="00DE5CCE" w:rsidRDefault="00DE5CCE" w:rsidP="00DE5CCE">
      <w:pPr>
        <w:autoSpaceDE w:val="0"/>
        <w:autoSpaceDN w:val="0"/>
        <w:jc w:val="center"/>
        <w:rPr>
          <w:rFonts w:ascii="Verdana" w:hAnsi="Verdana" w:cs="Arial"/>
          <w:b/>
          <w:bCs/>
          <w:sz w:val="22"/>
          <w:szCs w:val="22"/>
          <w:highlight w:val="yellow"/>
          <w:u w:val="single"/>
        </w:rPr>
      </w:pPr>
      <w:r>
        <w:rPr>
          <w:noProof/>
        </w:rPr>
        <w:drawing>
          <wp:inline distT="0" distB="0" distL="0" distR="0" wp14:anchorId="3872A71F" wp14:editId="218215A6">
            <wp:extent cx="3416867" cy="2807996"/>
            <wp:effectExtent l="0" t="0" r="12700" b="11430"/>
            <wp:docPr id="576854143" name="Gráfico 1">
              <a:extLst xmlns:a="http://schemas.openxmlformats.org/drawingml/2006/main">
                <a:ext uri="{FF2B5EF4-FFF2-40B4-BE49-F238E27FC236}">
                  <a16:creationId xmlns:a16="http://schemas.microsoft.com/office/drawing/2014/main" id="{69050034-77BD-4A2B-920B-3E4008785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78E1A1E4" w14:textId="77777777" w:rsidR="00DE5CCE" w:rsidRPr="004C1C05" w:rsidRDefault="00DE5CCE" w:rsidP="00DE5CCE">
      <w:pPr>
        <w:jc w:val="center"/>
        <w:rPr>
          <w:rFonts w:ascii="Verdana" w:hAnsi="Verdana" w:cs="Arial"/>
          <w:sz w:val="22"/>
          <w:szCs w:val="22"/>
        </w:rPr>
      </w:pPr>
      <w:r w:rsidRPr="004C1C05">
        <w:rPr>
          <w:rFonts w:ascii="Verdana" w:hAnsi="Verdana" w:cs="Arial"/>
          <w:b/>
          <w:bCs/>
          <w:sz w:val="22"/>
          <w:szCs w:val="22"/>
        </w:rPr>
        <w:t>Fuente:</w:t>
      </w:r>
      <w:r w:rsidRPr="004C1C05">
        <w:rPr>
          <w:rFonts w:ascii="Verdana" w:hAnsi="Verdana" w:cs="Arial"/>
          <w:sz w:val="22"/>
          <w:szCs w:val="22"/>
        </w:rPr>
        <w:t xml:space="preserve"> Elaboración propia</w:t>
      </w:r>
    </w:p>
    <w:p w14:paraId="030CA27D" w14:textId="77777777" w:rsidR="00DE5CCE" w:rsidRDefault="00DE5CCE" w:rsidP="00DE5CCE">
      <w:pPr>
        <w:autoSpaceDE w:val="0"/>
        <w:autoSpaceDN w:val="0"/>
        <w:jc w:val="both"/>
        <w:rPr>
          <w:rFonts w:ascii="Verdana" w:hAnsi="Verdana" w:cs="Arial"/>
          <w:b/>
          <w:bCs/>
          <w:sz w:val="22"/>
          <w:szCs w:val="22"/>
          <w:highlight w:val="yellow"/>
          <w:u w:val="single"/>
        </w:rPr>
      </w:pPr>
    </w:p>
    <w:p w14:paraId="16C2563A" w14:textId="77777777" w:rsidR="00DE5CCE" w:rsidRDefault="00DE5CCE" w:rsidP="00DE5CCE">
      <w:pPr>
        <w:autoSpaceDE w:val="0"/>
        <w:autoSpaceDN w:val="0"/>
        <w:jc w:val="both"/>
        <w:rPr>
          <w:rFonts w:ascii="Verdana" w:hAnsi="Verdana" w:cs="Arial"/>
          <w:b/>
          <w:bCs/>
          <w:sz w:val="22"/>
          <w:szCs w:val="22"/>
          <w:highlight w:val="yellow"/>
          <w:u w:val="single"/>
        </w:rPr>
      </w:pPr>
      <w:r>
        <w:rPr>
          <w:rFonts w:ascii="Verdana" w:hAnsi="Verdana" w:cs="Arial"/>
          <w:sz w:val="22"/>
          <w:szCs w:val="22"/>
        </w:rPr>
        <w:t xml:space="preserve">Respecto </w:t>
      </w:r>
      <w:r w:rsidRPr="00BE592F">
        <w:rPr>
          <w:rFonts w:ascii="Verdana" w:hAnsi="Verdana" w:cs="Arial"/>
          <w:sz w:val="22"/>
          <w:szCs w:val="22"/>
        </w:rPr>
        <w:t xml:space="preserve">a las </w:t>
      </w:r>
      <w:r>
        <w:rPr>
          <w:rFonts w:ascii="Verdana" w:hAnsi="Verdana" w:cs="Arial"/>
          <w:sz w:val="22"/>
          <w:szCs w:val="22"/>
        </w:rPr>
        <w:t xml:space="preserve">4 </w:t>
      </w:r>
      <w:r w:rsidRPr="00BE592F">
        <w:rPr>
          <w:rFonts w:ascii="Verdana" w:hAnsi="Verdana" w:cs="Arial"/>
          <w:sz w:val="22"/>
          <w:szCs w:val="22"/>
        </w:rPr>
        <w:t xml:space="preserve">empresas clasificadas dentro del sector </w:t>
      </w:r>
      <w:r>
        <w:rPr>
          <w:rFonts w:ascii="Verdana" w:hAnsi="Verdana" w:cs="Arial"/>
          <w:sz w:val="22"/>
          <w:szCs w:val="22"/>
        </w:rPr>
        <w:t>manufacturero (1) y comercio (3)</w:t>
      </w:r>
      <w:r w:rsidRPr="00BE592F">
        <w:rPr>
          <w:rFonts w:ascii="Verdana" w:hAnsi="Verdana" w:cs="Arial"/>
          <w:sz w:val="22"/>
          <w:szCs w:val="22"/>
        </w:rPr>
        <w:t xml:space="preserve">, el análisis arrojó </w:t>
      </w:r>
      <w:r>
        <w:rPr>
          <w:rFonts w:ascii="Verdana" w:hAnsi="Verdana" w:cs="Arial"/>
          <w:sz w:val="22"/>
          <w:szCs w:val="22"/>
        </w:rPr>
        <w:t>que las empresas corresponden a una pequeña empresa (del sector manufacturero), una microempresa (del sector comercio) y dos medianas empresas (del sector comercio).</w:t>
      </w:r>
    </w:p>
    <w:p w14:paraId="460191C2" w14:textId="77777777" w:rsidR="00DE5CCE" w:rsidRDefault="00DE5CCE">
      <w:pPr>
        <w:autoSpaceDE w:val="0"/>
        <w:autoSpaceDN w:val="0"/>
        <w:spacing w:line="276" w:lineRule="auto"/>
        <w:jc w:val="both"/>
        <w:rPr>
          <w:rFonts w:ascii="Verdana" w:hAnsi="Verdana" w:cs="Arial"/>
          <w:sz w:val="22"/>
          <w:szCs w:val="22"/>
        </w:rPr>
      </w:pPr>
    </w:p>
    <w:p w14:paraId="239ED20F" w14:textId="77777777" w:rsidR="00C1713B" w:rsidRPr="00611315" w:rsidRDefault="00C1713B" w:rsidP="00C1713B">
      <w:pPr>
        <w:jc w:val="both"/>
        <w:rPr>
          <w:rFonts w:ascii="Verdana" w:hAnsi="Verdana" w:cs="Arial"/>
          <w:sz w:val="22"/>
          <w:szCs w:val="22"/>
        </w:rPr>
      </w:pPr>
      <w:r w:rsidRPr="00611315">
        <w:rPr>
          <w:rFonts w:ascii="Verdana" w:hAnsi="Verdana" w:cs="Arial"/>
          <w:b/>
          <w:bCs/>
          <w:sz w:val="22"/>
          <w:szCs w:val="22"/>
        </w:rPr>
        <w:t xml:space="preserve">Participación MiPymes </w:t>
      </w:r>
    </w:p>
    <w:p w14:paraId="031FF9C3" w14:textId="299CC3BC" w:rsidR="13B8AE1C" w:rsidRPr="00611315" w:rsidRDefault="13B8AE1C" w:rsidP="13B8AE1C">
      <w:pPr>
        <w:jc w:val="both"/>
        <w:rPr>
          <w:rFonts w:ascii="Verdana" w:hAnsi="Verdana" w:cs="Arial"/>
          <w:sz w:val="22"/>
          <w:szCs w:val="22"/>
        </w:rPr>
      </w:pPr>
    </w:p>
    <w:p w14:paraId="1EED3C67" w14:textId="2B480DCD" w:rsidR="00C1713B" w:rsidRPr="00611315" w:rsidRDefault="00C1713B" w:rsidP="00C1713B">
      <w:pPr>
        <w:jc w:val="both"/>
        <w:rPr>
          <w:rFonts w:ascii="Verdana" w:hAnsi="Verdana" w:cs="Arial"/>
          <w:sz w:val="20"/>
          <w:szCs w:val="20"/>
        </w:rPr>
      </w:pPr>
      <w:r w:rsidRPr="00611315">
        <w:rPr>
          <w:rFonts w:ascii="Verdana" w:hAnsi="Verdana" w:cs="Arial"/>
          <w:sz w:val="22"/>
          <w:szCs w:val="22"/>
        </w:rPr>
        <w:t>Este apartado muestra la participación de las pequeñas y medianas empresas en la contratación pública referente al Sector durante la vigencia</w:t>
      </w:r>
      <w:r w:rsidR="007A58B7" w:rsidRPr="00611315">
        <w:rPr>
          <w:rFonts w:ascii="Verdana" w:hAnsi="Verdana" w:cs="Arial"/>
          <w:sz w:val="22"/>
          <w:szCs w:val="22"/>
        </w:rPr>
        <w:t xml:space="preserve"> </w:t>
      </w:r>
      <w:r w:rsidRPr="00611315">
        <w:rPr>
          <w:rFonts w:ascii="Verdana" w:hAnsi="Verdana" w:cs="Arial"/>
          <w:sz w:val="22"/>
          <w:szCs w:val="22"/>
        </w:rPr>
        <w:t>2024 diferenciando la información procedente de la plataforma SECOP I y la plataforma SECOP II.</w:t>
      </w:r>
      <w:r w:rsidRPr="00611315">
        <w:rPr>
          <w:rFonts w:ascii="Verdana" w:hAnsi="Verdana" w:cs="Arial"/>
          <w:sz w:val="20"/>
          <w:szCs w:val="20"/>
        </w:rPr>
        <w:t xml:space="preserve"> </w:t>
      </w:r>
    </w:p>
    <w:p w14:paraId="110C6433" w14:textId="77777777" w:rsidR="005B46ED" w:rsidRPr="00611315" w:rsidRDefault="005B46ED" w:rsidP="00C1713B">
      <w:pPr>
        <w:jc w:val="both"/>
        <w:rPr>
          <w:rFonts w:ascii="Verdana" w:hAnsi="Verdana" w:cs="Arial"/>
          <w:i/>
          <w:sz w:val="20"/>
          <w:szCs w:val="20"/>
        </w:rPr>
      </w:pPr>
    </w:p>
    <w:p w14:paraId="2C2226E2" w14:textId="77777777" w:rsidR="005B46ED" w:rsidRPr="00611315" w:rsidRDefault="005B46ED" w:rsidP="00C1713B">
      <w:pPr>
        <w:jc w:val="both"/>
        <w:rPr>
          <w:rFonts w:ascii="Verdana" w:hAnsi="Verdana" w:cs="Arial"/>
          <w:i/>
          <w:sz w:val="20"/>
          <w:szCs w:val="20"/>
        </w:rPr>
      </w:pPr>
    </w:p>
    <w:p w14:paraId="620AD322" w14:textId="34A1CD27" w:rsidR="00116546" w:rsidRPr="00611315" w:rsidRDefault="00116546" w:rsidP="007A58B7">
      <w:pPr>
        <w:jc w:val="both"/>
        <w:rPr>
          <w:rFonts w:ascii="Verdana" w:hAnsi="Verdana"/>
          <w:sz w:val="22"/>
          <w:szCs w:val="22"/>
        </w:rPr>
      </w:pPr>
      <w:r w:rsidRPr="00611315">
        <w:rPr>
          <w:rFonts w:ascii="Verdana" w:hAnsi="Verdana"/>
          <w:sz w:val="22"/>
          <w:szCs w:val="22"/>
        </w:rPr>
        <w:t xml:space="preserve">La inclusión de las MiPymes en la contratación pública es fundamental para impulsar el desarrollo económico y social de un país. Monitorear su participación garantiza igualdad de oportunidades, fomenta la competencia leal y promueve la innovación. Además, </w:t>
      </w:r>
      <w:r w:rsidRPr="00611315">
        <w:rPr>
          <w:rFonts w:ascii="Verdana" w:hAnsi="Verdana"/>
          <w:sz w:val="22"/>
          <w:szCs w:val="22"/>
        </w:rPr>
        <w:lastRenderedPageBreak/>
        <w:t>contribuye a distribuir recursos de manera más equitativa, apoyando el crecimiento de pequeñas y medianas empresas que son clave para generar empleo y dinamizar la economía local.</w:t>
      </w:r>
      <w:r w:rsidR="007A58B7" w:rsidRPr="00611315">
        <w:rPr>
          <w:rFonts w:ascii="Verdana" w:hAnsi="Verdana"/>
          <w:sz w:val="22"/>
          <w:szCs w:val="22"/>
        </w:rPr>
        <w:t xml:space="preserve"> </w:t>
      </w:r>
      <w:r w:rsidRPr="00611315">
        <w:rPr>
          <w:rFonts w:ascii="Verdana" w:hAnsi="Verdana"/>
          <w:sz w:val="22"/>
          <w:szCs w:val="22"/>
        </w:rPr>
        <w:t>Seguidamente, se presentará un análisis de la participación de las MiPymes tanto en términos de valor contratado como en número de contratos adjudicados.</w:t>
      </w:r>
    </w:p>
    <w:p w14:paraId="5452A69A" w14:textId="77777777" w:rsidR="00116546" w:rsidRPr="00611315" w:rsidRDefault="00116546" w:rsidP="007A58B7">
      <w:pPr>
        <w:pStyle w:val="Prrafodelista"/>
        <w:ind w:left="1080"/>
        <w:rPr>
          <w:rFonts w:ascii="Verdana" w:hAnsi="Verdana"/>
        </w:rPr>
      </w:pPr>
    </w:p>
    <w:p w14:paraId="74C4261C" w14:textId="492DC011" w:rsidR="00116546" w:rsidRPr="00611315" w:rsidRDefault="00C60AB0" w:rsidP="00447A32">
      <w:pPr>
        <w:pStyle w:val="Descripcin"/>
        <w:jc w:val="center"/>
        <w:rPr>
          <w:rFonts w:ascii="Verdana" w:hAnsi="Verdana"/>
          <w:sz w:val="24"/>
          <w:szCs w:val="24"/>
        </w:rPr>
      </w:pPr>
      <w:bookmarkStart w:id="522" w:name="_Toc231368823"/>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48</w:t>
      </w:r>
      <w:r w:rsidRPr="00611315">
        <w:rPr>
          <w:rFonts w:ascii="Verdana" w:hAnsi="Verdana"/>
          <w:sz w:val="22"/>
          <w:szCs w:val="22"/>
        </w:rPr>
        <w:fldChar w:fldCharType="end"/>
      </w:r>
      <w:r w:rsidRPr="00611315">
        <w:rPr>
          <w:rFonts w:ascii="Verdana" w:hAnsi="Verdana"/>
          <w:sz w:val="22"/>
          <w:szCs w:val="22"/>
        </w:rPr>
        <w:t>. Participación MiPymes en términos de valor contratado</w:t>
      </w:r>
      <w:bookmarkEnd w:id="522"/>
    </w:p>
    <w:p w14:paraId="23F6F4EA" w14:textId="77777777" w:rsidR="00116546" w:rsidRPr="00611315" w:rsidRDefault="00116546" w:rsidP="00447A32">
      <w:pPr>
        <w:pStyle w:val="Prrafodelista"/>
        <w:ind w:left="1080"/>
        <w:jc w:val="center"/>
        <w:rPr>
          <w:rFonts w:ascii="Verdana" w:hAnsi="Verdana"/>
        </w:rPr>
      </w:pPr>
      <w:r w:rsidRPr="00611315">
        <w:rPr>
          <w:rFonts w:ascii="Verdana" w:hAnsi="Verdana"/>
          <w:noProof/>
        </w:rPr>
        <w:drawing>
          <wp:inline distT="0" distB="0" distL="0" distR="0" wp14:anchorId="72C2EF5F" wp14:editId="3B65FC3C">
            <wp:extent cx="3163330" cy="2232454"/>
            <wp:effectExtent l="0" t="0" r="0" b="0"/>
            <wp:docPr id="42334637" name="Gráfico 1">
              <a:extLst xmlns:a="http://schemas.openxmlformats.org/drawingml/2006/main">
                <a:ext uri="{FF2B5EF4-FFF2-40B4-BE49-F238E27FC236}">
                  <a16:creationId xmlns:a16="http://schemas.microsoft.com/office/drawing/2014/main" id="{63892242-B0C3-260D-5D61-53489B8BEA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41E687C" w14:textId="698703AA" w:rsidR="00116546" w:rsidRPr="004C1C05" w:rsidRDefault="00116546" w:rsidP="00C60AB0">
      <w:pPr>
        <w:pStyle w:val="Prrafodelista"/>
        <w:ind w:left="0"/>
        <w:jc w:val="center"/>
        <w:rPr>
          <w:rFonts w:ascii="Verdana" w:eastAsia="Verdana" w:hAnsi="Verdana" w:cs="Verdana"/>
          <w:color w:val="000000" w:themeColor="text1"/>
        </w:rPr>
      </w:pPr>
      <w:r w:rsidRPr="004C1C05">
        <w:rPr>
          <w:rFonts w:ascii="Verdana" w:eastAsia="Verdana" w:hAnsi="Verdana" w:cs="Verdana"/>
          <w:b/>
          <w:bCs/>
          <w:color w:val="000000" w:themeColor="text1"/>
        </w:rPr>
        <w:t>Fuente</w:t>
      </w:r>
      <w:r w:rsidRPr="004C1C05">
        <w:rPr>
          <w:rFonts w:ascii="Verdana" w:eastAsia="Verdana" w:hAnsi="Verdana" w:cs="Verdana"/>
          <w:color w:val="000000" w:themeColor="text1"/>
        </w:rPr>
        <w:t>:  Subdirección de Estudios de Mercado y Abastecimiento Estratégico</w:t>
      </w:r>
    </w:p>
    <w:p w14:paraId="360CEF0B" w14:textId="45D6B297" w:rsidR="13B8AE1C" w:rsidRPr="00611315" w:rsidRDefault="13B8AE1C" w:rsidP="13B8AE1C">
      <w:pPr>
        <w:pStyle w:val="Prrafodelista"/>
        <w:ind w:left="1080"/>
        <w:jc w:val="center"/>
        <w:rPr>
          <w:rFonts w:ascii="Verdana" w:hAnsi="Verdana"/>
          <w:b/>
          <w:bCs/>
          <w:lang w:eastAsia="en-US"/>
        </w:rPr>
      </w:pPr>
    </w:p>
    <w:p w14:paraId="2D9B2EB8" w14:textId="5A2C99B7" w:rsidR="00116546" w:rsidRPr="00611315" w:rsidRDefault="00C60AB0" w:rsidP="00C60AB0">
      <w:pPr>
        <w:pStyle w:val="Descripcin"/>
        <w:jc w:val="center"/>
        <w:rPr>
          <w:rFonts w:ascii="Verdana" w:hAnsi="Verdana"/>
          <w:i/>
          <w:iCs/>
          <w:sz w:val="18"/>
          <w:szCs w:val="18"/>
        </w:rPr>
      </w:pPr>
      <w:bookmarkStart w:id="523" w:name="_Toc231368824"/>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49</w:t>
      </w:r>
      <w:r w:rsidRPr="00611315">
        <w:rPr>
          <w:rFonts w:ascii="Verdana" w:hAnsi="Verdana"/>
          <w:sz w:val="22"/>
          <w:szCs w:val="22"/>
        </w:rPr>
        <w:fldChar w:fldCharType="end"/>
      </w:r>
      <w:r w:rsidRPr="00611315">
        <w:rPr>
          <w:rFonts w:ascii="Verdana" w:hAnsi="Verdana"/>
          <w:sz w:val="22"/>
          <w:szCs w:val="22"/>
        </w:rPr>
        <w:t>. Participación MiPymes en términos de cantidad de contratos</w:t>
      </w:r>
      <w:bookmarkEnd w:id="523"/>
    </w:p>
    <w:p w14:paraId="048F9792" w14:textId="4247DE5C" w:rsidR="004F1BA0" w:rsidRDefault="005537EB" w:rsidP="00C60AB0">
      <w:pPr>
        <w:pStyle w:val="Prrafodelista"/>
        <w:ind w:left="142"/>
        <w:jc w:val="center"/>
        <w:rPr>
          <w:rFonts w:ascii="Verdana" w:eastAsia="Verdana" w:hAnsi="Verdana" w:cs="Verdana"/>
          <w:i/>
          <w:iCs/>
          <w:color w:val="000000" w:themeColor="text1"/>
          <w:sz w:val="16"/>
          <w:szCs w:val="16"/>
        </w:rPr>
      </w:pPr>
      <w:r w:rsidRPr="005537EB">
        <w:rPr>
          <w:noProof/>
        </w:rPr>
        <w:drawing>
          <wp:inline distT="0" distB="0" distL="0" distR="0" wp14:anchorId="64F06C00" wp14:editId="5664A4D7">
            <wp:extent cx="3678907" cy="1662546"/>
            <wp:effectExtent l="0" t="0" r="0" b="0"/>
            <wp:docPr id="173287265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92593" cy="1668731"/>
                    </a:xfrm>
                    <a:prstGeom prst="rect">
                      <a:avLst/>
                    </a:prstGeom>
                    <a:noFill/>
                    <a:ln>
                      <a:noFill/>
                    </a:ln>
                  </pic:spPr>
                </pic:pic>
              </a:graphicData>
            </a:graphic>
          </wp:inline>
        </w:drawing>
      </w:r>
    </w:p>
    <w:p w14:paraId="4970EDEA" w14:textId="77777777" w:rsidR="004F1BA0" w:rsidRDefault="004F1BA0" w:rsidP="00C60AB0">
      <w:pPr>
        <w:pStyle w:val="Prrafodelista"/>
        <w:ind w:left="142"/>
        <w:jc w:val="center"/>
        <w:rPr>
          <w:rFonts w:ascii="Verdana" w:eastAsia="Verdana" w:hAnsi="Verdana" w:cs="Verdana"/>
          <w:i/>
          <w:iCs/>
          <w:color w:val="000000" w:themeColor="text1"/>
          <w:sz w:val="16"/>
          <w:szCs w:val="16"/>
        </w:rPr>
      </w:pPr>
    </w:p>
    <w:p w14:paraId="355C223C" w14:textId="48B7ACE7" w:rsidR="00116546" w:rsidRPr="004C1C05" w:rsidRDefault="00116546" w:rsidP="00C60AB0">
      <w:pPr>
        <w:pStyle w:val="Prrafodelista"/>
        <w:ind w:left="142"/>
        <w:jc w:val="center"/>
        <w:rPr>
          <w:rFonts w:ascii="Verdana" w:eastAsia="Verdana" w:hAnsi="Verdana" w:cs="Verdana"/>
          <w:color w:val="000000" w:themeColor="text1"/>
        </w:rPr>
      </w:pPr>
      <w:r w:rsidRPr="004C1C05">
        <w:rPr>
          <w:rFonts w:ascii="Verdana" w:eastAsia="Verdana" w:hAnsi="Verdana" w:cs="Verdana"/>
          <w:b/>
          <w:bCs/>
          <w:color w:val="000000" w:themeColor="text1"/>
        </w:rPr>
        <w:t>Fuente</w:t>
      </w:r>
      <w:r w:rsidRPr="004C1C05">
        <w:rPr>
          <w:rFonts w:ascii="Verdana" w:eastAsia="Verdana" w:hAnsi="Verdana" w:cs="Verdana"/>
          <w:color w:val="000000" w:themeColor="text1"/>
        </w:rPr>
        <w:t>: Subdirección de Estudios de Mercado y Abastecimiento Estratégico</w:t>
      </w:r>
    </w:p>
    <w:p w14:paraId="2A9A2606" w14:textId="77777777" w:rsidR="00116546" w:rsidRPr="00611315" w:rsidRDefault="00116546" w:rsidP="002B31D5">
      <w:pPr>
        <w:pStyle w:val="Prrafodelista"/>
        <w:ind w:left="1080"/>
        <w:rPr>
          <w:rFonts w:ascii="Verdana" w:hAnsi="Verdana"/>
        </w:rPr>
      </w:pPr>
    </w:p>
    <w:p w14:paraId="76B17FEE" w14:textId="77777777" w:rsidR="00116546" w:rsidRPr="00611315" w:rsidRDefault="00116546" w:rsidP="00447A32">
      <w:pPr>
        <w:jc w:val="both"/>
        <w:rPr>
          <w:rFonts w:ascii="Verdana" w:hAnsi="Verdana"/>
          <w:sz w:val="22"/>
          <w:szCs w:val="22"/>
        </w:rPr>
      </w:pPr>
      <w:r w:rsidRPr="00611315">
        <w:rPr>
          <w:rFonts w:ascii="Verdana" w:hAnsi="Verdana"/>
          <w:sz w:val="22"/>
          <w:szCs w:val="22"/>
        </w:rPr>
        <w:lastRenderedPageBreak/>
        <w:t>Al analizar el gasto público en los doce sectores en términos de valor contratado, se observa que la participación de las MiPymes es limitada, ya que solo el 27% del total, equivalente a $516.285,3 millones, corresponde a contratos suscritos con MiPymes. Sin embargo, al considerar el número de contratos celebrados, la perspectiva cambia: las MiPymes representan el 48% del total, con 1.154 contratos, lo que sugiere que los esfuerzos de inclusión han tenido un impacto significativo en términos de cantidad de contratos.</w:t>
      </w:r>
    </w:p>
    <w:p w14:paraId="06C56F9F" w14:textId="77BF62D6" w:rsidR="13B8AE1C" w:rsidRPr="00611315" w:rsidRDefault="13B8AE1C" w:rsidP="13B8AE1C">
      <w:pPr>
        <w:ind w:left="426"/>
        <w:jc w:val="both"/>
        <w:rPr>
          <w:rFonts w:ascii="Verdana" w:hAnsi="Verdana"/>
          <w:sz w:val="22"/>
          <w:szCs w:val="22"/>
        </w:rPr>
      </w:pPr>
    </w:p>
    <w:p w14:paraId="1285BFCE" w14:textId="77777777" w:rsidR="00116546" w:rsidRPr="00611315" w:rsidRDefault="00116546" w:rsidP="00447A32">
      <w:pPr>
        <w:jc w:val="both"/>
        <w:rPr>
          <w:rFonts w:ascii="Verdana" w:hAnsi="Verdana"/>
          <w:sz w:val="22"/>
          <w:szCs w:val="22"/>
        </w:rPr>
      </w:pPr>
      <w:r w:rsidRPr="00611315">
        <w:rPr>
          <w:rFonts w:ascii="Verdana" w:hAnsi="Verdana"/>
          <w:sz w:val="22"/>
          <w:szCs w:val="22"/>
        </w:rPr>
        <w:t>Esto revela una disparidad interesante: aunque las MiPymes tienen una participación equitativa en términos de número de contratos, su participación en términos de valor contratado es limitada. Aunque se han logrado avances en la inclusión de las MiPymes en la contratación pública, aún es necesario trabajar para lograr una participación más equilibrada en términos de valor adjudicado.</w:t>
      </w:r>
    </w:p>
    <w:p w14:paraId="3E48B3B0" w14:textId="64B559B8" w:rsidR="13B8AE1C" w:rsidRPr="00611315" w:rsidRDefault="13B8AE1C" w:rsidP="13B8AE1C">
      <w:pPr>
        <w:pStyle w:val="Prrafodelista"/>
        <w:ind w:left="1080"/>
        <w:jc w:val="center"/>
        <w:rPr>
          <w:rFonts w:ascii="Verdana" w:hAnsi="Verdana"/>
          <w:b/>
          <w:bCs/>
          <w:i/>
          <w:iCs/>
        </w:rPr>
      </w:pPr>
    </w:p>
    <w:p w14:paraId="301BFC82" w14:textId="4FE540EB" w:rsidR="00116546" w:rsidRPr="00611315" w:rsidRDefault="00C60AB0" w:rsidP="00C60AB0">
      <w:pPr>
        <w:pStyle w:val="Descripcin"/>
        <w:jc w:val="center"/>
        <w:rPr>
          <w:rFonts w:ascii="Verdana" w:hAnsi="Verdana"/>
          <w:sz w:val="22"/>
          <w:szCs w:val="22"/>
        </w:rPr>
      </w:pPr>
      <w:bookmarkStart w:id="524" w:name="_Toc231368697"/>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4C1C05">
        <w:rPr>
          <w:rFonts w:ascii="Verdana" w:hAnsi="Verdana"/>
          <w:noProof/>
          <w:sz w:val="22"/>
          <w:szCs w:val="22"/>
        </w:rPr>
        <w:t>30</w:t>
      </w:r>
      <w:r w:rsidRPr="00611315">
        <w:rPr>
          <w:rFonts w:ascii="Verdana" w:hAnsi="Verdana"/>
          <w:sz w:val="22"/>
          <w:szCs w:val="22"/>
        </w:rPr>
        <w:fldChar w:fldCharType="end"/>
      </w:r>
      <w:r w:rsidRPr="00611315">
        <w:rPr>
          <w:rFonts w:ascii="Verdana" w:hAnsi="Verdana"/>
          <w:sz w:val="22"/>
          <w:szCs w:val="22"/>
        </w:rPr>
        <w:t>. Participación MiPymes por sectores - valor contratado y cantidad de contratos</w:t>
      </w:r>
      <w:bookmarkEnd w:id="5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54"/>
        <w:gridCol w:w="1310"/>
        <w:gridCol w:w="2288"/>
        <w:gridCol w:w="1471"/>
        <w:gridCol w:w="1306"/>
        <w:gridCol w:w="1300"/>
      </w:tblGrid>
      <w:tr w:rsidR="00116546" w:rsidRPr="00611315" w14:paraId="0AD59555" w14:textId="77777777" w:rsidTr="00851373">
        <w:trPr>
          <w:cantSplit/>
          <w:trHeight w:val="601"/>
          <w:tblHeader/>
          <w:jc w:val="center"/>
        </w:trPr>
        <w:tc>
          <w:tcPr>
            <w:tcW w:w="1015" w:type="pct"/>
            <w:shd w:val="clear" w:color="DCE6F1" w:fill="003189"/>
            <w:vAlign w:val="center"/>
            <w:hideMark/>
          </w:tcPr>
          <w:p w14:paraId="3CB2C352"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Sector</w:t>
            </w:r>
          </w:p>
        </w:tc>
        <w:tc>
          <w:tcPr>
            <w:tcW w:w="680" w:type="pct"/>
            <w:shd w:val="clear" w:color="DCE6F1" w:fill="003189"/>
            <w:vAlign w:val="center"/>
            <w:hideMark/>
          </w:tcPr>
          <w:p w14:paraId="30FBEE31"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MiPymes</w:t>
            </w:r>
          </w:p>
        </w:tc>
        <w:tc>
          <w:tcPr>
            <w:tcW w:w="1188" w:type="pct"/>
            <w:shd w:val="clear" w:color="DCE6F1" w:fill="003189"/>
            <w:vAlign w:val="center"/>
            <w:hideMark/>
          </w:tcPr>
          <w:p w14:paraId="4BED99A1"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Valor contratado (COP)</w:t>
            </w:r>
          </w:p>
        </w:tc>
        <w:tc>
          <w:tcPr>
            <w:tcW w:w="764" w:type="pct"/>
            <w:shd w:val="clear" w:color="DCE6F1" w:fill="003189"/>
            <w:vAlign w:val="center"/>
            <w:hideMark/>
          </w:tcPr>
          <w:p w14:paraId="752B886E"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 Valor contratado</w:t>
            </w:r>
          </w:p>
        </w:tc>
        <w:tc>
          <w:tcPr>
            <w:tcW w:w="678" w:type="pct"/>
            <w:shd w:val="clear" w:color="DCE6F1" w:fill="003189"/>
            <w:vAlign w:val="center"/>
            <w:hideMark/>
          </w:tcPr>
          <w:p w14:paraId="221DE716"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Número contratos</w:t>
            </w:r>
          </w:p>
        </w:tc>
        <w:tc>
          <w:tcPr>
            <w:tcW w:w="675" w:type="pct"/>
            <w:shd w:val="clear" w:color="DCE6F1" w:fill="003189"/>
            <w:vAlign w:val="center"/>
            <w:hideMark/>
          </w:tcPr>
          <w:p w14:paraId="70370C08"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 Número contratos</w:t>
            </w:r>
          </w:p>
        </w:tc>
      </w:tr>
      <w:tr w:rsidR="00116546" w:rsidRPr="00611315" w14:paraId="7ADD1FA0" w14:textId="77777777" w:rsidTr="00447A32">
        <w:trPr>
          <w:cantSplit/>
          <w:trHeight w:val="300"/>
          <w:jc w:val="center"/>
        </w:trPr>
        <w:tc>
          <w:tcPr>
            <w:tcW w:w="1015" w:type="pct"/>
            <w:vMerge w:val="restart"/>
            <w:noWrap/>
            <w:vAlign w:val="center"/>
            <w:hideMark/>
          </w:tcPr>
          <w:p w14:paraId="3ECE8C4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Transporte</w:t>
            </w:r>
          </w:p>
        </w:tc>
        <w:tc>
          <w:tcPr>
            <w:tcW w:w="680" w:type="pct"/>
            <w:noWrap/>
            <w:vAlign w:val="center"/>
            <w:hideMark/>
          </w:tcPr>
          <w:p w14:paraId="14E7AA8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1685BBC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$ 951.269,3 M</w:t>
            </w:r>
          </w:p>
        </w:tc>
        <w:tc>
          <w:tcPr>
            <w:tcW w:w="764" w:type="pct"/>
            <w:noWrap/>
            <w:vAlign w:val="center"/>
            <w:hideMark/>
          </w:tcPr>
          <w:p w14:paraId="2380DC9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48,91%</w:t>
            </w:r>
          </w:p>
        </w:tc>
        <w:tc>
          <w:tcPr>
            <w:tcW w:w="678" w:type="pct"/>
            <w:noWrap/>
            <w:vAlign w:val="center"/>
            <w:hideMark/>
          </w:tcPr>
          <w:p w14:paraId="219B61E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325</w:t>
            </w:r>
          </w:p>
        </w:tc>
        <w:tc>
          <w:tcPr>
            <w:tcW w:w="675" w:type="pct"/>
            <w:noWrap/>
            <w:vAlign w:val="center"/>
            <w:hideMark/>
          </w:tcPr>
          <w:p w14:paraId="6107949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13,45%</w:t>
            </w:r>
          </w:p>
        </w:tc>
      </w:tr>
      <w:tr w:rsidR="00116546" w:rsidRPr="00611315" w14:paraId="6472750D" w14:textId="77777777" w:rsidTr="00447A32">
        <w:trPr>
          <w:cantSplit/>
          <w:trHeight w:val="300"/>
          <w:jc w:val="center"/>
        </w:trPr>
        <w:tc>
          <w:tcPr>
            <w:tcW w:w="1015" w:type="pct"/>
            <w:vMerge/>
            <w:vAlign w:val="center"/>
            <w:hideMark/>
          </w:tcPr>
          <w:p w14:paraId="1013401A"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4D8EEC6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7F1005C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$ 237.139,9 M</w:t>
            </w:r>
          </w:p>
        </w:tc>
        <w:tc>
          <w:tcPr>
            <w:tcW w:w="764" w:type="pct"/>
            <w:noWrap/>
            <w:vAlign w:val="center"/>
            <w:hideMark/>
          </w:tcPr>
          <w:p w14:paraId="24BAA5B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12,19%</w:t>
            </w:r>
          </w:p>
        </w:tc>
        <w:tc>
          <w:tcPr>
            <w:tcW w:w="678" w:type="pct"/>
            <w:noWrap/>
            <w:vAlign w:val="center"/>
            <w:hideMark/>
          </w:tcPr>
          <w:p w14:paraId="27754D0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294</w:t>
            </w:r>
          </w:p>
        </w:tc>
        <w:tc>
          <w:tcPr>
            <w:tcW w:w="675" w:type="pct"/>
            <w:noWrap/>
            <w:vAlign w:val="center"/>
            <w:hideMark/>
          </w:tcPr>
          <w:p w14:paraId="5A17F72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12,17%</w:t>
            </w:r>
          </w:p>
        </w:tc>
      </w:tr>
      <w:tr w:rsidR="00116546" w:rsidRPr="00611315" w14:paraId="2EAA2196" w14:textId="77777777" w:rsidTr="00447A32">
        <w:trPr>
          <w:cantSplit/>
          <w:trHeight w:val="300"/>
          <w:jc w:val="center"/>
        </w:trPr>
        <w:tc>
          <w:tcPr>
            <w:tcW w:w="1015" w:type="pct"/>
            <w:vMerge w:val="restart"/>
            <w:noWrap/>
            <w:vAlign w:val="center"/>
            <w:hideMark/>
          </w:tcPr>
          <w:p w14:paraId="16016FA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Edificios Institucionales</w:t>
            </w:r>
          </w:p>
        </w:tc>
        <w:tc>
          <w:tcPr>
            <w:tcW w:w="680" w:type="pct"/>
            <w:noWrap/>
            <w:vAlign w:val="center"/>
            <w:hideMark/>
          </w:tcPr>
          <w:p w14:paraId="5025442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40B3F73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$ 82.991,1 M</w:t>
            </w:r>
          </w:p>
        </w:tc>
        <w:tc>
          <w:tcPr>
            <w:tcW w:w="764" w:type="pct"/>
            <w:noWrap/>
            <w:vAlign w:val="center"/>
            <w:hideMark/>
          </w:tcPr>
          <w:p w14:paraId="531ECBA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4,27%</w:t>
            </w:r>
          </w:p>
        </w:tc>
        <w:tc>
          <w:tcPr>
            <w:tcW w:w="678" w:type="pct"/>
            <w:noWrap/>
            <w:vAlign w:val="center"/>
            <w:hideMark/>
          </w:tcPr>
          <w:p w14:paraId="5F785A2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137</w:t>
            </w:r>
          </w:p>
        </w:tc>
        <w:tc>
          <w:tcPr>
            <w:tcW w:w="675" w:type="pct"/>
            <w:noWrap/>
            <w:vAlign w:val="center"/>
            <w:hideMark/>
          </w:tcPr>
          <w:p w14:paraId="27276DC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5,67%</w:t>
            </w:r>
          </w:p>
        </w:tc>
      </w:tr>
      <w:tr w:rsidR="00116546" w:rsidRPr="00611315" w14:paraId="2C110B67" w14:textId="77777777" w:rsidTr="00447A32">
        <w:trPr>
          <w:cantSplit/>
          <w:trHeight w:val="300"/>
          <w:jc w:val="center"/>
        </w:trPr>
        <w:tc>
          <w:tcPr>
            <w:tcW w:w="1015" w:type="pct"/>
            <w:vMerge/>
            <w:vAlign w:val="center"/>
            <w:hideMark/>
          </w:tcPr>
          <w:p w14:paraId="4FD7523B"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127A7A0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7FA7204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$ 71.631,1 M</w:t>
            </w:r>
          </w:p>
        </w:tc>
        <w:tc>
          <w:tcPr>
            <w:tcW w:w="764" w:type="pct"/>
            <w:noWrap/>
            <w:vAlign w:val="center"/>
            <w:hideMark/>
          </w:tcPr>
          <w:p w14:paraId="498EFCB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3,68%</w:t>
            </w:r>
          </w:p>
        </w:tc>
        <w:tc>
          <w:tcPr>
            <w:tcW w:w="678" w:type="pct"/>
            <w:noWrap/>
            <w:vAlign w:val="center"/>
            <w:hideMark/>
          </w:tcPr>
          <w:p w14:paraId="0D81008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212</w:t>
            </w:r>
          </w:p>
        </w:tc>
        <w:tc>
          <w:tcPr>
            <w:tcW w:w="675" w:type="pct"/>
            <w:noWrap/>
            <w:vAlign w:val="center"/>
            <w:hideMark/>
          </w:tcPr>
          <w:p w14:paraId="28FDCF9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8,77%</w:t>
            </w:r>
          </w:p>
        </w:tc>
      </w:tr>
      <w:tr w:rsidR="00116546" w:rsidRPr="00611315" w14:paraId="305C4391" w14:textId="77777777" w:rsidTr="00447A32">
        <w:trPr>
          <w:cantSplit/>
          <w:trHeight w:val="300"/>
          <w:jc w:val="center"/>
        </w:trPr>
        <w:tc>
          <w:tcPr>
            <w:tcW w:w="1015" w:type="pct"/>
            <w:vMerge w:val="restart"/>
            <w:noWrap/>
            <w:vAlign w:val="center"/>
            <w:hideMark/>
          </w:tcPr>
          <w:p w14:paraId="24EF2F7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Cultura, Recreación y Deporte</w:t>
            </w:r>
          </w:p>
        </w:tc>
        <w:tc>
          <w:tcPr>
            <w:tcW w:w="680" w:type="pct"/>
            <w:noWrap/>
            <w:vAlign w:val="center"/>
            <w:hideMark/>
          </w:tcPr>
          <w:p w14:paraId="06FC687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1C4018E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$ 105.847,6 M</w:t>
            </w:r>
          </w:p>
        </w:tc>
        <w:tc>
          <w:tcPr>
            <w:tcW w:w="764" w:type="pct"/>
            <w:noWrap/>
            <w:vAlign w:val="center"/>
            <w:hideMark/>
          </w:tcPr>
          <w:p w14:paraId="620781C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5,44%</w:t>
            </w:r>
          </w:p>
        </w:tc>
        <w:tc>
          <w:tcPr>
            <w:tcW w:w="678" w:type="pct"/>
            <w:noWrap/>
            <w:vAlign w:val="center"/>
            <w:hideMark/>
          </w:tcPr>
          <w:p w14:paraId="550A637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193</w:t>
            </w:r>
          </w:p>
        </w:tc>
        <w:tc>
          <w:tcPr>
            <w:tcW w:w="675" w:type="pct"/>
            <w:noWrap/>
            <w:vAlign w:val="center"/>
            <w:hideMark/>
          </w:tcPr>
          <w:p w14:paraId="0A95D01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7,99%</w:t>
            </w:r>
          </w:p>
        </w:tc>
      </w:tr>
      <w:tr w:rsidR="00116546" w:rsidRPr="00611315" w14:paraId="2D538AEE" w14:textId="77777777" w:rsidTr="00447A32">
        <w:trPr>
          <w:cantSplit/>
          <w:trHeight w:val="300"/>
          <w:jc w:val="center"/>
        </w:trPr>
        <w:tc>
          <w:tcPr>
            <w:tcW w:w="1015" w:type="pct"/>
            <w:vMerge/>
            <w:vAlign w:val="center"/>
            <w:hideMark/>
          </w:tcPr>
          <w:p w14:paraId="5E98E345"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2A53C6D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6B006B8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$ 37.406,1 M</w:t>
            </w:r>
          </w:p>
        </w:tc>
        <w:tc>
          <w:tcPr>
            <w:tcW w:w="764" w:type="pct"/>
            <w:noWrap/>
            <w:vAlign w:val="center"/>
            <w:hideMark/>
          </w:tcPr>
          <w:p w14:paraId="0A2A7EE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1,92%</w:t>
            </w:r>
          </w:p>
        </w:tc>
        <w:tc>
          <w:tcPr>
            <w:tcW w:w="678" w:type="pct"/>
            <w:noWrap/>
            <w:vAlign w:val="center"/>
            <w:hideMark/>
          </w:tcPr>
          <w:p w14:paraId="1B52270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129</w:t>
            </w:r>
          </w:p>
        </w:tc>
        <w:tc>
          <w:tcPr>
            <w:tcW w:w="675" w:type="pct"/>
            <w:noWrap/>
            <w:vAlign w:val="center"/>
            <w:hideMark/>
          </w:tcPr>
          <w:p w14:paraId="39AFEE3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5,34%</w:t>
            </w:r>
          </w:p>
        </w:tc>
      </w:tr>
      <w:tr w:rsidR="00116546" w:rsidRPr="00611315" w14:paraId="6E7F0F2C" w14:textId="77777777" w:rsidTr="00447A32">
        <w:trPr>
          <w:cantSplit/>
          <w:trHeight w:val="300"/>
          <w:jc w:val="center"/>
        </w:trPr>
        <w:tc>
          <w:tcPr>
            <w:tcW w:w="1015" w:type="pct"/>
            <w:vMerge w:val="restart"/>
            <w:noWrap/>
            <w:vAlign w:val="center"/>
            <w:hideMark/>
          </w:tcPr>
          <w:p w14:paraId="79058E1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Agua Potable y Saneamiento Básico</w:t>
            </w:r>
          </w:p>
        </w:tc>
        <w:tc>
          <w:tcPr>
            <w:tcW w:w="680" w:type="pct"/>
            <w:noWrap/>
            <w:vAlign w:val="center"/>
            <w:hideMark/>
          </w:tcPr>
          <w:p w14:paraId="6529336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78A65DB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$ 91.028,8 M</w:t>
            </w:r>
          </w:p>
        </w:tc>
        <w:tc>
          <w:tcPr>
            <w:tcW w:w="764" w:type="pct"/>
            <w:noWrap/>
            <w:vAlign w:val="center"/>
            <w:hideMark/>
          </w:tcPr>
          <w:p w14:paraId="2166517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4,68%</w:t>
            </w:r>
          </w:p>
        </w:tc>
        <w:tc>
          <w:tcPr>
            <w:tcW w:w="678" w:type="pct"/>
            <w:noWrap/>
            <w:vAlign w:val="center"/>
            <w:hideMark/>
          </w:tcPr>
          <w:p w14:paraId="6D50BC6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266</w:t>
            </w:r>
          </w:p>
        </w:tc>
        <w:tc>
          <w:tcPr>
            <w:tcW w:w="675" w:type="pct"/>
            <w:noWrap/>
            <w:vAlign w:val="center"/>
            <w:hideMark/>
          </w:tcPr>
          <w:p w14:paraId="4D591B7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11,01%</w:t>
            </w:r>
          </w:p>
        </w:tc>
      </w:tr>
      <w:tr w:rsidR="00116546" w:rsidRPr="00611315" w14:paraId="4B79E281" w14:textId="77777777" w:rsidTr="00447A32">
        <w:trPr>
          <w:cantSplit/>
          <w:trHeight w:val="300"/>
          <w:jc w:val="center"/>
        </w:trPr>
        <w:tc>
          <w:tcPr>
            <w:tcW w:w="1015" w:type="pct"/>
            <w:vMerge/>
            <w:vAlign w:val="center"/>
            <w:hideMark/>
          </w:tcPr>
          <w:p w14:paraId="1B76099E"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1A5BA4F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48D4D59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$ 43.417,9 M</w:t>
            </w:r>
          </w:p>
        </w:tc>
        <w:tc>
          <w:tcPr>
            <w:tcW w:w="764" w:type="pct"/>
            <w:noWrap/>
            <w:vAlign w:val="center"/>
            <w:hideMark/>
          </w:tcPr>
          <w:p w14:paraId="2813331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2,23%</w:t>
            </w:r>
          </w:p>
        </w:tc>
        <w:tc>
          <w:tcPr>
            <w:tcW w:w="678" w:type="pct"/>
            <w:noWrap/>
            <w:vAlign w:val="center"/>
            <w:hideMark/>
          </w:tcPr>
          <w:p w14:paraId="039AB68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143</w:t>
            </w:r>
          </w:p>
        </w:tc>
        <w:tc>
          <w:tcPr>
            <w:tcW w:w="675" w:type="pct"/>
            <w:noWrap/>
            <w:vAlign w:val="center"/>
            <w:hideMark/>
          </w:tcPr>
          <w:p w14:paraId="6159C22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5,92%</w:t>
            </w:r>
          </w:p>
        </w:tc>
      </w:tr>
      <w:tr w:rsidR="00116546" w:rsidRPr="00611315" w14:paraId="4B0595F0" w14:textId="77777777" w:rsidTr="00447A32">
        <w:trPr>
          <w:cantSplit/>
          <w:trHeight w:val="300"/>
          <w:jc w:val="center"/>
        </w:trPr>
        <w:tc>
          <w:tcPr>
            <w:tcW w:w="1015" w:type="pct"/>
            <w:vMerge w:val="restart"/>
            <w:noWrap/>
            <w:vAlign w:val="center"/>
            <w:hideMark/>
          </w:tcPr>
          <w:p w14:paraId="1DF3394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Ambiente y Desarrollo Sostenible</w:t>
            </w:r>
          </w:p>
        </w:tc>
        <w:tc>
          <w:tcPr>
            <w:tcW w:w="680" w:type="pct"/>
            <w:noWrap/>
            <w:vAlign w:val="center"/>
            <w:hideMark/>
          </w:tcPr>
          <w:p w14:paraId="16E8CDB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7C2850B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$ 68.382,0 M</w:t>
            </w:r>
          </w:p>
        </w:tc>
        <w:tc>
          <w:tcPr>
            <w:tcW w:w="764" w:type="pct"/>
            <w:noWrap/>
            <w:vAlign w:val="center"/>
            <w:hideMark/>
          </w:tcPr>
          <w:p w14:paraId="31ADBD5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3,52%</w:t>
            </w:r>
          </w:p>
        </w:tc>
        <w:tc>
          <w:tcPr>
            <w:tcW w:w="678" w:type="pct"/>
            <w:noWrap/>
            <w:vAlign w:val="center"/>
            <w:hideMark/>
          </w:tcPr>
          <w:p w14:paraId="7145C7C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68</w:t>
            </w:r>
          </w:p>
        </w:tc>
        <w:tc>
          <w:tcPr>
            <w:tcW w:w="675" w:type="pct"/>
            <w:noWrap/>
            <w:vAlign w:val="center"/>
            <w:hideMark/>
          </w:tcPr>
          <w:p w14:paraId="1D0E5CA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2,81%</w:t>
            </w:r>
          </w:p>
        </w:tc>
      </w:tr>
      <w:tr w:rsidR="00116546" w:rsidRPr="00611315" w14:paraId="0EFD8AB7" w14:textId="77777777" w:rsidTr="00447A32">
        <w:trPr>
          <w:cantSplit/>
          <w:trHeight w:val="300"/>
          <w:jc w:val="center"/>
        </w:trPr>
        <w:tc>
          <w:tcPr>
            <w:tcW w:w="1015" w:type="pct"/>
            <w:vMerge/>
            <w:vAlign w:val="center"/>
            <w:hideMark/>
          </w:tcPr>
          <w:p w14:paraId="3055EA29"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6B04F5C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385650D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$ 27.974,2 M</w:t>
            </w:r>
          </w:p>
        </w:tc>
        <w:tc>
          <w:tcPr>
            <w:tcW w:w="764" w:type="pct"/>
            <w:noWrap/>
            <w:vAlign w:val="center"/>
            <w:hideMark/>
          </w:tcPr>
          <w:p w14:paraId="6268887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1,44%</w:t>
            </w:r>
          </w:p>
        </w:tc>
        <w:tc>
          <w:tcPr>
            <w:tcW w:w="678" w:type="pct"/>
            <w:noWrap/>
            <w:vAlign w:val="center"/>
            <w:hideMark/>
          </w:tcPr>
          <w:p w14:paraId="5F4761A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60</w:t>
            </w:r>
          </w:p>
        </w:tc>
        <w:tc>
          <w:tcPr>
            <w:tcW w:w="675" w:type="pct"/>
            <w:noWrap/>
            <w:vAlign w:val="center"/>
            <w:hideMark/>
          </w:tcPr>
          <w:p w14:paraId="507AB84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2,48%</w:t>
            </w:r>
          </w:p>
        </w:tc>
      </w:tr>
      <w:tr w:rsidR="00116546" w:rsidRPr="00611315" w14:paraId="31A58DA6" w14:textId="77777777" w:rsidTr="00447A32">
        <w:trPr>
          <w:cantSplit/>
          <w:trHeight w:val="300"/>
          <w:jc w:val="center"/>
        </w:trPr>
        <w:tc>
          <w:tcPr>
            <w:tcW w:w="1015" w:type="pct"/>
            <w:vMerge w:val="restart"/>
            <w:noWrap/>
            <w:vAlign w:val="center"/>
            <w:hideMark/>
          </w:tcPr>
          <w:p w14:paraId="2FBF440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Educación</w:t>
            </w:r>
          </w:p>
        </w:tc>
        <w:tc>
          <w:tcPr>
            <w:tcW w:w="680" w:type="pct"/>
            <w:noWrap/>
            <w:vAlign w:val="center"/>
            <w:hideMark/>
          </w:tcPr>
          <w:p w14:paraId="57A2A20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152FCC2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$ 50.440,8 M</w:t>
            </w:r>
          </w:p>
        </w:tc>
        <w:tc>
          <w:tcPr>
            <w:tcW w:w="764" w:type="pct"/>
            <w:noWrap/>
            <w:vAlign w:val="center"/>
            <w:hideMark/>
          </w:tcPr>
          <w:p w14:paraId="65B8B31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2,59%</w:t>
            </w:r>
          </w:p>
        </w:tc>
        <w:tc>
          <w:tcPr>
            <w:tcW w:w="678" w:type="pct"/>
            <w:noWrap/>
            <w:vAlign w:val="center"/>
            <w:hideMark/>
          </w:tcPr>
          <w:p w14:paraId="79BA490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136</w:t>
            </w:r>
          </w:p>
        </w:tc>
        <w:tc>
          <w:tcPr>
            <w:tcW w:w="675" w:type="pct"/>
            <w:noWrap/>
            <w:vAlign w:val="center"/>
            <w:hideMark/>
          </w:tcPr>
          <w:p w14:paraId="7A91423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5,63%</w:t>
            </w:r>
          </w:p>
        </w:tc>
      </w:tr>
      <w:tr w:rsidR="00116546" w:rsidRPr="00611315" w14:paraId="7D6CF5A2" w14:textId="77777777" w:rsidTr="00447A32">
        <w:trPr>
          <w:cantSplit/>
          <w:trHeight w:val="300"/>
          <w:jc w:val="center"/>
        </w:trPr>
        <w:tc>
          <w:tcPr>
            <w:tcW w:w="1015" w:type="pct"/>
            <w:vMerge/>
            <w:vAlign w:val="center"/>
            <w:hideMark/>
          </w:tcPr>
          <w:p w14:paraId="3737DB2B"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74DFCD7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48DB68E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$ 42.069,8 M</w:t>
            </w:r>
          </w:p>
        </w:tc>
        <w:tc>
          <w:tcPr>
            <w:tcW w:w="764" w:type="pct"/>
            <w:noWrap/>
            <w:vAlign w:val="center"/>
            <w:hideMark/>
          </w:tcPr>
          <w:p w14:paraId="2454A28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2,16%</w:t>
            </w:r>
          </w:p>
        </w:tc>
        <w:tc>
          <w:tcPr>
            <w:tcW w:w="678" w:type="pct"/>
            <w:noWrap/>
            <w:vAlign w:val="center"/>
            <w:hideMark/>
          </w:tcPr>
          <w:p w14:paraId="5DEB5CB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183</w:t>
            </w:r>
          </w:p>
        </w:tc>
        <w:tc>
          <w:tcPr>
            <w:tcW w:w="675" w:type="pct"/>
            <w:noWrap/>
            <w:vAlign w:val="center"/>
            <w:hideMark/>
          </w:tcPr>
          <w:p w14:paraId="2950021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7,57%</w:t>
            </w:r>
          </w:p>
        </w:tc>
      </w:tr>
      <w:tr w:rsidR="00116546" w:rsidRPr="00611315" w14:paraId="5FA9187B" w14:textId="77777777" w:rsidTr="00447A32">
        <w:trPr>
          <w:cantSplit/>
          <w:trHeight w:val="300"/>
          <w:jc w:val="center"/>
        </w:trPr>
        <w:tc>
          <w:tcPr>
            <w:tcW w:w="1015" w:type="pct"/>
            <w:vMerge w:val="restart"/>
            <w:noWrap/>
            <w:vAlign w:val="center"/>
            <w:hideMark/>
          </w:tcPr>
          <w:p w14:paraId="58183A6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Infraestructura de Seguridad</w:t>
            </w:r>
          </w:p>
        </w:tc>
        <w:tc>
          <w:tcPr>
            <w:tcW w:w="680" w:type="pct"/>
            <w:noWrap/>
            <w:vAlign w:val="center"/>
            <w:hideMark/>
          </w:tcPr>
          <w:p w14:paraId="3485EA5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107D0DA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$ 40.324,4 M</w:t>
            </w:r>
          </w:p>
        </w:tc>
        <w:tc>
          <w:tcPr>
            <w:tcW w:w="764" w:type="pct"/>
            <w:noWrap/>
            <w:vAlign w:val="center"/>
            <w:hideMark/>
          </w:tcPr>
          <w:p w14:paraId="2880F8D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2,07%</w:t>
            </w:r>
          </w:p>
        </w:tc>
        <w:tc>
          <w:tcPr>
            <w:tcW w:w="678" w:type="pct"/>
            <w:noWrap/>
            <w:vAlign w:val="center"/>
            <w:hideMark/>
          </w:tcPr>
          <w:p w14:paraId="76D7F72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64</w:t>
            </w:r>
          </w:p>
        </w:tc>
        <w:tc>
          <w:tcPr>
            <w:tcW w:w="675" w:type="pct"/>
            <w:noWrap/>
            <w:vAlign w:val="center"/>
            <w:hideMark/>
          </w:tcPr>
          <w:p w14:paraId="5632385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2,65%</w:t>
            </w:r>
          </w:p>
        </w:tc>
      </w:tr>
      <w:tr w:rsidR="00116546" w:rsidRPr="00611315" w14:paraId="06EB7861" w14:textId="77777777" w:rsidTr="00447A32">
        <w:trPr>
          <w:cantSplit/>
          <w:trHeight w:val="330"/>
          <w:jc w:val="center"/>
        </w:trPr>
        <w:tc>
          <w:tcPr>
            <w:tcW w:w="1015" w:type="pct"/>
            <w:vMerge/>
            <w:vAlign w:val="center"/>
            <w:hideMark/>
          </w:tcPr>
          <w:p w14:paraId="751D1892"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78449CD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7B41AB0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$ 36.801,8 M</w:t>
            </w:r>
          </w:p>
        </w:tc>
        <w:tc>
          <w:tcPr>
            <w:tcW w:w="764" w:type="pct"/>
            <w:noWrap/>
            <w:vAlign w:val="center"/>
            <w:hideMark/>
          </w:tcPr>
          <w:p w14:paraId="214C5F4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1,89%</w:t>
            </w:r>
          </w:p>
        </w:tc>
        <w:tc>
          <w:tcPr>
            <w:tcW w:w="678" w:type="pct"/>
            <w:noWrap/>
            <w:vAlign w:val="center"/>
            <w:hideMark/>
          </w:tcPr>
          <w:p w14:paraId="09EEFD6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38</w:t>
            </w:r>
          </w:p>
        </w:tc>
        <w:tc>
          <w:tcPr>
            <w:tcW w:w="675" w:type="pct"/>
            <w:noWrap/>
            <w:vAlign w:val="center"/>
            <w:hideMark/>
          </w:tcPr>
          <w:p w14:paraId="307B57F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1,57%</w:t>
            </w:r>
          </w:p>
        </w:tc>
      </w:tr>
      <w:tr w:rsidR="00116546" w:rsidRPr="00611315" w14:paraId="746D36EE" w14:textId="77777777" w:rsidTr="00447A32">
        <w:trPr>
          <w:cantSplit/>
          <w:trHeight w:val="300"/>
          <w:jc w:val="center"/>
        </w:trPr>
        <w:tc>
          <w:tcPr>
            <w:tcW w:w="1015" w:type="pct"/>
            <w:vMerge w:val="restart"/>
            <w:noWrap/>
            <w:vAlign w:val="center"/>
            <w:hideMark/>
          </w:tcPr>
          <w:p w14:paraId="1275D13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Redes Eléctricas y de Comunicaciones</w:t>
            </w:r>
          </w:p>
        </w:tc>
        <w:tc>
          <w:tcPr>
            <w:tcW w:w="680" w:type="pct"/>
            <w:noWrap/>
            <w:vAlign w:val="center"/>
            <w:hideMark/>
          </w:tcPr>
          <w:p w14:paraId="4CE7283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5AFF3AB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$ 22.402,0 M</w:t>
            </w:r>
          </w:p>
        </w:tc>
        <w:tc>
          <w:tcPr>
            <w:tcW w:w="764" w:type="pct"/>
            <w:noWrap/>
            <w:vAlign w:val="center"/>
            <w:hideMark/>
          </w:tcPr>
          <w:p w14:paraId="0C7BA1A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1,15%</w:t>
            </w:r>
          </w:p>
        </w:tc>
        <w:tc>
          <w:tcPr>
            <w:tcW w:w="678" w:type="pct"/>
            <w:noWrap/>
            <w:vAlign w:val="center"/>
            <w:hideMark/>
          </w:tcPr>
          <w:p w14:paraId="7DF50EC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36</w:t>
            </w:r>
          </w:p>
        </w:tc>
        <w:tc>
          <w:tcPr>
            <w:tcW w:w="675" w:type="pct"/>
            <w:noWrap/>
            <w:vAlign w:val="center"/>
            <w:hideMark/>
          </w:tcPr>
          <w:p w14:paraId="3D43FDD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1,49%</w:t>
            </w:r>
          </w:p>
        </w:tc>
      </w:tr>
      <w:tr w:rsidR="00116546" w:rsidRPr="00611315" w14:paraId="1E766088" w14:textId="77777777" w:rsidTr="00447A32">
        <w:trPr>
          <w:cantSplit/>
          <w:trHeight w:val="300"/>
          <w:jc w:val="center"/>
        </w:trPr>
        <w:tc>
          <w:tcPr>
            <w:tcW w:w="1015" w:type="pct"/>
            <w:vMerge/>
            <w:vAlign w:val="center"/>
            <w:hideMark/>
          </w:tcPr>
          <w:p w14:paraId="1CE139E8"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07772D0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02085FA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$ 4.550,8 M</w:t>
            </w:r>
          </w:p>
        </w:tc>
        <w:tc>
          <w:tcPr>
            <w:tcW w:w="764" w:type="pct"/>
            <w:noWrap/>
            <w:vAlign w:val="center"/>
            <w:hideMark/>
          </w:tcPr>
          <w:p w14:paraId="164992C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0,23%</w:t>
            </w:r>
          </w:p>
        </w:tc>
        <w:tc>
          <w:tcPr>
            <w:tcW w:w="678" w:type="pct"/>
            <w:noWrap/>
            <w:vAlign w:val="center"/>
            <w:hideMark/>
          </w:tcPr>
          <w:p w14:paraId="1F8FEC3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25</w:t>
            </w:r>
          </w:p>
        </w:tc>
        <w:tc>
          <w:tcPr>
            <w:tcW w:w="675" w:type="pct"/>
            <w:noWrap/>
            <w:vAlign w:val="center"/>
            <w:hideMark/>
          </w:tcPr>
          <w:p w14:paraId="6F655B8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1,03%</w:t>
            </w:r>
          </w:p>
        </w:tc>
      </w:tr>
      <w:tr w:rsidR="00116546" w:rsidRPr="00611315" w14:paraId="130505EB" w14:textId="77777777" w:rsidTr="00447A32">
        <w:trPr>
          <w:cantSplit/>
          <w:trHeight w:val="300"/>
          <w:jc w:val="center"/>
        </w:trPr>
        <w:tc>
          <w:tcPr>
            <w:tcW w:w="1015" w:type="pct"/>
            <w:vMerge w:val="restart"/>
            <w:noWrap/>
            <w:vAlign w:val="center"/>
            <w:hideMark/>
          </w:tcPr>
          <w:p w14:paraId="3E62045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lastRenderedPageBreak/>
              <w:t>Salud</w:t>
            </w:r>
          </w:p>
        </w:tc>
        <w:tc>
          <w:tcPr>
            <w:tcW w:w="680" w:type="pct"/>
            <w:noWrap/>
            <w:vAlign w:val="center"/>
            <w:hideMark/>
          </w:tcPr>
          <w:p w14:paraId="514C792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7DCFE1C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$ 15.469,7 M</w:t>
            </w:r>
          </w:p>
        </w:tc>
        <w:tc>
          <w:tcPr>
            <w:tcW w:w="764" w:type="pct"/>
            <w:noWrap/>
            <w:vAlign w:val="center"/>
            <w:hideMark/>
          </w:tcPr>
          <w:p w14:paraId="2B161DC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0,80%</w:t>
            </w:r>
          </w:p>
        </w:tc>
        <w:tc>
          <w:tcPr>
            <w:tcW w:w="678" w:type="pct"/>
            <w:noWrap/>
            <w:vAlign w:val="center"/>
            <w:hideMark/>
          </w:tcPr>
          <w:p w14:paraId="0A81775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43</w:t>
            </w:r>
          </w:p>
        </w:tc>
        <w:tc>
          <w:tcPr>
            <w:tcW w:w="675" w:type="pct"/>
            <w:noWrap/>
            <w:vAlign w:val="center"/>
            <w:hideMark/>
          </w:tcPr>
          <w:p w14:paraId="23CD38B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1,78%</w:t>
            </w:r>
          </w:p>
        </w:tc>
      </w:tr>
      <w:tr w:rsidR="00116546" w:rsidRPr="00611315" w14:paraId="144E2AF3" w14:textId="77777777" w:rsidTr="00447A32">
        <w:trPr>
          <w:cantSplit/>
          <w:trHeight w:val="300"/>
          <w:jc w:val="center"/>
        </w:trPr>
        <w:tc>
          <w:tcPr>
            <w:tcW w:w="1015" w:type="pct"/>
            <w:vMerge/>
            <w:vAlign w:val="center"/>
            <w:hideMark/>
          </w:tcPr>
          <w:p w14:paraId="42C0C883"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78D90FA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3A3A26C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$ 2.887,7 M</w:t>
            </w:r>
          </w:p>
        </w:tc>
        <w:tc>
          <w:tcPr>
            <w:tcW w:w="764" w:type="pct"/>
            <w:noWrap/>
            <w:vAlign w:val="center"/>
            <w:hideMark/>
          </w:tcPr>
          <w:p w14:paraId="63EE614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0,15%</w:t>
            </w:r>
          </w:p>
        </w:tc>
        <w:tc>
          <w:tcPr>
            <w:tcW w:w="678" w:type="pct"/>
            <w:noWrap/>
            <w:vAlign w:val="center"/>
            <w:hideMark/>
          </w:tcPr>
          <w:p w14:paraId="4B15E6F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23</w:t>
            </w:r>
          </w:p>
        </w:tc>
        <w:tc>
          <w:tcPr>
            <w:tcW w:w="675" w:type="pct"/>
            <w:noWrap/>
            <w:vAlign w:val="center"/>
            <w:hideMark/>
          </w:tcPr>
          <w:p w14:paraId="224A37D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0,95%</w:t>
            </w:r>
          </w:p>
        </w:tc>
      </w:tr>
      <w:tr w:rsidR="00116546" w:rsidRPr="00611315" w14:paraId="32FA3AE5" w14:textId="77777777" w:rsidTr="00447A32">
        <w:trPr>
          <w:cantSplit/>
          <w:trHeight w:val="300"/>
          <w:jc w:val="center"/>
        </w:trPr>
        <w:tc>
          <w:tcPr>
            <w:tcW w:w="1015" w:type="pct"/>
            <w:vMerge w:val="restart"/>
            <w:noWrap/>
            <w:vAlign w:val="center"/>
            <w:hideMark/>
          </w:tcPr>
          <w:p w14:paraId="15D263F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Vivienda</w:t>
            </w:r>
          </w:p>
        </w:tc>
        <w:tc>
          <w:tcPr>
            <w:tcW w:w="680" w:type="pct"/>
            <w:noWrap/>
            <w:vAlign w:val="center"/>
            <w:hideMark/>
          </w:tcPr>
          <w:p w14:paraId="4351398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1E19624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$ 8.838,4 M</w:t>
            </w:r>
          </w:p>
        </w:tc>
        <w:tc>
          <w:tcPr>
            <w:tcW w:w="764" w:type="pct"/>
            <w:noWrap/>
            <w:vAlign w:val="center"/>
            <w:hideMark/>
          </w:tcPr>
          <w:p w14:paraId="4EDC6DB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0,45%</w:t>
            </w:r>
          </w:p>
        </w:tc>
        <w:tc>
          <w:tcPr>
            <w:tcW w:w="678" w:type="pct"/>
            <w:noWrap/>
            <w:vAlign w:val="center"/>
            <w:hideMark/>
          </w:tcPr>
          <w:p w14:paraId="796A3EE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20</w:t>
            </w:r>
          </w:p>
        </w:tc>
        <w:tc>
          <w:tcPr>
            <w:tcW w:w="675" w:type="pct"/>
            <w:noWrap/>
            <w:vAlign w:val="center"/>
            <w:hideMark/>
          </w:tcPr>
          <w:p w14:paraId="7BFCF97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0,83%</w:t>
            </w:r>
          </w:p>
        </w:tc>
      </w:tr>
      <w:tr w:rsidR="00116546" w:rsidRPr="00611315" w14:paraId="24EC9E8A" w14:textId="77777777" w:rsidTr="00447A32">
        <w:trPr>
          <w:cantSplit/>
          <w:trHeight w:val="300"/>
          <w:jc w:val="center"/>
        </w:trPr>
        <w:tc>
          <w:tcPr>
            <w:tcW w:w="1015" w:type="pct"/>
            <w:vMerge/>
            <w:vAlign w:val="center"/>
            <w:hideMark/>
          </w:tcPr>
          <w:p w14:paraId="44B22ABF" w14:textId="77777777" w:rsidR="00116546" w:rsidRPr="00611315" w:rsidRDefault="00116546" w:rsidP="00EE2449">
            <w:pPr>
              <w:jc w:val="center"/>
              <w:rPr>
                <w:rFonts w:ascii="Verdana" w:hAnsi="Verdana" w:cs="Calibri"/>
                <w:color w:val="000000"/>
                <w:sz w:val="18"/>
                <w:szCs w:val="18"/>
                <w:lang w:eastAsia="es-CO"/>
              </w:rPr>
            </w:pPr>
          </w:p>
        </w:tc>
        <w:tc>
          <w:tcPr>
            <w:tcW w:w="680" w:type="pct"/>
            <w:noWrap/>
            <w:vAlign w:val="center"/>
            <w:hideMark/>
          </w:tcPr>
          <w:p w14:paraId="021ECD2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72B072D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$ 3.827,3 M</w:t>
            </w:r>
          </w:p>
        </w:tc>
        <w:tc>
          <w:tcPr>
            <w:tcW w:w="764" w:type="pct"/>
            <w:noWrap/>
            <w:vAlign w:val="center"/>
            <w:hideMark/>
          </w:tcPr>
          <w:p w14:paraId="76323B4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0,20%</w:t>
            </w:r>
          </w:p>
        </w:tc>
        <w:tc>
          <w:tcPr>
            <w:tcW w:w="678" w:type="pct"/>
            <w:noWrap/>
            <w:vAlign w:val="center"/>
            <w:hideMark/>
          </w:tcPr>
          <w:p w14:paraId="00192B4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w:t>
            </w:r>
          </w:p>
        </w:tc>
        <w:tc>
          <w:tcPr>
            <w:tcW w:w="675" w:type="pct"/>
            <w:noWrap/>
            <w:vAlign w:val="center"/>
            <w:hideMark/>
          </w:tcPr>
          <w:p w14:paraId="609DE87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0,79%</w:t>
            </w:r>
          </w:p>
        </w:tc>
      </w:tr>
      <w:tr w:rsidR="00116546" w:rsidRPr="00611315" w14:paraId="73719F54" w14:textId="77777777" w:rsidTr="00447A32">
        <w:trPr>
          <w:cantSplit/>
          <w:trHeight w:val="300"/>
          <w:jc w:val="center"/>
        </w:trPr>
        <w:tc>
          <w:tcPr>
            <w:tcW w:w="1015" w:type="pct"/>
            <w:noWrap/>
            <w:vAlign w:val="center"/>
            <w:hideMark/>
          </w:tcPr>
          <w:p w14:paraId="248ACBC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Agricultura</w:t>
            </w:r>
          </w:p>
        </w:tc>
        <w:tc>
          <w:tcPr>
            <w:tcW w:w="680" w:type="pct"/>
            <w:noWrap/>
            <w:vAlign w:val="center"/>
            <w:hideMark/>
          </w:tcPr>
          <w:p w14:paraId="7BB9761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w:t>
            </w:r>
          </w:p>
        </w:tc>
        <w:tc>
          <w:tcPr>
            <w:tcW w:w="1188" w:type="pct"/>
            <w:noWrap/>
            <w:vAlign w:val="center"/>
            <w:hideMark/>
          </w:tcPr>
          <w:p w14:paraId="14F49C3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$ 55,8 M</w:t>
            </w:r>
          </w:p>
        </w:tc>
        <w:tc>
          <w:tcPr>
            <w:tcW w:w="764" w:type="pct"/>
            <w:noWrap/>
            <w:vAlign w:val="center"/>
            <w:hideMark/>
          </w:tcPr>
          <w:p w14:paraId="071A8D1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0,00%</w:t>
            </w:r>
          </w:p>
        </w:tc>
        <w:tc>
          <w:tcPr>
            <w:tcW w:w="678" w:type="pct"/>
            <w:noWrap/>
            <w:vAlign w:val="center"/>
            <w:hideMark/>
          </w:tcPr>
          <w:p w14:paraId="20A3059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w:t>
            </w:r>
          </w:p>
        </w:tc>
        <w:tc>
          <w:tcPr>
            <w:tcW w:w="675" w:type="pct"/>
            <w:noWrap/>
            <w:vAlign w:val="center"/>
            <w:hideMark/>
          </w:tcPr>
          <w:p w14:paraId="291A5D1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0,04%</w:t>
            </w:r>
          </w:p>
        </w:tc>
      </w:tr>
      <w:tr w:rsidR="00116546" w:rsidRPr="00611315" w14:paraId="32EB1360" w14:textId="77777777" w:rsidTr="00447A32">
        <w:trPr>
          <w:cantSplit/>
          <w:trHeight w:val="300"/>
          <w:jc w:val="center"/>
        </w:trPr>
        <w:tc>
          <w:tcPr>
            <w:tcW w:w="1015" w:type="pct"/>
            <w:noWrap/>
            <w:vAlign w:val="center"/>
            <w:hideMark/>
          </w:tcPr>
          <w:p w14:paraId="68FA5C4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Redes de Gas</w:t>
            </w:r>
          </w:p>
        </w:tc>
        <w:tc>
          <w:tcPr>
            <w:tcW w:w="680" w:type="pct"/>
            <w:noWrap/>
            <w:vAlign w:val="center"/>
            <w:hideMark/>
          </w:tcPr>
          <w:p w14:paraId="67B2753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Si</w:t>
            </w:r>
          </w:p>
        </w:tc>
        <w:tc>
          <w:tcPr>
            <w:tcW w:w="1188" w:type="pct"/>
            <w:noWrap/>
            <w:vAlign w:val="center"/>
            <w:hideMark/>
          </w:tcPr>
          <w:p w14:paraId="4446C67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$ 45,0 M</w:t>
            </w:r>
          </w:p>
        </w:tc>
        <w:tc>
          <w:tcPr>
            <w:tcW w:w="764" w:type="pct"/>
            <w:noWrap/>
            <w:vAlign w:val="center"/>
            <w:hideMark/>
          </w:tcPr>
          <w:p w14:paraId="6A39CCF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0,00%</w:t>
            </w:r>
          </w:p>
        </w:tc>
        <w:tc>
          <w:tcPr>
            <w:tcW w:w="678" w:type="pct"/>
            <w:noWrap/>
            <w:vAlign w:val="center"/>
            <w:hideMark/>
          </w:tcPr>
          <w:p w14:paraId="467980A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w:t>
            </w:r>
          </w:p>
        </w:tc>
        <w:tc>
          <w:tcPr>
            <w:tcW w:w="675" w:type="pct"/>
            <w:noWrap/>
            <w:vAlign w:val="center"/>
            <w:hideMark/>
          </w:tcPr>
          <w:p w14:paraId="3E49DE8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0,04%</w:t>
            </w:r>
          </w:p>
        </w:tc>
      </w:tr>
      <w:tr w:rsidR="00116546" w:rsidRPr="00611315" w14:paraId="6153FF22" w14:textId="77777777" w:rsidTr="00447A32">
        <w:trPr>
          <w:cantSplit/>
          <w:trHeight w:val="300"/>
          <w:jc w:val="center"/>
        </w:trPr>
        <w:tc>
          <w:tcPr>
            <w:tcW w:w="1695" w:type="pct"/>
            <w:gridSpan w:val="2"/>
            <w:shd w:val="clear" w:color="DCE6F1" w:fill="003189"/>
            <w:vAlign w:val="center"/>
            <w:hideMark/>
          </w:tcPr>
          <w:p w14:paraId="7F530909"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Total</w:t>
            </w:r>
          </w:p>
        </w:tc>
        <w:tc>
          <w:tcPr>
            <w:tcW w:w="1188" w:type="pct"/>
            <w:shd w:val="clear" w:color="000000" w:fill="003189"/>
            <w:noWrap/>
            <w:vAlign w:val="center"/>
            <w:hideMark/>
          </w:tcPr>
          <w:p w14:paraId="2F8EA332"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$ 1.944.801,5 M</w:t>
            </w:r>
          </w:p>
        </w:tc>
        <w:tc>
          <w:tcPr>
            <w:tcW w:w="764" w:type="pct"/>
            <w:shd w:val="clear" w:color="000000" w:fill="003189"/>
            <w:noWrap/>
            <w:vAlign w:val="center"/>
            <w:hideMark/>
          </w:tcPr>
          <w:p w14:paraId="0E1771A2"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100%</w:t>
            </w:r>
          </w:p>
        </w:tc>
        <w:tc>
          <w:tcPr>
            <w:tcW w:w="678" w:type="pct"/>
            <w:shd w:val="clear" w:color="000000" w:fill="003189"/>
            <w:noWrap/>
            <w:vAlign w:val="center"/>
            <w:hideMark/>
          </w:tcPr>
          <w:p w14:paraId="346F1DBB"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2416</w:t>
            </w:r>
          </w:p>
        </w:tc>
        <w:tc>
          <w:tcPr>
            <w:tcW w:w="675" w:type="pct"/>
            <w:shd w:val="clear" w:color="000000" w:fill="003189"/>
            <w:noWrap/>
            <w:vAlign w:val="center"/>
            <w:hideMark/>
          </w:tcPr>
          <w:p w14:paraId="25D46C85"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100%</w:t>
            </w:r>
          </w:p>
        </w:tc>
      </w:tr>
    </w:tbl>
    <w:p w14:paraId="6E6FACDE" w14:textId="5C74238A" w:rsidR="00116546" w:rsidRPr="004C1C05" w:rsidRDefault="00116546" w:rsidP="00C60AB0">
      <w:pPr>
        <w:pStyle w:val="Prrafodelista"/>
        <w:spacing w:before="240"/>
        <w:ind w:left="0"/>
        <w:jc w:val="center"/>
        <w:rPr>
          <w:rFonts w:ascii="Verdana" w:eastAsia="Verdana" w:hAnsi="Verdana" w:cs="Verdana"/>
          <w:color w:val="000000" w:themeColor="text1"/>
        </w:rPr>
      </w:pPr>
      <w:r w:rsidRPr="004C1C05">
        <w:rPr>
          <w:rFonts w:ascii="Verdana" w:eastAsia="Verdana" w:hAnsi="Verdana" w:cs="Verdana"/>
          <w:b/>
          <w:bCs/>
          <w:color w:val="000000" w:themeColor="text1"/>
        </w:rPr>
        <w:t>Fuente</w:t>
      </w:r>
      <w:r w:rsidRPr="004C1C05">
        <w:rPr>
          <w:rFonts w:ascii="Verdana" w:eastAsia="Verdana" w:hAnsi="Verdana" w:cs="Verdana"/>
          <w:color w:val="000000" w:themeColor="text1"/>
        </w:rPr>
        <w:t>:  Subdirección de Estudios de Mercado y Abastecimiento Estratégico</w:t>
      </w:r>
    </w:p>
    <w:p w14:paraId="4D47A19B" w14:textId="77777777" w:rsidR="00116546" w:rsidRPr="00611315" w:rsidRDefault="00116546" w:rsidP="007A58B7">
      <w:pPr>
        <w:pStyle w:val="Prrafodelista"/>
        <w:ind w:left="1080"/>
        <w:rPr>
          <w:rFonts w:ascii="Verdana" w:hAnsi="Verdana"/>
        </w:rPr>
      </w:pPr>
    </w:p>
    <w:p w14:paraId="500F92F2" w14:textId="77777777" w:rsidR="00116546" w:rsidRPr="00611315" w:rsidRDefault="00116546" w:rsidP="00447A32">
      <w:pPr>
        <w:jc w:val="both"/>
        <w:rPr>
          <w:rFonts w:ascii="Verdana" w:hAnsi="Verdana"/>
          <w:sz w:val="22"/>
          <w:szCs w:val="22"/>
        </w:rPr>
      </w:pPr>
      <w:r w:rsidRPr="00611315">
        <w:rPr>
          <w:rFonts w:ascii="Verdana" w:hAnsi="Verdana"/>
          <w:sz w:val="22"/>
          <w:szCs w:val="22"/>
        </w:rPr>
        <w:t>La tabla muestra la distribución de contratos por sector y tipo de empresa (MiPymes o no MiPymes) en términos de valor contratado y número de contratos. El sector de Transporte es el que tiene el mayor valor contratado, con un total de $1.188.409,2 millones, de los cuales el 80% corresponde a empresas no MiPymes. Esto sugiere que las empresas no MiPymes tienen una mayor presencia en este sector.</w:t>
      </w:r>
    </w:p>
    <w:p w14:paraId="157C7124" w14:textId="04FE6700" w:rsidR="13B8AE1C" w:rsidRPr="00611315" w:rsidRDefault="13B8AE1C" w:rsidP="00447A32">
      <w:pPr>
        <w:ind w:left="360"/>
        <w:jc w:val="both"/>
        <w:rPr>
          <w:rFonts w:ascii="Verdana" w:hAnsi="Verdana"/>
          <w:sz w:val="22"/>
          <w:szCs w:val="22"/>
        </w:rPr>
      </w:pPr>
    </w:p>
    <w:p w14:paraId="00852D60" w14:textId="77777777" w:rsidR="00116546" w:rsidRPr="00611315" w:rsidRDefault="00116546" w:rsidP="00447A32">
      <w:pPr>
        <w:jc w:val="both"/>
        <w:rPr>
          <w:rFonts w:ascii="Verdana" w:hAnsi="Verdana"/>
          <w:sz w:val="22"/>
          <w:szCs w:val="22"/>
        </w:rPr>
      </w:pPr>
      <w:r w:rsidRPr="00611315">
        <w:rPr>
          <w:rFonts w:ascii="Verdana" w:hAnsi="Verdana"/>
          <w:sz w:val="22"/>
          <w:szCs w:val="22"/>
        </w:rPr>
        <w:t>En general, las empresas no MiPymes tienen un mayor valor contratado en la mayoría de los sectores. Sin embargo, hay algunos sectores donde las MiPymes tienen una participación destacable, como Edificios Institucionales y Educación, donde el número de contratos adjudicados a MiPymes y no MiPymes es más equilibrado. Por otro lado, en sectores como Transporte y Agua Potable y Saneamiento Básico, hay una mayor cantidad de contratos adjudicados a empresas no MiPymes.</w:t>
      </w:r>
    </w:p>
    <w:p w14:paraId="48AD9033" w14:textId="77777777" w:rsidR="00851373" w:rsidRPr="00611315" w:rsidRDefault="00851373" w:rsidP="00851373">
      <w:pPr>
        <w:jc w:val="both"/>
        <w:rPr>
          <w:rFonts w:ascii="Verdana" w:hAnsi="Verdana"/>
          <w:sz w:val="22"/>
          <w:szCs w:val="22"/>
        </w:rPr>
      </w:pPr>
    </w:p>
    <w:p w14:paraId="14271C6D" w14:textId="7CF01810" w:rsidR="000854AC" w:rsidRDefault="00116546" w:rsidP="00447A32">
      <w:pPr>
        <w:jc w:val="both"/>
        <w:rPr>
          <w:rFonts w:ascii="Verdana" w:hAnsi="Verdana"/>
          <w:sz w:val="22"/>
          <w:szCs w:val="22"/>
        </w:rPr>
      </w:pPr>
      <w:r w:rsidRPr="00611315">
        <w:rPr>
          <w:rFonts w:ascii="Verdana" w:hAnsi="Verdana"/>
          <w:sz w:val="22"/>
          <w:szCs w:val="22"/>
        </w:rPr>
        <w:t>Lo anterior destaca la importancia de continuar impulsando la inclusión de las MiPymes en la contratación pública, lo que puede contribuir a una mayor diversidad y c</w:t>
      </w:r>
      <w:r w:rsidR="00851373" w:rsidRPr="00611315">
        <w:rPr>
          <w:rFonts w:ascii="Verdana" w:hAnsi="Verdana"/>
          <w:sz w:val="22"/>
          <w:szCs w:val="22"/>
        </w:rPr>
        <w:t>o</w:t>
      </w:r>
      <w:r w:rsidRPr="00611315">
        <w:rPr>
          <w:rFonts w:ascii="Verdana" w:hAnsi="Verdana"/>
          <w:sz w:val="22"/>
          <w:szCs w:val="22"/>
        </w:rPr>
        <w:t>mpetencia en el mercado, y a su vez, promover la democratización de las compras públicas.</w:t>
      </w:r>
    </w:p>
    <w:p w14:paraId="05B0E0B7" w14:textId="77777777" w:rsidR="003954FF" w:rsidRPr="00611315" w:rsidRDefault="003954FF" w:rsidP="00447A32">
      <w:pPr>
        <w:jc w:val="both"/>
        <w:rPr>
          <w:rFonts w:ascii="Verdana" w:hAnsi="Verdana"/>
          <w:sz w:val="22"/>
          <w:szCs w:val="22"/>
        </w:rPr>
      </w:pPr>
    </w:p>
    <w:p w14:paraId="77CD9AA8" w14:textId="77777777" w:rsidR="000854AC" w:rsidRPr="00611315" w:rsidRDefault="000854AC">
      <w:pPr>
        <w:ind w:left="360"/>
        <w:jc w:val="both"/>
        <w:rPr>
          <w:rFonts w:ascii="Verdana" w:hAnsi="Verdana"/>
          <w:sz w:val="22"/>
          <w:szCs w:val="22"/>
        </w:rPr>
      </w:pPr>
    </w:p>
    <w:p w14:paraId="59078CF6" w14:textId="48AB5AD7" w:rsidR="000854AC" w:rsidRPr="00611315" w:rsidRDefault="00C4158E" w:rsidP="002E50B7">
      <w:pPr>
        <w:pStyle w:val="Prrafodelista"/>
        <w:numPr>
          <w:ilvl w:val="0"/>
          <w:numId w:val="50"/>
        </w:numPr>
        <w:rPr>
          <w:rFonts w:ascii="Verdana" w:eastAsia="Times New Roman" w:hAnsi="Verdana" w:cs="Arial"/>
          <w:b/>
          <w:lang w:eastAsia="es-MX"/>
        </w:rPr>
      </w:pPr>
      <w:r w:rsidRPr="00611315">
        <w:rPr>
          <w:rFonts w:ascii="Verdana" w:eastAsia="Times New Roman" w:hAnsi="Verdana" w:cs="Arial"/>
          <w:b/>
          <w:lang w:eastAsia="es-MX"/>
        </w:rPr>
        <w:t>MUJERES</w:t>
      </w:r>
    </w:p>
    <w:p w14:paraId="396DD36A" w14:textId="66CE9EDA" w:rsidR="00ED30CC" w:rsidRDefault="00764AFE" w:rsidP="00ED30CC">
      <w:pPr>
        <w:jc w:val="both"/>
        <w:rPr>
          <w:rFonts w:ascii="Verdana" w:hAnsi="Verdana"/>
          <w:sz w:val="22"/>
          <w:szCs w:val="22"/>
        </w:rPr>
      </w:pPr>
      <w:r>
        <w:rPr>
          <w:rFonts w:ascii="Verdana" w:hAnsi="Verdana"/>
          <w:sz w:val="22"/>
          <w:szCs w:val="22"/>
        </w:rPr>
        <w:t xml:space="preserve">De acuerdo con el </w:t>
      </w:r>
      <w:r w:rsidR="00C44252">
        <w:rPr>
          <w:rFonts w:ascii="Verdana" w:hAnsi="Verdana"/>
          <w:sz w:val="22"/>
          <w:szCs w:val="22"/>
        </w:rPr>
        <w:t xml:space="preserve">Informe denominado “Panorama de las mujeres en el ámbito laboral y empresarial” </w:t>
      </w:r>
      <w:r w:rsidR="00BA76D2">
        <w:rPr>
          <w:rFonts w:ascii="Verdana" w:hAnsi="Verdana"/>
          <w:sz w:val="22"/>
          <w:szCs w:val="22"/>
        </w:rPr>
        <w:t>publicado por Confecámaras</w:t>
      </w:r>
      <w:r w:rsidR="00C351AE">
        <w:rPr>
          <w:rFonts w:ascii="Verdana" w:hAnsi="Verdana"/>
          <w:sz w:val="22"/>
          <w:szCs w:val="22"/>
        </w:rPr>
        <w:t xml:space="preserve"> en 2024,</w:t>
      </w:r>
      <w:r w:rsidR="002E4798">
        <w:rPr>
          <w:rFonts w:ascii="Verdana" w:hAnsi="Verdana"/>
          <w:sz w:val="22"/>
          <w:szCs w:val="22"/>
        </w:rPr>
        <w:t xml:space="preserve"> a</w:t>
      </w:r>
      <w:r w:rsidR="002E4798" w:rsidRPr="002E4798">
        <w:rPr>
          <w:rFonts w:ascii="Verdana" w:hAnsi="Verdana"/>
          <w:sz w:val="22"/>
          <w:szCs w:val="22"/>
        </w:rPr>
        <w:t xml:space="preserve"> pesar de la creciente participación de las mujeres en la fuerza laboral, </w:t>
      </w:r>
      <w:r w:rsidR="002E2564">
        <w:rPr>
          <w:rFonts w:ascii="Verdana" w:hAnsi="Verdana"/>
          <w:sz w:val="22"/>
          <w:szCs w:val="22"/>
        </w:rPr>
        <w:t xml:space="preserve">a nivel mundial aún </w:t>
      </w:r>
      <w:r w:rsidR="002E4798" w:rsidRPr="002E4798">
        <w:rPr>
          <w:rFonts w:ascii="Verdana" w:hAnsi="Verdana"/>
          <w:sz w:val="22"/>
          <w:szCs w:val="22"/>
        </w:rPr>
        <w:t xml:space="preserve">persisten barreras que limitan su acceso a ciertos sectores o roles. </w:t>
      </w:r>
      <w:r w:rsidR="002E2564">
        <w:rPr>
          <w:rFonts w:ascii="Verdana" w:hAnsi="Verdana"/>
          <w:sz w:val="22"/>
          <w:szCs w:val="22"/>
        </w:rPr>
        <w:t xml:space="preserve">Este tipo de barreras se materializan </w:t>
      </w:r>
      <w:r w:rsidR="00225C9E">
        <w:rPr>
          <w:rFonts w:ascii="Verdana" w:hAnsi="Verdana"/>
          <w:sz w:val="22"/>
          <w:szCs w:val="22"/>
        </w:rPr>
        <w:t xml:space="preserve">en la práctica en </w:t>
      </w:r>
      <w:r w:rsidR="002E4798" w:rsidRPr="002E4798">
        <w:rPr>
          <w:rFonts w:ascii="Verdana" w:hAnsi="Verdana"/>
          <w:sz w:val="22"/>
          <w:szCs w:val="22"/>
        </w:rPr>
        <w:t xml:space="preserve">la distribución inequitativa de los quehaceres domésticos y actividades </w:t>
      </w:r>
      <w:r w:rsidR="002E4798" w:rsidRPr="002E4798">
        <w:rPr>
          <w:rFonts w:ascii="Verdana" w:hAnsi="Verdana"/>
          <w:sz w:val="22"/>
          <w:szCs w:val="22"/>
        </w:rPr>
        <w:lastRenderedPageBreak/>
        <w:t>del cuidado,</w:t>
      </w:r>
      <w:r w:rsidR="000800EF">
        <w:rPr>
          <w:rFonts w:ascii="Verdana" w:hAnsi="Verdana"/>
          <w:sz w:val="22"/>
          <w:szCs w:val="22"/>
        </w:rPr>
        <w:t xml:space="preserve"> </w:t>
      </w:r>
      <w:r w:rsidR="00ED30CC">
        <w:rPr>
          <w:rFonts w:ascii="Verdana" w:hAnsi="Verdana"/>
          <w:sz w:val="22"/>
          <w:szCs w:val="22"/>
        </w:rPr>
        <w:t xml:space="preserve">lo cual continúa impactando en </w:t>
      </w:r>
      <w:r w:rsidR="00ED30CC" w:rsidRPr="002E4798">
        <w:rPr>
          <w:rFonts w:ascii="Verdana" w:hAnsi="Verdana"/>
          <w:sz w:val="22"/>
          <w:szCs w:val="22"/>
        </w:rPr>
        <w:t>términos de desarrollo personal y profesional, y la posibilidad de libertad financiera que les puede significar un trabajo remunerado</w:t>
      </w:r>
      <w:r w:rsidR="00B95D4B">
        <w:rPr>
          <w:rStyle w:val="Refdenotaalpie"/>
          <w:rFonts w:ascii="Verdana" w:hAnsi="Verdana"/>
          <w:sz w:val="22"/>
          <w:szCs w:val="22"/>
        </w:rPr>
        <w:footnoteReference w:id="54"/>
      </w:r>
      <w:r w:rsidR="00ED30CC" w:rsidRPr="002E4798">
        <w:rPr>
          <w:rFonts w:ascii="Verdana" w:hAnsi="Verdana"/>
          <w:sz w:val="22"/>
          <w:szCs w:val="22"/>
        </w:rPr>
        <w:t>.</w:t>
      </w:r>
    </w:p>
    <w:p w14:paraId="55E1B742" w14:textId="77777777" w:rsidR="00B95D4B" w:rsidRDefault="00B95D4B" w:rsidP="00ED30CC">
      <w:pPr>
        <w:jc w:val="both"/>
        <w:rPr>
          <w:rFonts w:ascii="Verdana" w:hAnsi="Verdana"/>
          <w:sz w:val="22"/>
          <w:szCs w:val="22"/>
        </w:rPr>
      </w:pPr>
    </w:p>
    <w:p w14:paraId="5633AE6D" w14:textId="006DBFCE" w:rsidR="000F056D" w:rsidRDefault="00C852BE" w:rsidP="00ED30CC">
      <w:pPr>
        <w:jc w:val="both"/>
        <w:rPr>
          <w:rFonts w:ascii="Verdana" w:hAnsi="Verdana"/>
          <w:sz w:val="22"/>
          <w:szCs w:val="22"/>
        </w:rPr>
      </w:pPr>
      <w:proofErr w:type="gramStart"/>
      <w:r>
        <w:rPr>
          <w:rFonts w:ascii="Verdana" w:hAnsi="Verdana"/>
          <w:sz w:val="22"/>
          <w:szCs w:val="22"/>
        </w:rPr>
        <w:t>E</w:t>
      </w:r>
      <w:r w:rsidR="00F5368C">
        <w:rPr>
          <w:rFonts w:ascii="Verdana" w:hAnsi="Verdana"/>
          <w:sz w:val="22"/>
          <w:szCs w:val="22"/>
        </w:rPr>
        <w:t xml:space="preserve">sta </w:t>
      </w:r>
      <w:r w:rsidR="00CA5556">
        <w:rPr>
          <w:rFonts w:ascii="Verdana" w:hAnsi="Verdana"/>
          <w:sz w:val="22"/>
          <w:szCs w:val="22"/>
        </w:rPr>
        <w:t>barreras</w:t>
      </w:r>
      <w:proofErr w:type="gramEnd"/>
      <w:r w:rsidR="00CA5556">
        <w:rPr>
          <w:rFonts w:ascii="Verdana" w:hAnsi="Verdana"/>
          <w:sz w:val="22"/>
          <w:szCs w:val="22"/>
        </w:rPr>
        <w:t xml:space="preserve"> de acceso </w:t>
      </w:r>
      <w:r w:rsidR="00F74413">
        <w:rPr>
          <w:rFonts w:ascii="Verdana" w:hAnsi="Verdana"/>
          <w:sz w:val="22"/>
          <w:szCs w:val="22"/>
        </w:rPr>
        <w:t xml:space="preserve">también </w:t>
      </w:r>
      <w:r w:rsidR="00CA5556">
        <w:rPr>
          <w:rFonts w:ascii="Verdana" w:hAnsi="Verdana"/>
          <w:sz w:val="22"/>
          <w:szCs w:val="22"/>
        </w:rPr>
        <w:t xml:space="preserve">impactan a nivel de emprendimientos desarrollados por mujeres, </w:t>
      </w:r>
      <w:r w:rsidR="00023FE0">
        <w:rPr>
          <w:rFonts w:ascii="Verdana" w:hAnsi="Verdana"/>
          <w:sz w:val="22"/>
          <w:szCs w:val="22"/>
        </w:rPr>
        <w:t>de acuerdo con el informe</w:t>
      </w:r>
      <w:r w:rsidR="00023FE0" w:rsidRPr="00023FE0">
        <w:rPr>
          <w:rFonts w:ascii="Verdana" w:hAnsi="Verdana"/>
          <w:sz w:val="22"/>
          <w:szCs w:val="22"/>
        </w:rPr>
        <w:t xml:space="preserve"> las mujeres tienen menos probabilidades de ser emprendedoras y se enfrentan a más desventajas al iniciar empresas: en el 40% de las economías del mundo la actividad empresarial de las mujeres en una etapa inicial es la mitad o menos de la mitad que la de los hombres</w:t>
      </w:r>
      <w:r w:rsidR="000F056D">
        <w:rPr>
          <w:rFonts w:ascii="Verdana" w:hAnsi="Verdana"/>
          <w:sz w:val="22"/>
          <w:szCs w:val="22"/>
        </w:rPr>
        <w:t xml:space="preserve">. En termino sucintos, </w:t>
      </w:r>
      <w:r w:rsidR="00937B21">
        <w:rPr>
          <w:rFonts w:ascii="Verdana" w:hAnsi="Verdana"/>
          <w:sz w:val="22"/>
          <w:szCs w:val="22"/>
        </w:rPr>
        <w:t xml:space="preserve">esta brecha se materializa en varios sentidos: i) las </w:t>
      </w:r>
      <w:r w:rsidR="000F056D" w:rsidRPr="000F056D">
        <w:rPr>
          <w:rFonts w:ascii="Verdana" w:hAnsi="Verdana"/>
          <w:sz w:val="22"/>
          <w:szCs w:val="22"/>
        </w:rPr>
        <w:t>mujeres suelen tener una menor percepción de existencia de oportunidades</w:t>
      </w:r>
      <w:r w:rsidR="00937B21">
        <w:rPr>
          <w:rFonts w:ascii="Verdana" w:hAnsi="Verdana"/>
          <w:sz w:val="22"/>
          <w:szCs w:val="22"/>
        </w:rPr>
        <w:t xml:space="preserve">; 2) </w:t>
      </w:r>
      <w:r w:rsidR="000F056D" w:rsidRPr="000F056D">
        <w:rPr>
          <w:rFonts w:ascii="Verdana" w:hAnsi="Verdana"/>
          <w:sz w:val="22"/>
          <w:szCs w:val="22"/>
        </w:rPr>
        <w:t>menor confianza en las propias capacidades empresariales y menos conocimiento de otros empresarios; y</w:t>
      </w:r>
      <w:r w:rsidR="00937B21">
        <w:rPr>
          <w:rFonts w:ascii="Verdana" w:hAnsi="Verdana"/>
          <w:sz w:val="22"/>
          <w:szCs w:val="22"/>
        </w:rPr>
        <w:t>3)</w:t>
      </w:r>
      <w:r w:rsidR="000F056D" w:rsidRPr="000F056D">
        <w:rPr>
          <w:rFonts w:ascii="Verdana" w:hAnsi="Verdana"/>
          <w:sz w:val="22"/>
          <w:szCs w:val="22"/>
        </w:rPr>
        <w:t xml:space="preserve"> que estos factores explican gran parte de la brecha en la actividad empresarial</w:t>
      </w:r>
      <w:r w:rsidR="00176806">
        <w:rPr>
          <w:rStyle w:val="Refdenotaalpie"/>
          <w:rFonts w:ascii="Verdana" w:hAnsi="Verdana"/>
          <w:sz w:val="22"/>
          <w:szCs w:val="22"/>
        </w:rPr>
        <w:footnoteReference w:id="55"/>
      </w:r>
      <w:r w:rsidR="000F056D" w:rsidRPr="000F056D">
        <w:rPr>
          <w:rFonts w:ascii="Verdana" w:hAnsi="Verdana"/>
          <w:sz w:val="22"/>
          <w:szCs w:val="22"/>
        </w:rPr>
        <w:t>.</w:t>
      </w:r>
    </w:p>
    <w:p w14:paraId="75CC2190" w14:textId="45544D05" w:rsidR="000800EF" w:rsidRDefault="000800EF" w:rsidP="00447A32">
      <w:pPr>
        <w:jc w:val="both"/>
        <w:rPr>
          <w:rFonts w:ascii="Verdana" w:hAnsi="Verdana"/>
          <w:sz w:val="22"/>
          <w:szCs w:val="22"/>
        </w:rPr>
      </w:pPr>
    </w:p>
    <w:p w14:paraId="69E87DED" w14:textId="5B0A1140" w:rsidR="00FA264C" w:rsidRDefault="0075412C" w:rsidP="00447A32">
      <w:pPr>
        <w:jc w:val="both"/>
        <w:rPr>
          <w:rFonts w:ascii="Verdana" w:hAnsi="Verdana"/>
          <w:sz w:val="22"/>
          <w:szCs w:val="22"/>
        </w:rPr>
      </w:pPr>
      <w:r>
        <w:rPr>
          <w:rFonts w:ascii="Verdana" w:hAnsi="Verdana"/>
          <w:sz w:val="22"/>
          <w:szCs w:val="22"/>
        </w:rPr>
        <w:t xml:space="preserve">En Colombia, </w:t>
      </w:r>
      <w:r w:rsidR="00845201" w:rsidRPr="00845201">
        <w:rPr>
          <w:rFonts w:ascii="Verdana" w:hAnsi="Verdana"/>
          <w:sz w:val="22"/>
          <w:szCs w:val="22"/>
        </w:rPr>
        <w:t>se observa una disparidad en la participación en el mercado laboral entre hombres y mujeres</w:t>
      </w:r>
      <w:r w:rsidR="00845201">
        <w:rPr>
          <w:rFonts w:ascii="Verdana" w:hAnsi="Verdana"/>
          <w:sz w:val="22"/>
          <w:szCs w:val="22"/>
        </w:rPr>
        <w:t xml:space="preserve">: </w:t>
      </w:r>
      <w:r w:rsidR="00845201" w:rsidRPr="00845201">
        <w:rPr>
          <w:rFonts w:ascii="Verdana" w:hAnsi="Verdana"/>
          <w:i/>
          <w:iCs/>
          <w:sz w:val="22"/>
          <w:szCs w:val="22"/>
        </w:rPr>
        <w:t>“El 76,5 % de los hombres en edad de trabajar participan en el mercado laboral, mientras que para las mujeres es del 52,4%. Esta brecha en la participación laboral femenina se acentúa en las zonas rurales del país, donde la tasa global es del 39,7% para las mujeres, frente al 79,2% para los hombres, una diferencia cercana a los 39 puntos porcentuales”</w:t>
      </w:r>
      <w:r w:rsidR="00845201">
        <w:rPr>
          <w:rStyle w:val="Refdenotaalpie"/>
          <w:rFonts w:ascii="Verdana" w:hAnsi="Verdana"/>
          <w:i/>
          <w:iCs/>
          <w:sz w:val="22"/>
          <w:szCs w:val="22"/>
        </w:rPr>
        <w:footnoteReference w:id="56"/>
      </w:r>
    </w:p>
    <w:p w14:paraId="3DE9F73B" w14:textId="77777777" w:rsidR="00FA264C" w:rsidRDefault="00FA264C" w:rsidP="00447A32">
      <w:pPr>
        <w:jc w:val="both"/>
        <w:rPr>
          <w:rFonts w:ascii="Verdana" w:hAnsi="Verdana"/>
          <w:sz w:val="22"/>
          <w:szCs w:val="22"/>
        </w:rPr>
      </w:pPr>
    </w:p>
    <w:p w14:paraId="77E4A095" w14:textId="2C214196" w:rsidR="000B69C8" w:rsidRPr="00A41BAD" w:rsidRDefault="00A41BAD" w:rsidP="00A41BAD">
      <w:pPr>
        <w:pStyle w:val="Descripcin"/>
        <w:jc w:val="center"/>
        <w:rPr>
          <w:rFonts w:ascii="Verdana" w:hAnsi="Verdana"/>
          <w:sz w:val="24"/>
          <w:szCs w:val="24"/>
        </w:rPr>
      </w:pPr>
      <w:bookmarkStart w:id="525" w:name="_Toc231368825"/>
      <w:r w:rsidRPr="00A41BAD">
        <w:rPr>
          <w:rFonts w:ascii="Verdana" w:hAnsi="Verdana"/>
          <w:sz w:val="22"/>
          <w:szCs w:val="22"/>
        </w:rPr>
        <w:t xml:space="preserve">Gráfica </w:t>
      </w:r>
      <w:r w:rsidRPr="00A41BAD">
        <w:rPr>
          <w:rFonts w:ascii="Verdana" w:hAnsi="Verdana"/>
          <w:sz w:val="22"/>
          <w:szCs w:val="22"/>
        </w:rPr>
        <w:fldChar w:fldCharType="begin"/>
      </w:r>
      <w:r w:rsidRPr="00A41BAD">
        <w:rPr>
          <w:rFonts w:ascii="Verdana" w:hAnsi="Verdana"/>
          <w:sz w:val="22"/>
          <w:szCs w:val="22"/>
        </w:rPr>
        <w:instrText xml:space="preserve"> SEQ Gráfica \* ARABIC </w:instrText>
      </w:r>
      <w:r w:rsidRPr="00A41BAD">
        <w:rPr>
          <w:rFonts w:ascii="Verdana" w:hAnsi="Verdana"/>
          <w:sz w:val="22"/>
          <w:szCs w:val="22"/>
        </w:rPr>
        <w:fldChar w:fldCharType="separate"/>
      </w:r>
      <w:r w:rsidR="00973CF5">
        <w:rPr>
          <w:rFonts w:ascii="Verdana" w:hAnsi="Verdana"/>
          <w:noProof/>
          <w:sz w:val="22"/>
          <w:szCs w:val="22"/>
        </w:rPr>
        <w:t>50</w:t>
      </w:r>
      <w:r w:rsidRPr="00A41BAD">
        <w:rPr>
          <w:rFonts w:ascii="Verdana" w:hAnsi="Verdana"/>
          <w:sz w:val="22"/>
          <w:szCs w:val="22"/>
        </w:rPr>
        <w:fldChar w:fldCharType="end"/>
      </w:r>
      <w:r w:rsidRPr="00A41BAD">
        <w:rPr>
          <w:rFonts w:ascii="Verdana" w:hAnsi="Verdana"/>
          <w:sz w:val="22"/>
          <w:szCs w:val="22"/>
        </w:rPr>
        <w:t>. Brecha en la tasa global de participación</w:t>
      </w:r>
      <w:bookmarkEnd w:id="525"/>
    </w:p>
    <w:p w14:paraId="7EE99693" w14:textId="61DF8449" w:rsidR="000B69C8" w:rsidRDefault="00201EB0" w:rsidP="003954FF">
      <w:pPr>
        <w:jc w:val="center"/>
        <w:rPr>
          <w:rFonts w:ascii="Verdana" w:hAnsi="Verdana"/>
          <w:sz w:val="22"/>
          <w:szCs w:val="22"/>
        </w:rPr>
      </w:pPr>
      <w:r>
        <w:rPr>
          <w:noProof/>
        </w:rPr>
        <w:drawing>
          <wp:inline distT="0" distB="0" distL="0" distR="0" wp14:anchorId="56E2BFEE" wp14:editId="4ACB9CA6">
            <wp:extent cx="3716655" cy="1805049"/>
            <wp:effectExtent l="0" t="0" r="0" b="5080"/>
            <wp:docPr id="42232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225" name=""/>
                    <pic:cNvPicPr/>
                  </pic:nvPicPr>
                  <pic:blipFill rotWithShape="1">
                    <a:blip r:embed="rId91"/>
                    <a:srcRect l="26009" t="41413" r="25460" b="15092"/>
                    <a:stretch>
                      <a:fillRect/>
                    </a:stretch>
                  </pic:blipFill>
                  <pic:spPr bwMode="auto">
                    <a:xfrm>
                      <a:off x="0" y="0"/>
                      <a:ext cx="3729191" cy="1811137"/>
                    </a:xfrm>
                    <a:prstGeom prst="rect">
                      <a:avLst/>
                    </a:prstGeom>
                    <a:ln>
                      <a:noFill/>
                    </a:ln>
                    <a:extLst>
                      <a:ext uri="{53640926-AAD7-44D8-BBD7-CCE9431645EC}">
                        <a14:shadowObscured xmlns:a14="http://schemas.microsoft.com/office/drawing/2010/main"/>
                      </a:ext>
                    </a:extLst>
                  </pic:spPr>
                </pic:pic>
              </a:graphicData>
            </a:graphic>
          </wp:inline>
        </w:drawing>
      </w:r>
    </w:p>
    <w:p w14:paraId="2D3D3AC9" w14:textId="56664261" w:rsidR="000B69C8" w:rsidRPr="00C4158E" w:rsidRDefault="00A41BAD" w:rsidP="00A41BAD">
      <w:pPr>
        <w:jc w:val="center"/>
        <w:rPr>
          <w:rFonts w:ascii="Verdana" w:hAnsi="Verdana"/>
          <w:sz w:val="22"/>
          <w:szCs w:val="22"/>
        </w:rPr>
      </w:pPr>
      <w:r w:rsidRPr="00C4158E">
        <w:rPr>
          <w:rFonts w:ascii="Verdana" w:hAnsi="Verdana"/>
          <w:b/>
          <w:bCs/>
          <w:sz w:val="22"/>
          <w:szCs w:val="22"/>
        </w:rPr>
        <w:t>Fuente</w:t>
      </w:r>
      <w:r w:rsidRPr="00C4158E">
        <w:rPr>
          <w:rFonts w:ascii="Verdana" w:hAnsi="Verdana"/>
          <w:sz w:val="22"/>
          <w:szCs w:val="22"/>
        </w:rPr>
        <w:t>: Panorama de las mujeres en el ámbito laboral y empresarial.</w:t>
      </w:r>
    </w:p>
    <w:p w14:paraId="54AD4313" w14:textId="5CCD0A38" w:rsidR="000B69C8" w:rsidRPr="00E04705" w:rsidRDefault="00785F94" w:rsidP="00447A32">
      <w:pPr>
        <w:jc w:val="both"/>
        <w:rPr>
          <w:rFonts w:ascii="Verdana" w:hAnsi="Verdana"/>
          <w:i/>
          <w:iCs/>
          <w:sz w:val="22"/>
          <w:szCs w:val="22"/>
        </w:rPr>
      </w:pPr>
      <w:r>
        <w:rPr>
          <w:rFonts w:ascii="Verdana" w:hAnsi="Verdana"/>
          <w:sz w:val="22"/>
          <w:szCs w:val="22"/>
        </w:rPr>
        <w:lastRenderedPageBreak/>
        <w:t xml:space="preserve">En el espectro empresarial, el informe revela algunos elementos relevantes </w:t>
      </w:r>
      <w:r w:rsidR="00CD17EF">
        <w:rPr>
          <w:rFonts w:ascii="Verdana" w:hAnsi="Verdana"/>
          <w:sz w:val="22"/>
          <w:szCs w:val="22"/>
        </w:rPr>
        <w:t xml:space="preserve">respecto a cómo </w:t>
      </w:r>
      <w:r w:rsidR="007E4458" w:rsidRPr="007E4458">
        <w:rPr>
          <w:rFonts w:ascii="Verdana" w:hAnsi="Verdana"/>
          <w:sz w:val="22"/>
          <w:szCs w:val="22"/>
        </w:rPr>
        <w:t>las brechas en el mercado laboral, las disparidades salariales y de acceso a ciertos roles</w:t>
      </w:r>
      <w:r w:rsidR="007E4458">
        <w:rPr>
          <w:rFonts w:ascii="Verdana" w:hAnsi="Verdana"/>
          <w:sz w:val="22"/>
          <w:szCs w:val="22"/>
        </w:rPr>
        <w:t xml:space="preserve"> impacta directamente en el rol de las mujeres en el contexto empresarial.</w:t>
      </w:r>
      <w:r w:rsidR="00574827">
        <w:rPr>
          <w:rFonts w:ascii="Verdana" w:hAnsi="Verdana"/>
          <w:sz w:val="22"/>
          <w:szCs w:val="22"/>
        </w:rPr>
        <w:t xml:space="preserve"> De acuerdo con el informe “</w:t>
      </w:r>
      <w:r w:rsidR="00574827" w:rsidRPr="00E04705">
        <w:rPr>
          <w:rFonts w:ascii="Verdana" w:hAnsi="Verdana"/>
          <w:i/>
          <w:iCs/>
          <w:sz w:val="22"/>
          <w:szCs w:val="22"/>
        </w:rPr>
        <w:t>En términos de empleados, en promedio, el 37% de la fuerza laboral de las empresas en Colombia son mujeres, sean empresas de personas naturales o jurídicas y sin importar su tamaño. Sin embargo, al analizar esta cifra por deciles, se revela que más del 50% de las empresas operan con una fuerza laboral femenina inferior al 10%. Por otro lado, cerca del 27% de las empresas tienen más del 90% de sus empleos cubiertos por mujeres. Aunque la mayoría de las empresas ocupan a mujeres en solo el 10% del total de sus empleos, hay empresas que se caracterizan por una composición laboral mayoritariamente de mujeres, lo que sucede en empresas que realizan actividades de educación, atención de la salud humana, asistencia social y trabajo doméstico</w:t>
      </w:r>
      <w:r w:rsidR="00E04705">
        <w:rPr>
          <w:rFonts w:ascii="Verdana" w:hAnsi="Verdana"/>
          <w:i/>
          <w:iCs/>
          <w:sz w:val="22"/>
          <w:szCs w:val="22"/>
        </w:rPr>
        <w:t>”</w:t>
      </w:r>
      <w:r w:rsidR="00991D68">
        <w:rPr>
          <w:rStyle w:val="Refdenotaalpie"/>
          <w:rFonts w:ascii="Verdana" w:hAnsi="Verdana"/>
          <w:i/>
          <w:iCs/>
          <w:sz w:val="22"/>
          <w:szCs w:val="22"/>
        </w:rPr>
        <w:footnoteReference w:id="57"/>
      </w:r>
      <w:r w:rsidR="00574827" w:rsidRPr="00E04705">
        <w:rPr>
          <w:rFonts w:ascii="Verdana" w:hAnsi="Verdana"/>
          <w:i/>
          <w:iCs/>
          <w:sz w:val="22"/>
          <w:szCs w:val="22"/>
        </w:rPr>
        <w:t>.</w:t>
      </w:r>
    </w:p>
    <w:p w14:paraId="2833EAE9" w14:textId="77777777" w:rsidR="000B69C8" w:rsidRDefault="000B69C8" w:rsidP="00447A32">
      <w:pPr>
        <w:jc w:val="both"/>
        <w:rPr>
          <w:rFonts w:ascii="Verdana" w:hAnsi="Verdana"/>
          <w:sz w:val="22"/>
          <w:szCs w:val="22"/>
        </w:rPr>
      </w:pPr>
    </w:p>
    <w:p w14:paraId="7E720D4F" w14:textId="7E280BC0" w:rsidR="000B69C8" w:rsidRDefault="00CE45AA" w:rsidP="00447A32">
      <w:pPr>
        <w:jc w:val="both"/>
        <w:rPr>
          <w:rFonts w:ascii="Verdana" w:hAnsi="Verdana"/>
          <w:sz w:val="22"/>
          <w:szCs w:val="22"/>
        </w:rPr>
      </w:pPr>
      <w:r>
        <w:rPr>
          <w:rFonts w:ascii="Verdana" w:hAnsi="Verdana"/>
          <w:sz w:val="22"/>
          <w:szCs w:val="22"/>
        </w:rPr>
        <w:t xml:space="preserve">Cuando se analiza </w:t>
      </w:r>
      <w:r w:rsidRPr="00CE45AA">
        <w:rPr>
          <w:rFonts w:ascii="Verdana" w:hAnsi="Verdana"/>
          <w:sz w:val="22"/>
          <w:szCs w:val="22"/>
        </w:rPr>
        <w:t xml:space="preserve">la distribución de la ocupación por género en diferentes sectores </w:t>
      </w:r>
      <w:proofErr w:type="gramStart"/>
      <w:r w:rsidRPr="00CE45AA">
        <w:rPr>
          <w:rFonts w:ascii="Verdana" w:hAnsi="Verdana"/>
          <w:sz w:val="22"/>
          <w:szCs w:val="22"/>
        </w:rPr>
        <w:t>económicos</w:t>
      </w:r>
      <w:r>
        <w:rPr>
          <w:rFonts w:ascii="Verdana" w:hAnsi="Verdana"/>
          <w:sz w:val="22"/>
          <w:szCs w:val="22"/>
        </w:rPr>
        <w:t xml:space="preserve"> </w:t>
      </w:r>
      <w:r w:rsidRPr="00CE45AA">
        <w:rPr>
          <w:rFonts w:ascii="Verdana" w:hAnsi="Verdana"/>
          <w:sz w:val="22"/>
          <w:szCs w:val="22"/>
        </w:rPr>
        <w:t>,</w:t>
      </w:r>
      <w:proofErr w:type="gramEnd"/>
      <w:r w:rsidRPr="00CE45AA">
        <w:rPr>
          <w:rFonts w:ascii="Verdana" w:hAnsi="Verdana"/>
          <w:sz w:val="22"/>
          <w:szCs w:val="22"/>
        </w:rPr>
        <w:t xml:space="preserve"> se </w:t>
      </w:r>
      <w:r>
        <w:rPr>
          <w:rFonts w:ascii="Verdana" w:hAnsi="Verdana"/>
          <w:sz w:val="22"/>
          <w:szCs w:val="22"/>
        </w:rPr>
        <w:t>evidencia una</w:t>
      </w:r>
      <w:r w:rsidRPr="00CE45AA">
        <w:rPr>
          <w:rFonts w:ascii="Verdana" w:hAnsi="Verdana"/>
          <w:sz w:val="22"/>
          <w:szCs w:val="22"/>
        </w:rPr>
        <w:t xml:space="preserve"> baja representación</w:t>
      </w:r>
      <w:r>
        <w:rPr>
          <w:rFonts w:ascii="Verdana" w:hAnsi="Verdana"/>
          <w:sz w:val="22"/>
          <w:szCs w:val="22"/>
        </w:rPr>
        <w:t xml:space="preserve"> de las mujeres en los sectores de</w:t>
      </w:r>
      <w:r w:rsidRPr="00CE45AA">
        <w:rPr>
          <w:rFonts w:ascii="Verdana" w:hAnsi="Verdana"/>
          <w:sz w:val="22"/>
          <w:szCs w:val="22"/>
        </w:rPr>
        <w:t xml:space="preserve"> extracción, construcción y agricultura</w:t>
      </w:r>
      <w:r>
        <w:rPr>
          <w:rFonts w:ascii="Verdana" w:hAnsi="Verdana"/>
          <w:sz w:val="22"/>
          <w:szCs w:val="22"/>
        </w:rPr>
        <w:t xml:space="preserve">, mientras </w:t>
      </w:r>
      <w:proofErr w:type="gramStart"/>
      <w:r>
        <w:rPr>
          <w:rFonts w:ascii="Verdana" w:hAnsi="Verdana"/>
          <w:sz w:val="22"/>
          <w:szCs w:val="22"/>
        </w:rPr>
        <w:t>que</w:t>
      </w:r>
      <w:proofErr w:type="gramEnd"/>
      <w:r>
        <w:rPr>
          <w:rFonts w:ascii="Verdana" w:hAnsi="Verdana"/>
          <w:sz w:val="22"/>
          <w:szCs w:val="22"/>
        </w:rPr>
        <w:t xml:space="preserve"> en sectores como </w:t>
      </w:r>
      <w:r w:rsidR="00D15C68" w:rsidRPr="00D15C68">
        <w:rPr>
          <w:rFonts w:ascii="Verdana" w:hAnsi="Verdana"/>
          <w:sz w:val="22"/>
          <w:szCs w:val="22"/>
        </w:rPr>
        <w:t>industria, comercio y servicios, la representación de mujeres está en línea con el promedio general</w:t>
      </w:r>
      <w:r w:rsidR="00D15C68">
        <w:rPr>
          <w:rFonts w:ascii="Verdana" w:hAnsi="Verdana"/>
          <w:sz w:val="22"/>
          <w:szCs w:val="22"/>
        </w:rPr>
        <w:t>, tal y como se puede observar en la siguiente gráfica:</w:t>
      </w:r>
    </w:p>
    <w:p w14:paraId="43704E05" w14:textId="77777777" w:rsidR="0061057B" w:rsidRDefault="0061057B" w:rsidP="00447A32">
      <w:pPr>
        <w:jc w:val="both"/>
        <w:rPr>
          <w:rFonts w:ascii="Verdana" w:hAnsi="Verdana"/>
          <w:sz w:val="22"/>
          <w:szCs w:val="22"/>
        </w:rPr>
      </w:pPr>
    </w:p>
    <w:p w14:paraId="7CCFF18B" w14:textId="77777777" w:rsidR="00D15C68" w:rsidRDefault="00D15C68" w:rsidP="00447A32">
      <w:pPr>
        <w:jc w:val="both"/>
        <w:rPr>
          <w:rFonts w:ascii="Verdana" w:hAnsi="Verdana"/>
          <w:sz w:val="22"/>
          <w:szCs w:val="22"/>
        </w:rPr>
      </w:pPr>
    </w:p>
    <w:p w14:paraId="4D8B53AD" w14:textId="2F200E0F" w:rsidR="00D15C68" w:rsidRPr="001C5422" w:rsidRDefault="001C5422" w:rsidP="001C5422">
      <w:pPr>
        <w:pStyle w:val="Descripcin"/>
        <w:jc w:val="center"/>
        <w:rPr>
          <w:rFonts w:ascii="Verdana" w:hAnsi="Verdana"/>
          <w:sz w:val="24"/>
          <w:szCs w:val="24"/>
        </w:rPr>
      </w:pPr>
      <w:bookmarkStart w:id="526" w:name="_Toc231368826"/>
      <w:r w:rsidRPr="001C5422">
        <w:rPr>
          <w:rFonts w:ascii="Verdana" w:hAnsi="Verdana"/>
          <w:sz w:val="22"/>
          <w:szCs w:val="22"/>
        </w:rPr>
        <w:t xml:space="preserve">Gráfica </w:t>
      </w:r>
      <w:r w:rsidRPr="001C5422">
        <w:rPr>
          <w:rFonts w:ascii="Verdana" w:hAnsi="Verdana"/>
          <w:sz w:val="22"/>
          <w:szCs w:val="22"/>
        </w:rPr>
        <w:fldChar w:fldCharType="begin"/>
      </w:r>
      <w:r w:rsidRPr="001C5422">
        <w:rPr>
          <w:rFonts w:ascii="Verdana" w:hAnsi="Verdana"/>
          <w:sz w:val="22"/>
          <w:szCs w:val="22"/>
        </w:rPr>
        <w:instrText xml:space="preserve"> SEQ Gráfica \* ARABIC </w:instrText>
      </w:r>
      <w:r w:rsidRPr="001C5422">
        <w:rPr>
          <w:rFonts w:ascii="Verdana" w:hAnsi="Verdana"/>
          <w:sz w:val="22"/>
          <w:szCs w:val="22"/>
        </w:rPr>
        <w:fldChar w:fldCharType="separate"/>
      </w:r>
      <w:r w:rsidR="00973CF5">
        <w:rPr>
          <w:rFonts w:ascii="Verdana" w:hAnsi="Verdana"/>
          <w:noProof/>
          <w:sz w:val="22"/>
          <w:szCs w:val="22"/>
        </w:rPr>
        <w:t>51</w:t>
      </w:r>
      <w:r w:rsidRPr="001C5422">
        <w:rPr>
          <w:rFonts w:ascii="Verdana" w:hAnsi="Verdana"/>
          <w:sz w:val="22"/>
          <w:szCs w:val="22"/>
        </w:rPr>
        <w:fldChar w:fldCharType="end"/>
      </w:r>
      <w:r w:rsidRPr="001C5422">
        <w:rPr>
          <w:rFonts w:ascii="Verdana" w:hAnsi="Verdana"/>
          <w:sz w:val="22"/>
          <w:szCs w:val="22"/>
        </w:rPr>
        <w:t>. Proporción de mujeres empleadas por sector económico</w:t>
      </w:r>
      <w:bookmarkEnd w:id="526"/>
    </w:p>
    <w:p w14:paraId="64D66FE9" w14:textId="1CFE3132" w:rsidR="00D15C68" w:rsidRDefault="00D15C68" w:rsidP="00D15C68">
      <w:pPr>
        <w:jc w:val="center"/>
        <w:rPr>
          <w:rFonts w:ascii="Verdana" w:hAnsi="Verdana"/>
          <w:sz w:val="22"/>
          <w:szCs w:val="22"/>
        </w:rPr>
      </w:pPr>
      <w:r>
        <w:rPr>
          <w:noProof/>
        </w:rPr>
        <w:drawing>
          <wp:inline distT="0" distB="0" distL="0" distR="0" wp14:anchorId="5EB1FF3D" wp14:editId="0CCAAA17">
            <wp:extent cx="3774911" cy="1968303"/>
            <wp:effectExtent l="0" t="0" r="0" b="0"/>
            <wp:docPr id="2131772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72883" name=""/>
                    <pic:cNvPicPr/>
                  </pic:nvPicPr>
                  <pic:blipFill rotWithShape="1">
                    <a:blip r:embed="rId92"/>
                    <a:srcRect l="28918" t="34510" r="45080" b="23709"/>
                    <a:stretch>
                      <a:fillRect/>
                    </a:stretch>
                  </pic:blipFill>
                  <pic:spPr bwMode="auto">
                    <a:xfrm>
                      <a:off x="0" y="0"/>
                      <a:ext cx="3841193" cy="2002864"/>
                    </a:xfrm>
                    <a:prstGeom prst="rect">
                      <a:avLst/>
                    </a:prstGeom>
                    <a:ln>
                      <a:noFill/>
                    </a:ln>
                    <a:extLst>
                      <a:ext uri="{53640926-AAD7-44D8-BBD7-CCE9431645EC}">
                        <a14:shadowObscured xmlns:a14="http://schemas.microsoft.com/office/drawing/2010/main"/>
                      </a:ext>
                    </a:extLst>
                  </pic:spPr>
                </pic:pic>
              </a:graphicData>
            </a:graphic>
          </wp:inline>
        </w:drawing>
      </w:r>
    </w:p>
    <w:p w14:paraId="2325BE08" w14:textId="77777777" w:rsidR="001C5422" w:rsidRPr="00C4158E" w:rsidRDefault="001C5422" w:rsidP="001C5422">
      <w:pPr>
        <w:jc w:val="center"/>
        <w:rPr>
          <w:rFonts w:ascii="Verdana" w:hAnsi="Verdana"/>
          <w:sz w:val="22"/>
          <w:szCs w:val="22"/>
        </w:rPr>
      </w:pPr>
      <w:r w:rsidRPr="00C4158E">
        <w:rPr>
          <w:rFonts w:ascii="Verdana" w:hAnsi="Verdana"/>
          <w:b/>
          <w:bCs/>
          <w:sz w:val="22"/>
          <w:szCs w:val="22"/>
        </w:rPr>
        <w:t>Fuente</w:t>
      </w:r>
      <w:r w:rsidRPr="00C4158E">
        <w:rPr>
          <w:rFonts w:ascii="Verdana" w:hAnsi="Verdana"/>
          <w:sz w:val="22"/>
          <w:szCs w:val="22"/>
        </w:rPr>
        <w:t>: Panorama de las mujeres en el ámbito laboral y empresarial.</w:t>
      </w:r>
    </w:p>
    <w:p w14:paraId="64514911" w14:textId="77777777" w:rsidR="00CE45AA" w:rsidRDefault="00CE45AA" w:rsidP="00447A32">
      <w:pPr>
        <w:jc w:val="both"/>
        <w:rPr>
          <w:rFonts w:ascii="Verdana" w:hAnsi="Verdana"/>
          <w:sz w:val="22"/>
          <w:szCs w:val="22"/>
        </w:rPr>
      </w:pPr>
    </w:p>
    <w:p w14:paraId="02488206" w14:textId="77777777" w:rsidR="00F30BC5" w:rsidRDefault="00F30BC5" w:rsidP="00447A32">
      <w:pPr>
        <w:jc w:val="both"/>
        <w:rPr>
          <w:rFonts w:ascii="Verdana" w:hAnsi="Verdana"/>
          <w:sz w:val="22"/>
          <w:szCs w:val="22"/>
        </w:rPr>
      </w:pPr>
    </w:p>
    <w:p w14:paraId="2F20ACD4" w14:textId="2E01EA2E" w:rsidR="00F30BC5" w:rsidRDefault="00F30BC5" w:rsidP="00447A32">
      <w:pPr>
        <w:jc w:val="both"/>
        <w:rPr>
          <w:rFonts w:ascii="Verdana" w:hAnsi="Verdana"/>
          <w:sz w:val="22"/>
          <w:szCs w:val="22"/>
        </w:rPr>
      </w:pPr>
      <w:r>
        <w:rPr>
          <w:rFonts w:ascii="Verdana" w:hAnsi="Verdana"/>
          <w:sz w:val="22"/>
          <w:szCs w:val="22"/>
        </w:rPr>
        <w:lastRenderedPageBreak/>
        <w:t>Con relación a la</w:t>
      </w:r>
      <w:r w:rsidR="00D1616D">
        <w:rPr>
          <w:rFonts w:ascii="Verdana" w:hAnsi="Verdana"/>
          <w:sz w:val="22"/>
          <w:szCs w:val="22"/>
        </w:rPr>
        <w:t xml:space="preserve"> propiedad de las empresas en el país por parte de mujeres, el informe destaca </w:t>
      </w:r>
      <w:proofErr w:type="gramStart"/>
      <w:r w:rsidR="00D1616D">
        <w:rPr>
          <w:rFonts w:ascii="Verdana" w:hAnsi="Verdana"/>
          <w:sz w:val="22"/>
          <w:szCs w:val="22"/>
        </w:rPr>
        <w:t>que</w:t>
      </w:r>
      <w:proofErr w:type="gramEnd"/>
      <w:r w:rsidR="00D1616D">
        <w:rPr>
          <w:rFonts w:ascii="Verdana" w:hAnsi="Verdana"/>
          <w:sz w:val="22"/>
          <w:szCs w:val="22"/>
        </w:rPr>
        <w:t xml:space="preserve"> del </w:t>
      </w:r>
      <w:r w:rsidR="00D1616D" w:rsidRPr="00D1616D">
        <w:rPr>
          <w:rFonts w:ascii="Verdana" w:hAnsi="Verdana"/>
          <w:sz w:val="22"/>
          <w:szCs w:val="22"/>
        </w:rPr>
        <w:t>total de las empresas del país, el 47</w:t>
      </w:r>
      <w:r w:rsidR="00B82087">
        <w:rPr>
          <w:rFonts w:ascii="Verdana" w:hAnsi="Verdana"/>
          <w:sz w:val="22"/>
          <w:szCs w:val="22"/>
        </w:rPr>
        <w:t>,</w:t>
      </w:r>
      <w:r w:rsidR="00D1616D" w:rsidRPr="00D1616D">
        <w:rPr>
          <w:rFonts w:ascii="Verdana" w:hAnsi="Verdana"/>
          <w:sz w:val="22"/>
          <w:szCs w:val="22"/>
        </w:rPr>
        <w:t>6% es de propiedad femenina. En el caso de las personas naturales, el 59% de las empresas es propiedad</w:t>
      </w:r>
      <w:r w:rsidR="005A306C">
        <w:rPr>
          <w:rFonts w:ascii="Verdana" w:hAnsi="Verdana"/>
          <w:sz w:val="22"/>
          <w:szCs w:val="22"/>
        </w:rPr>
        <w:t xml:space="preserve"> </w:t>
      </w:r>
      <w:r w:rsidR="005A306C" w:rsidRPr="005A306C">
        <w:rPr>
          <w:rFonts w:ascii="Verdana" w:hAnsi="Verdana"/>
          <w:sz w:val="22"/>
          <w:szCs w:val="22"/>
        </w:rPr>
        <w:t>de una mujer; y, en el caso de las sociedades, el 13% de las empresas presentan una participación femenina en el capital social de más del 50%, o su representante legal es mujer</w:t>
      </w:r>
      <w:r w:rsidR="005A306C">
        <w:rPr>
          <w:rFonts w:ascii="Verdana" w:hAnsi="Verdana"/>
          <w:sz w:val="22"/>
          <w:szCs w:val="22"/>
        </w:rPr>
        <w:t>, tal y como se puede ver en la siguiente gráfica:</w:t>
      </w:r>
    </w:p>
    <w:p w14:paraId="4E764035" w14:textId="77777777" w:rsidR="005A306C" w:rsidRDefault="005A306C" w:rsidP="00447A32">
      <w:pPr>
        <w:jc w:val="both"/>
        <w:rPr>
          <w:rFonts w:ascii="Verdana" w:hAnsi="Verdana"/>
          <w:sz w:val="22"/>
          <w:szCs w:val="22"/>
        </w:rPr>
      </w:pPr>
    </w:p>
    <w:p w14:paraId="2E8AF865" w14:textId="3FC4F324" w:rsidR="005A306C" w:rsidRPr="00CD1741" w:rsidRDefault="00CD1741" w:rsidP="00CD1741">
      <w:pPr>
        <w:pStyle w:val="Descripcin"/>
        <w:jc w:val="center"/>
        <w:rPr>
          <w:rFonts w:ascii="Verdana" w:hAnsi="Verdana"/>
          <w:sz w:val="24"/>
          <w:szCs w:val="24"/>
        </w:rPr>
      </w:pPr>
      <w:bookmarkStart w:id="527" w:name="_Toc231368827"/>
      <w:r w:rsidRPr="00CD1741">
        <w:rPr>
          <w:rFonts w:ascii="Verdana" w:hAnsi="Verdana"/>
          <w:sz w:val="22"/>
          <w:szCs w:val="22"/>
        </w:rPr>
        <w:t xml:space="preserve">Gráfica </w:t>
      </w:r>
      <w:r w:rsidRPr="00CD1741">
        <w:rPr>
          <w:rFonts w:ascii="Verdana" w:hAnsi="Verdana"/>
          <w:sz w:val="22"/>
          <w:szCs w:val="22"/>
        </w:rPr>
        <w:fldChar w:fldCharType="begin"/>
      </w:r>
      <w:r w:rsidRPr="00CD1741">
        <w:rPr>
          <w:rFonts w:ascii="Verdana" w:hAnsi="Verdana"/>
          <w:sz w:val="22"/>
          <w:szCs w:val="22"/>
        </w:rPr>
        <w:instrText xml:space="preserve"> SEQ Gráfica \* ARABIC </w:instrText>
      </w:r>
      <w:r w:rsidRPr="00CD1741">
        <w:rPr>
          <w:rFonts w:ascii="Verdana" w:hAnsi="Verdana"/>
          <w:sz w:val="22"/>
          <w:szCs w:val="22"/>
        </w:rPr>
        <w:fldChar w:fldCharType="separate"/>
      </w:r>
      <w:r w:rsidR="00973CF5">
        <w:rPr>
          <w:rFonts w:ascii="Verdana" w:hAnsi="Verdana"/>
          <w:noProof/>
          <w:sz w:val="22"/>
          <w:szCs w:val="22"/>
        </w:rPr>
        <w:t>52</w:t>
      </w:r>
      <w:r w:rsidRPr="00CD1741">
        <w:rPr>
          <w:rFonts w:ascii="Verdana" w:hAnsi="Verdana"/>
          <w:sz w:val="22"/>
          <w:szCs w:val="22"/>
        </w:rPr>
        <w:fldChar w:fldCharType="end"/>
      </w:r>
      <w:r w:rsidRPr="00CD1741">
        <w:rPr>
          <w:rFonts w:ascii="Verdana" w:hAnsi="Verdana"/>
          <w:sz w:val="22"/>
          <w:szCs w:val="22"/>
        </w:rPr>
        <w:t>. Pertenencia de las empresas por género y organización jurídica</w:t>
      </w:r>
      <w:bookmarkEnd w:id="527"/>
    </w:p>
    <w:p w14:paraId="44BDDB8C" w14:textId="38EF264A" w:rsidR="005A306C" w:rsidRDefault="005A306C" w:rsidP="005A306C">
      <w:pPr>
        <w:jc w:val="center"/>
        <w:rPr>
          <w:rFonts w:ascii="Verdana" w:hAnsi="Verdana"/>
          <w:sz w:val="22"/>
          <w:szCs w:val="22"/>
        </w:rPr>
      </w:pPr>
      <w:r>
        <w:rPr>
          <w:noProof/>
        </w:rPr>
        <w:drawing>
          <wp:inline distT="0" distB="0" distL="0" distR="0" wp14:anchorId="499CB1FC" wp14:editId="4060BAD2">
            <wp:extent cx="2766951" cy="2341245"/>
            <wp:effectExtent l="0" t="0" r="0" b="1905"/>
            <wp:docPr id="1649095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095218" name=""/>
                    <pic:cNvPicPr/>
                  </pic:nvPicPr>
                  <pic:blipFill rotWithShape="1">
                    <a:blip r:embed="rId93"/>
                    <a:srcRect l="25467" t="29961" r="50628" b="34061"/>
                    <a:stretch>
                      <a:fillRect/>
                    </a:stretch>
                  </pic:blipFill>
                  <pic:spPr bwMode="auto">
                    <a:xfrm>
                      <a:off x="0" y="0"/>
                      <a:ext cx="2790939" cy="2361542"/>
                    </a:xfrm>
                    <a:prstGeom prst="rect">
                      <a:avLst/>
                    </a:prstGeom>
                    <a:ln>
                      <a:noFill/>
                    </a:ln>
                    <a:extLst>
                      <a:ext uri="{53640926-AAD7-44D8-BBD7-CCE9431645EC}">
                        <a14:shadowObscured xmlns:a14="http://schemas.microsoft.com/office/drawing/2010/main"/>
                      </a:ext>
                    </a:extLst>
                  </pic:spPr>
                </pic:pic>
              </a:graphicData>
            </a:graphic>
          </wp:inline>
        </w:drawing>
      </w:r>
    </w:p>
    <w:p w14:paraId="26530621" w14:textId="77777777" w:rsidR="00CD1741" w:rsidRPr="00C4158E" w:rsidRDefault="00CD1741" w:rsidP="00CD1741">
      <w:pPr>
        <w:jc w:val="center"/>
        <w:rPr>
          <w:rFonts w:ascii="Verdana" w:hAnsi="Verdana"/>
          <w:sz w:val="22"/>
          <w:szCs w:val="22"/>
        </w:rPr>
      </w:pPr>
      <w:r w:rsidRPr="00C4158E">
        <w:rPr>
          <w:rFonts w:ascii="Verdana" w:hAnsi="Verdana"/>
          <w:b/>
          <w:bCs/>
          <w:sz w:val="22"/>
          <w:szCs w:val="22"/>
        </w:rPr>
        <w:t>Fuente</w:t>
      </w:r>
      <w:r w:rsidRPr="00C4158E">
        <w:rPr>
          <w:rFonts w:ascii="Verdana" w:hAnsi="Verdana"/>
          <w:sz w:val="22"/>
          <w:szCs w:val="22"/>
        </w:rPr>
        <w:t>: Panorama de las mujeres en el ámbito laboral y empresarial.</w:t>
      </w:r>
    </w:p>
    <w:p w14:paraId="790A6CE5" w14:textId="77777777" w:rsidR="00CE45AA" w:rsidRDefault="00CE45AA" w:rsidP="00447A32">
      <w:pPr>
        <w:jc w:val="both"/>
        <w:rPr>
          <w:rFonts w:ascii="Verdana" w:hAnsi="Verdana"/>
          <w:sz w:val="22"/>
          <w:szCs w:val="22"/>
        </w:rPr>
      </w:pPr>
    </w:p>
    <w:p w14:paraId="4E93C094" w14:textId="77777777" w:rsidR="00CE45AA" w:rsidRDefault="00CE45AA" w:rsidP="00447A32">
      <w:pPr>
        <w:jc w:val="both"/>
        <w:rPr>
          <w:rFonts w:ascii="Verdana" w:hAnsi="Verdana"/>
          <w:sz w:val="22"/>
          <w:szCs w:val="22"/>
        </w:rPr>
      </w:pPr>
    </w:p>
    <w:p w14:paraId="68B21C4B" w14:textId="218645E9" w:rsidR="00CD1741" w:rsidRDefault="002E0EB8" w:rsidP="00447A32">
      <w:pPr>
        <w:jc w:val="both"/>
        <w:rPr>
          <w:rFonts w:ascii="Verdana" w:hAnsi="Verdana"/>
          <w:sz w:val="22"/>
          <w:szCs w:val="22"/>
        </w:rPr>
      </w:pPr>
      <w:r>
        <w:rPr>
          <w:rFonts w:ascii="Verdana" w:hAnsi="Verdana"/>
          <w:sz w:val="22"/>
          <w:szCs w:val="22"/>
        </w:rPr>
        <w:t xml:space="preserve">Ahondando en el análisis de la composición del capital social de las empresas, el informe indica que </w:t>
      </w:r>
      <w:r w:rsidR="001B4CD5" w:rsidRPr="001B4CD5">
        <w:rPr>
          <w:rFonts w:ascii="Verdana" w:hAnsi="Verdana"/>
          <w:sz w:val="22"/>
          <w:szCs w:val="22"/>
        </w:rPr>
        <w:t>las mujeres tienen representación limitada, ya que en promedio solo poseen el 16 % del capital de las empresas y en más del 75 % de las firmas su participación es inferior al 10%</w:t>
      </w:r>
      <w:r w:rsidR="001B4CD5">
        <w:rPr>
          <w:rFonts w:ascii="Verdana" w:hAnsi="Verdana"/>
          <w:sz w:val="22"/>
          <w:szCs w:val="22"/>
        </w:rPr>
        <w:t xml:space="preserve">: </w:t>
      </w:r>
      <w:r w:rsidR="001B4CD5" w:rsidRPr="001B4CD5">
        <w:rPr>
          <w:rFonts w:ascii="Verdana" w:hAnsi="Verdana"/>
          <w:i/>
          <w:iCs/>
          <w:sz w:val="22"/>
          <w:szCs w:val="22"/>
        </w:rPr>
        <w:t>“De hecho, el 15% de las empresas presentan una media participación femenina en el capital social, con porcentajes entre el 10% y el 80%, y el 10% de las empresas presenta una participación femenina mayor al 80% en el capital”</w:t>
      </w:r>
      <w:r w:rsidR="001B4CD5">
        <w:rPr>
          <w:rStyle w:val="Refdenotaalpie"/>
          <w:rFonts w:ascii="Verdana" w:hAnsi="Verdana"/>
          <w:i/>
          <w:iCs/>
          <w:sz w:val="22"/>
          <w:szCs w:val="22"/>
        </w:rPr>
        <w:footnoteReference w:id="58"/>
      </w:r>
      <w:r w:rsidR="001B4CD5" w:rsidRPr="001B4CD5">
        <w:rPr>
          <w:rFonts w:ascii="Verdana" w:hAnsi="Verdana"/>
          <w:i/>
          <w:iCs/>
          <w:sz w:val="22"/>
          <w:szCs w:val="22"/>
        </w:rPr>
        <w:t>.</w:t>
      </w:r>
    </w:p>
    <w:p w14:paraId="1F61F646" w14:textId="77777777" w:rsidR="00CD1741" w:rsidRDefault="00CD1741" w:rsidP="00447A32">
      <w:pPr>
        <w:jc w:val="both"/>
        <w:rPr>
          <w:rFonts w:ascii="Verdana" w:hAnsi="Verdana"/>
          <w:sz w:val="22"/>
          <w:szCs w:val="22"/>
        </w:rPr>
      </w:pPr>
    </w:p>
    <w:p w14:paraId="688B5AAE" w14:textId="77777777" w:rsidR="00CD1741" w:rsidRDefault="00CD1741" w:rsidP="00447A32">
      <w:pPr>
        <w:jc w:val="both"/>
        <w:rPr>
          <w:rFonts w:ascii="Verdana" w:hAnsi="Verdana"/>
          <w:sz w:val="22"/>
          <w:szCs w:val="22"/>
        </w:rPr>
      </w:pPr>
    </w:p>
    <w:p w14:paraId="29D8F6D5" w14:textId="77777777" w:rsidR="00BC562F" w:rsidRDefault="00BC562F" w:rsidP="00447A32">
      <w:pPr>
        <w:jc w:val="both"/>
        <w:rPr>
          <w:rFonts w:ascii="Verdana" w:hAnsi="Verdana"/>
          <w:sz w:val="22"/>
          <w:szCs w:val="22"/>
        </w:rPr>
      </w:pPr>
    </w:p>
    <w:p w14:paraId="2E6C1C9C" w14:textId="77777777" w:rsidR="00BC562F" w:rsidRDefault="00BC562F" w:rsidP="00447A32">
      <w:pPr>
        <w:jc w:val="both"/>
        <w:rPr>
          <w:rFonts w:ascii="Verdana" w:hAnsi="Verdana"/>
          <w:sz w:val="22"/>
          <w:szCs w:val="22"/>
        </w:rPr>
      </w:pPr>
    </w:p>
    <w:p w14:paraId="7CB06113" w14:textId="77777777" w:rsidR="00BC562F" w:rsidRDefault="00BC562F" w:rsidP="00447A32">
      <w:pPr>
        <w:jc w:val="both"/>
        <w:rPr>
          <w:rFonts w:ascii="Verdana" w:hAnsi="Verdana"/>
          <w:sz w:val="22"/>
          <w:szCs w:val="22"/>
        </w:rPr>
      </w:pPr>
    </w:p>
    <w:p w14:paraId="127D3386" w14:textId="77777777" w:rsidR="00FE71D0" w:rsidRDefault="00FE71D0" w:rsidP="00447A32">
      <w:pPr>
        <w:jc w:val="both"/>
        <w:rPr>
          <w:rFonts w:ascii="Verdana" w:hAnsi="Verdana"/>
          <w:sz w:val="22"/>
          <w:szCs w:val="22"/>
        </w:rPr>
      </w:pPr>
    </w:p>
    <w:p w14:paraId="43C3825A" w14:textId="77777777" w:rsidR="00BC562F" w:rsidRDefault="00BC562F" w:rsidP="00447A32">
      <w:pPr>
        <w:jc w:val="both"/>
        <w:rPr>
          <w:rFonts w:ascii="Verdana" w:hAnsi="Verdana"/>
          <w:sz w:val="22"/>
          <w:szCs w:val="22"/>
        </w:rPr>
      </w:pPr>
    </w:p>
    <w:p w14:paraId="68392F30" w14:textId="69CF0B79" w:rsidR="00BC562F" w:rsidRPr="00F14FCA" w:rsidRDefault="00F14FCA" w:rsidP="00F14FCA">
      <w:pPr>
        <w:pStyle w:val="Descripcin"/>
        <w:jc w:val="center"/>
        <w:rPr>
          <w:rFonts w:ascii="Verdana" w:hAnsi="Verdana"/>
          <w:sz w:val="24"/>
          <w:szCs w:val="24"/>
        </w:rPr>
      </w:pPr>
      <w:bookmarkStart w:id="528" w:name="_Toc231368828"/>
      <w:r w:rsidRPr="00F14FCA">
        <w:rPr>
          <w:rFonts w:ascii="Verdana" w:hAnsi="Verdana"/>
          <w:sz w:val="22"/>
          <w:szCs w:val="22"/>
        </w:rPr>
        <w:t xml:space="preserve">Gráfica </w:t>
      </w:r>
      <w:r w:rsidRPr="00F14FCA">
        <w:rPr>
          <w:rFonts w:ascii="Verdana" w:hAnsi="Verdana"/>
          <w:sz w:val="22"/>
          <w:szCs w:val="22"/>
        </w:rPr>
        <w:fldChar w:fldCharType="begin"/>
      </w:r>
      <w:r w:rsidRPr="00F14FCA">
        <w:rPr>
          <w:rFonts w:ascii="Verdana" w:hAnsi="Verdana"/>
          <w:sz w:val="22"/>
          <w:szCs w:val="22"/>
        </w:rPr>
        <w:instrText xml:space="preserve"> SEQ Gráfica \* ARABIC </w:instrText>
      </w:r>
      <w:r w:rsidRPr="00F14FCA">
        <w:rPr>
          <w:rFonts w:ascii="Verdana" w:hAnsi="Verdana"/>
          <w:sz w:val="22"/>
          <w:szCs w:val="22"/>
        </w:rPr>
        <w:fldChar w:fldCharType="separate"/>
      </w:r>
      <w:r w:rsidR="00973CF5">
        <w:rPr>
          <w:rFonts w:ascii="Verdana" w:hAnsi="Verdana"/>
          <w:noProof/>
          <w:sz w:val="22"/>
          <w:szCs w:val="22"/>
        </w:rPr>
        <w:t>53</w:t>
      </w:r>
      <w:r w:rsidRPr="00F14FCA">
        <w:rPr>
          <w:rFonts w:ascii="Verdana" w:hAnsi="Verdana"/>
          <w:sz w:val="22"/>
          <w:szCs w:val="22"/>
        </w:rPr>
        <w:fldChar w:fldCharType="end"/>
      </w:r>
      <w:r w:rsidRPr="00F14FCA">
        <w:rPr>
          <w:rFonts w:ascii="Verdana" w:hAnsi="Verdana"/>
          <w:sz w:val="22"/>
          <w:szCs w:val="22"/>
        </w:rPr>
        <w:t xml:space="preserve">. Participación femenina en el capital social de </w:t>
      </w:r>
      <w:proofErr w:type="gramStart"/>
      <w:r w:rsidRPr="00F14FCA">
        <w:rPr>
          <w:rFonts w:ascii="Verdana" w:hAnsi="Verdana"/>
          <w:sz w:val="22"/>
          <w:szCs w:val="22"/>
        </w:rPr>
        <w:t>las empresa</w:t>
      </w:r>
      <w:bookmarkEnd w:id="528"/>
      <w:proofErr w:type="gramEnd"/>
    </w:p>
    <w:p w14:paraId="20A7C7E7" w14:textId="102D70E3" w:rsidR="00BC562F" w:rsidRDefault="00BC562F" w:rsidP="00BC562F">
      <w:pPr>
        <w:jc w:val="center"/>
        <w:rPr>
          <w:rFonts w:ascii="Verdana" w:hAnsi="Verdana"/>
          <w:sz w:val="22"/>
          <w:szCs w:val="22"/>
        </w:rPr>
      </w:pPr>
      <w:r>
        <w:rPr>
          <w:noProof/>
        </w:rPr>
        <w:drawing>
          <wp:inline distT="0" distB="0" distL="0" distR="0" wp14:anchorId="3A5061B9" wp14:editId="2129DDC3">
            <wp:extent cx="3414898" cy="2522648"/>
            <wp:effectExtent l="0" t="0" r="0" b="0"/>
            <wp:docPr id="15881738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73881" name=""/>
                    <pic:cNvPicPr/>
                  </pic:nvPicPr>
                  <pic:blipFill rotWithShape="1">
                    <a:blip r:embed="rId94"/>
                    <a:srcRect l="23477" t="46244" r="51301" b="20614"/>
                    <a:stretch>
                      <a:fillRect/>
                    </a:stretch>
                  </pic:blipFill>
                  <pic:spPr bwMode="auto">
                    <a:xfrm>
                      <a:off x="0" y="0"/>
                      <a:ext cx="3453490" cy="2551157"/>
                    </a:xfrm>
                    <a:prstGeom prst="rect">
                      <a:avLst/>
                    </a:prstGeom>
                    <a:ln>
                      <a:noFill/>
                    </a:ln>
                    <a:extLst>
                      <a:ext uri="{53640926-AAD7-44D8-BBD7-CCE9431645EC}">
                        <a14:shadowObscured xmlns:a14="http://schemas.microsoft.com/office/drawing/2010/main"/>
                      </a:ext>
                    </a:extLst>
                  </pic:spPr>
                </pic:pic>
              </a:graphicData>
            </a:graphic>
          </wp:inline>
        </w:drawing>
      </w:r>
    </w:p>
    <w:p w14:paraId="11C65A33" w14:textId="77777777" w:rsidR="00F14FCA" w:rsidRPr="00A41BAD" w:rsidRDefault="00F14FCA" w:rsidP="00F14FCA">
      <w:pPr>
        <w:jc w:val="center"/>
        <w:rPr>
          <w:rFonts w:ascii="Verdana" w:hAnsi="Verdana"/>
          <w:sz w:val="16"/>
          <w:szCs w:val="16"/>
        </w:rPr>
      </w:pPr>
      <w:r w:rsidRPr="00C4158E">
        <w:rPr>
          <w:rFonts w:ascii="Verdana" w:hAnsi="Verdana"/>
          <w:b/>
          <w:bCs/>
          <w:sz w:val="22"/>
          <w:szCs w:val="22"/>
        </w:rPr>
        <w:t>Fuente</w:t>
      </w:r>
      <w:r w:rsidRPr="00C4158E">
        <w:rPr>
          <w:rFonts w:ascii="Verdana" w:hAnsi="Verdana"/>
          <w:sz w:val="22"/>
          <w:szCs w:val="22"/>
        </w:rPr>
        <w:t>: Panorama de las mujeres en el ámbito laboral y empresarial.</w:t>
      </w:r>
    </w:p>
    <w:p w14:paraId="7E8AE2BE" w14:textId="77777777" w:rsidR="00BC562F" w:rsidRDefault="00BC562F" w:rsidP="00447A32">
      <w:pPr>
        <w:jc w:val="both"/>
        <w:rPr>
          <w:rFonts w:ascii="Verdana" w:hAnsi="Verdana"/>
          <w:sz w:val="22"/>
          <w:szCs w:val="22"/>
        </w:rPr>
      </w:pPr>
    </w:p>
    <w:p w14:paraId="08A01E25" w14:textId="3B418D8B" w:rsidR="00C13296" w:rsidRDefault="00C13296" w:rsidP="00447A32">
      <w:pPr>
        <w:jc w:val="both"/>
        <w:rPr>
          <w:rFonts w:ascii="Verdana" w:hAnsi="Verdana"/>
          <w:sz w:val="22"/>
          <w:szCs w:val="22"/>
        </w:rPr>
      </w:pPr>
      <w:r>
        <w:rPr>
          <w:rFonts w:ascii="Verdana" w:hAnsi="Verdana"/>
          <w:sz w:val="22"/>
          <w:szCs w:val="22"/>
        </w:rPr>
        <w:t xml:space="preserve">A manera de conclusión en este aspecto, el informe llama la atención sobre </w:t>
      </w:r>
      <w:proofErr w:type="gramStart"/>
      <w:r w:rsidR="004D79FB">
        <w:rPr>
          <w:rFonts w:ascii="Verdana" w:hAnsi="Verdana"/>
          <w:sz w:val="22"/>
          <w:szCs w:val="22"/>
        </w:rPr>
        <w:t>que</w:t>
      </w:r>
      <w:proofErr w:type="gramEnd"/>
      <w:r w:rsidR="004D79FB">
        <w:rPr>
          <w:rFonts w:ascii="Verdana" w:hAnsi="Verdana"/>
          <w:sz w:val="22"/>
          <w:szCs w:val="22"/>
        </w:rPr>
        <w:t xml:space="preserve"> aunque</w:t>
      </w:r>
      <w:r w:rsidRPr="00C13296">
        <w:rPr>
          <w:rFonts w:ascii="Verdana" w:hAnsi="Verdana"/>
          <w:sz w:val="22"/>
          <w:szCs w:val="22"/>
        </w:rPr>
        <w:t xml:space="preserve"> la mayoría de las empresas son representadas legalmente por mujeres (sin importar el tipo de organización jurídica o el tamaño de la firma), sus propietarios son hombres</w:t>
      </w:r>
      <w:r w:rsidR="004D79FB">
        <w:rPr>
          <w:rFonts w:ascii="Verdana" w:hAnsi="Verdana"/>
          <w:sz w:val="22"/>
          <w:szCs w:val="22"/>
        </w:rPr>
        <w:t>,</w:t>
      </w:r>
      <w:r w:rsidR="000E12D5">
        <w:rPr>
          <w:rFonts w:ascii="Verdana" w:hAnsi="Verdana"/>
          <w:sz w:val="22"/>
          <w:szCs w:val="22"/>
        </w:rPr>
        <w:t xml:space="preserve"> relegando la participación de l</w:t>
      </w:r>
      <w:r w:rsidRPr="00C13296">
        <w:rPr>
          <w:rFonts w:ascii="Verdana" w:hAnsi="Verdana"/>
          <w:sz w:val="22"/>
          <w:szCs w:val="22"/>
        </w:rPr>
        <w:t xml:space="preserve">as mujeres </w:t>
      </w:r>
      <w:r w:rsidR="000E12D5">
        <w:rPr>
          <w:rFonts w:ascii="Verdana" w:hAnsi="Verdana"/>
          <w:sz w:val="22"/>
          <w:szCs w:val="22"/>
        </w:rPr>
        <w:t>al rol de</w:t>
      </w:r>
      <w:r w:rsidRPr="00C13296">
        <w:rPr>
          <w:rFonts w:ascii="Verdana" w:hAnsi="Verdana"/>
          <w:sz w:val="22"/>
          <w:szCs w:val="22"/>
        </w:rPr>
        <w:t xml:space="preserve"> empleadas o representantes formales en vez de empleadoras o propietarias de empresas.</w:t>
      </w:r>
    </w:p>
    <w:p w14:paraId="44AF97DD" w14:textId="77777777" w:rsidR="00BC562F" w:rsidRDefault="00BC562F" w:rsidP="00447A32">
      <w:pPr>
        <w:jc w:val="both"/>
        <w:rPr>
          <w:rFonts w:ascii="Verdana" w:hAnsi="Verdana"/>
          <w:sz w:val="22"/>
          <w:szCs w:val="22"/>
        </w:rPr>
      </w:pPr>
    </w:p>
    <w:p w14:paraId="0380BF21" w14:textId="0DC5AC5D" w:rsidR="00116546" w:rsidRPr="00611315" w:rsidRDefault="00C56C19" w:rsidP="00447A32">
      <w:pPr>
        <w:jc w:val="both"/>
        <w:rPr>
          <w:rFonts w:ascii="Verdana" w:hAnsi="Verdana"/>
          <w:sz w:val="22"/>
          <w:szCs w:val="22"/>
        </w:rPr>
      </w:pPr>
      <w:r>
        <w:rPr>
          <w:rFonts w:ascii="Verdana" w:hAnsi="Verdana"/>
          <w:sz w:val="22"/>
          <w:szCs w:val="22"/>
        </w:rPr>
        <w:t>Articulado con todo el contexto anterior, m</w:t>
      </w:r>
      <w:r w:rsidR="00116546" w:rsidRPr="00611315">
        <w:rPr>
          <w:rFonts w:ascii="Verdana" w:hAnsi="Verdana"/>
          <w:sz w:val="22"/>
          <w:szCs w:val="22"/>
        </w:rPr>
        <w:t>onitorear la inclusión de las mujeres en la contratación pública es esencial para promover la igualdad de género y el desarrollo económico inclusivo. Al garantizar su participación en procesos de contratación, se potencian las oportunidades para que las mujeres emprendedoras que participan como personas naturales y las empresas lideradas por mujeres que participan como personas jurídicas, crezcan y contribuyan al Producto Interno Bruto. Además, este seguimiento permite identificar brechas y diseñar políticas más efectivas para cerrarlas, fomentando así un entorno más equitativo y dinámico.</w:t>
      </w:r>
      <w:r w:rsidR="002B31D5" w:rsidRPr="00611315">
        <w:rPr>
          <w:rFonts w:ascii="Verdana" w:hAnsi="Verdana"/>
          <w:sz w:val="22"/>
          <w:szCs w:val="22"/>
        </w:rPr>
        <w:t xml:space="preserve"> </w:t>
      </w:r>
      <w:r w:rsidR="00116546" w:rsidRPr="00611315">
        <w:rPr>
          <w:rFonts w:ascii="Verdana" w:hAnsi="Verdana"/>
          <w:sz w:val="22"/>
          <w:szCs w:val="22"/>
        </w:rPr>
        <w:t>Seguidamente, se presentará un análisis de la participación de la mujer tanto en términos de valor contratado como en número de contratos adjudicados.</w:t>
      </w:r>
    </w:p>
    <w:p w14:paraId="7D3106D0" w14:textId="77777777" w:rsidR="00116546" w:rsidRDefault="00116546" w:rsidP="002B31D5">
      <w:pPr>
        <w:pStyle w:val="Prrafodelista"/>
        <w:ind w:left="1080"/>
        <w:rPr>
          <w:rFonts w:ascii="Verdana" w:hAnsi="Verdana"/>
        </w:rPr>
      </w:pPr>
    </w:p>
    <w:p w14:paraId="7C5CBC8D" w14:textId="77777777" w:rsidR="00C56C19" w:rsidRDefault="00C56C19" w:rsidP="002B31D5">
      <w:pPr>
        <w:pStyle w:val="Prrafodelista"/>
        <w:ind w:left="1080"/>
        <w:rPr>
          <w:rFonts w:ascii="Verdana" w:hAnsi="Verdana"/>
        </w:rPr>
      </w:pPr>
    </w:p>
    <w:p w14:paraId="66BA03B4" w14:textId="77777777" w:rsidR="00C56C19" w:rsidRDefault="00C56C19" w:rsidP="002B31D5">
      <w:pPr>
        <w:pStyle w:val="Prrafodelista"/>
        <w:ind w:left="1080"/>
        <w:rPr>
          <w:rFonts w:ascii="Verdana" w:hAnsi="Verdana"/>
        </w:rPr>
      </w:pPr>
    </w:p>
    <w:p w14:paraId="17E3EC9E" w14:textId="77777777" w:rsidR="00C56C19" w:rsidRDefault="00C56C19" w:rsidP="002B31D5">
      <w:pPr>
        <w:pStyle w:val="Prrafodelista"/>
        <w:ind w:left="1080"/>
        <w:rPr>
          <w:rFonts w:ascii="Verdana" w:hAnsi="Verdana"/>
        </w:rPr>
      </w:pPr>
    </w:p>
    <w:p w14:paraId="63C9C27E" w14:textId="77777777" w:rsidR="00C56C19" w:rsidRDefault="00C56C19" w:rsidP="002B31D5">
      <w:pPr>
        <w:pStyle w:val="Prrafodelista"/>
        <w:ind w:left="1080"/>
        <w:rPr>
          <w:rFonts w:ascii="Verdana" w:hAnsi="Verdana"/>
        </w:rPr>
      </w:pPr>
    </w:p>
    <w:p w14:paraId="3537423B" w14:textId="0A14CDCB" w:rsidR="00116546" w:rsidRPr="00611315" w:rsidRDefault="00855BD6" w:rsidP="00855BD6">
      <w:pPr>
        <w:pStyle w:val="Descripcin"/>
        <w:jc w:val="center"/>
        <w:rPr>
          <w:rFonts w:ascii="Verdana" w:eastAsia="Verdana Pro" w:hAnsi="Verdana" w:cs="Verdana Pro"/>
          <w:i/>
          <w:sz w:val="22"/>
          <w:szCs w:val="22"/>
        </w:rPr>
      </w:pPr>
      <w:bookmarkStart w:id="529" w:name="_Toc231368829"/>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54</w:t>
      </w:r>
      <w:r w:rsidRPr="00611315">
        <w:rPr>
          <w:rFonts w:ascii="Verdana" w:hAnsi="Verdana"/>
          <w:sz w:val="22"/>
          <w:szCs w:val="22"/>
        </w:rPr>
        <w:fldChar w:fldCharType="end"/>
      </w:r>
      <w:r w:rsidRPr="00611315">
        <w:rPr>
          <w:rFonts w:ascii="Verdana" w:hAnsi="Verdana"/>
          <w:sz w:val="22"/>
          <w:szCs w:val="22"/>
        </w:rPr>
        <w:t>. Participación de la mujer en términos de valor contratado</w:t>
      </w:r>
      <w:bookmarkEnd w:id="529"/>
    </w:p>
    <w:p w14:paraId="23F4B28B" w14:textId="77777777" w:rsidR="00116546" w:rsidRPr="00611315" w:rsidRDefault="00116546" w:rsidP="002B31D5">
      <w:pPr>
        <w:ind w:left="360"/>
        <w:jc w:val="center"/>
        <w:rPr>
          <w:rFonts w:ascii="Verdana" w:hAnsi="Verdana"/>
        </w:rPr>
      </w:pPr>
      <w:r w:rsidRPr="00611315">
        <w:rPr>
          <w:rFonts w:ascii="Verdana" w:hAnsi="Verdana"/>
          <w:noProof/>
        </w:rPr>
        <w:drawing>
          <wp:inline distT="0" distB="0" distL="0" distR="0" wp14:anchorId="580C7758" wp14:editId="5334B4CD">
            <wp:extent cx="3838575" cy="2006930"/>
            <wp:effectExtent l="0" t="0" r="0" b="0"/>
            <wp:docPr id="440139251" name="Gráfico 1">
              <a:extLst xmlns:a="http://schemas.openxmlformats.org/drawingml/2006/main">
                <a:ext uri="{FF2B5EF4-FFF2-40B4-BE49-F238E27FC236}">
                  <a16:creationId xmlns:a16="http://schemas.microsoft.com/office/drawing/2014/main" id="{9A2D37FB-95E4-2B00-C18E-DD6E2CC850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D72418E" w14:textId="2FE74BD1" w:rsidR="00116546" w:rsidRPr="00C4158E" w:rsidRDefault="00116546" w:rsidP="00855BD6">
      <w:pPr>
        <w:pStyle w:val="Prrafodelista"/>
        <w:ind w:left="0"/>
        <w:jc w:val="center"/>
        <w:rPr>
          <w:rFonts w:ascii="Verdana" w:eastAsia="Verdana" w:hAnsi="Verdana" w:cs="Verdana"/>
          <w:color w:val="000000" w:themeColor="text1"/>
        </w:rPr>
      </w:pPr>
      <w:r w:rsidRPr="00C4158E">
        <w:rPr>
          <w:rFonts w:ascii="Verdana" w:eastAsia="Verdana" w:hAnsi="Verdana" w:cs="Verdana"/>
          <w:b/>
          <w:bCs/>
          <w:color w:val="000000" w:themeColor="text1"/>
        </w:rPr>
        <w:t>Fuente</w:t>
      </w:r>
      <w:r w:rsidRPr="00C4158E">
        <w:rPr>
          <w:rFonts w:ascii="Verdana" w:eastAsia="Verdana" w:hAnsi="Verdana" w:cs="Verdana"/>
          <w:color w:val="000000" w:themeColor="text1"/>
        </w:rPr>
        <w:t>: Subdirección de Estudios de Mercado y Abastecimiento Estratégico</w:t>
      </w:r>
    </w:p>
    <w:p w14:paraId="6928D190" w14:textId="77777777" w:rsidR="00851373" w:rsidRPr="00611315" w:rsidRDefault="00851373" w:rsidP="00851373">
      <w:pPr>
        <w:rPr>
          <w:rFonts w:ascii="Verdana" w:eastAsia="Verdana" w:hAnsi="Verdana" w:cs="Verdana"/>
          <w:i/>
          <w:iCs/>
          <w:color w:val="000000" w:themeColor="text1"/>
          <w:sz w:val="16"/>
          <w:szCs w:val="16"/>
        </w:rPr>
      </w:pPr>
    </w:p>
    <w:p w14:paraId="4CA6A247" w14:textId="3005F561" w:rsidR="008565D6" w:rsidRPr="00611315" w:rsidRDefault="00855BD6" w:rsidP="00447A32">
      <w:pPr>
        <w:pStyle w:val="Descripcin"/>
        <w:jc w:val="center"/>
        <w:rPr>
          <w:rFonts w:ascii="Verdana" w:eastAsia="Verdana" w:hAnsi="Verdana" w:cs="Verdana"/>
          <w:i/>
          <w:iCs/>
          <w:color w:val="000000" w:themeColor="text1"/>
          <w:sz w:val="18"/>
          <w:szCs w:val="18"/>
        </w:rPr>
      </w:pPr>
      <w:bookmarkStart w:id="530" w:name="_Toc231368830"/>
      <w:r w:rsidRPr="00611315">
        <w:rPr>
          <w:rFonts w:ascii="Verdana" w:hAnsi="Verdana"/>
          <w:sz w:val="22"/>
          <w:szCs w:val="22"/>
        </w:rPr>
        <w:t xml:space="preserve">Gráfica </w:t>
      </w:r>
      <w:r w:rsidRPr="00611315">
        <w:rPr>
          <w:rFonts w:ascii="Verdana" w:hAnsi="Verdana"/>
          <w:sz w:val="22"/>
          <w:szCs w:val="22"/>
        </w:rPr>
        <w:fldChar w:fldCharType="begin"/>
      </w:r>
      <w:r w:rsidRPr="00611315">
        <w:rPr>
          <w:rFonts w:ascii="Verdana" w:hAnsi="Verdana"/>
          <w:sz w:val="22"/>
          <w:szCs w:val="22"/>
        </w:rPr>
        <w:instrText xml:space="preserve"> SEQ Gráfica \* ARABIC </w:instrText>
      </w:r>
      <w:r w:rsidRPr="00611315">
        <w:rPr>
          <w:rFonts w:ascii="Verdana" w:hAnsi="Verdana"/>
          <w:sz w:val="22"/>
          <w:szCs w:val="22"/>
        </w:rPr>
        <w:fldChar w:fldCharType="separate"/>
      </w:r>
      <w:r w:rsidR="00973CF5">
        <w:rPr>
          <w:rFonts w:ascii="Verdana" w:hAnsi="Verdana"/>
          <w:noProof/>
          <w:sz w:val="22"/>
          <w:szCs w:val="22"/>
        </w:rPr>
        <w:t>55</w:t>
      </w:r>
      <w:r w:rsidRPr="00611315">
        <w:rPr>
          <w:rFonts w:ascii="Verdana" w:hAnsi="Verdana"/>
          <w:sz w:val="22"/>
          <w:szCs w:val="22"/>
        </w:rPr>
        <w:fldChar w:fldCharType="end"/>
      </w:r>
      <w:r w:rsidRPr="00611315">
        <w:rPr>
          <w:rFonts w:ascii="Verdana" w:hAnsi="Verdana"/>
          <w:sz w:val="22"/>
          <w:szCs w:val="22"/>
        </w:rPr>
        <w:t>. Participación de la mujer en términos cantidad de contratos</w:t>
      </w:r>
      <w:bookmarkEnd w:id="530"/>
    </w:p>
    <w:p w14:paraId="0AB4A762" w14:textId="77777777" w:rsidR="00116546" w:rsidRPr="00611315" w:rsidRDefault="00116546" w:rsidP="002B31D5">
      <w:pPr>
        <w:ind w:left="360"/>
        <w:jc w:val="center"/>
        <w:rPr>
          <w:rFonts w:ascii="Verdana" w:hAnsi="Verdana"/>
        </w:rPr>
      </w:pPr>
      <w:r w:rsidRPr="00611315">
        <w:rPr>
          <w:rFonts w:ascii="Verdana" w:hAnsi="Verdana"/>
          <w:noProof/>
        </w:rPr>
        <w:drawing>
          <wp:inline distT="0" distB="0" distL="0" distR="0" wp14:anchorId="7289C91D" wp14:editId="3217BB17">
            <wp:extent cx="4332605" cy="1947553"/>
            <wp:effectExtent l="0" t="0" r="0" b="0"/>
            <wp:docPr id="202100796" name="Gráfico 1">
              <a:extLst xmlns:a="http://schemas.openxmlformats.org/drawingml/2006/main">
                <a:ext uri="{FF2B5EF4-FFF2-40B4-BE49-F238E27FC236}">
                  <a16:creationId xmlns:a16="http://schemas.microsoft.com/office/drawing/2014/main" id="{33728C98-1F06-E094-6B22-B8F15DAFB9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8BDCAFD" w14:textId="77777777" w:rsidR="00C4158E" w:rsidRPr="00C4158E" w:rsidRDefault="00C4158E" w:rsidP="00C4158E">
      <w:pPr>
        <w:pStyle w:val="Prrafodelista"/>
        <w:ind w:left="0"/>
        <w:jc w:val="center"/>
        <w:rPr>
          <w:rFonts w:ascii="Verdana" w:eastAsia="Verdana" w:hAnsi="Verdana" w:cs="Verdana"/>
          <w:color w:val="000000" w:themeColor="text1"/>
        </w:rPr>
      </w:pPr>
      <w:r w:rsidRPr="00C4158E">
        <w:rPr>
          <w:rFonts w:ascii="Verdana" w:eastAsia="Verdana" w:hAnsi="Verdana" w:cs="Verdana"/>
          <w:b/>
          <w:bCs/>
          <w:color w:val="000000" w:themeColor="text1"/>
        </w:rPr>
        <w:t>Fuente</w:t>
      </w:r>
      <w:r w:rsidRPr="00C4158E">
        <w:rPr>
          <w:rFonts w:ascii="Verdana" w:eastAsia="Verdana" w:hAnsi="Verdana" w:cs="Verdana"/>
          <w:color w:val="000000" w:themeColor="text1"/>
        </w:rPr>
        <w:t>: Subdirección de Estudios de Mercado y Abastecimiento Estratégico</w:t>
      </w:r>
    </w:p>
    <w:p w14:paraId="66B41178" w14:textId="77777777" w:rsidR="00116546" w:rsidRPr="00611315" w:rsidRDefault="00116546" w:rsidP="00447A32">
      <w:pPr>
        <w:rPr>
          <w:rFonts w:ascii="Verdana" w:eastAsia="Verdana" w:hAnsi="Verdana" w:cs="Verdana"/>
          <w:i/>
          <w:color w:val="000000" w:themeColor="text1"/>
          <w:sz w:val="16"/>
          <w:szCs w:val="16"/>
        </w:rPr>
      </w:pPr>
    </w:p>
    <w:p w14:paraId="250F086E" w14:textId="77777777" w:rsidR="00116546" w:rsidRPr="00611315" w:rsidRDefault="00116546" w:rsidP="13B8AE1C">
      <w:pPr>
        <w:pStyle w:val="Prrafodelista"/>
        <w:ind w:left="0"/>
        <w:rPr>
          <w:rFonts w:ascii="Verdana" w:hAnsi="Verdana"/>
        </w:rPr>
      </w:pPr>
      <w:r w:rsidRPr="00611315">
        <w:rPr>
          <w:rFonts w:ascii="Verdana" w:hAnsi="Verdana"/>
        </w:rPr>
        <w:t xml:space="preserve">El análisis del gasto público en doce sectores revela una limitada participación de las mujeres en la contratación pública en Colombia. En términos de valor contratado, las mujeres solo alcanzan el 30% del total, equivalente a $575.424,5 millones, lo que evidencia una brecha significativa. Esta disparidad se acentúa al considerar la cantidad de contratos adjudicados, donde las mujeres representan apenas el 22%, con 534 contratos. Estos resultados sugieren que los esfuerzos actuales para promover la </w:t>
      </w:r>
      <w:r w:rsidRPr="00611315">
        <w:rPr>
          <w:rFonts w:ascii="Verdana" w:hAnsi="Verdana"/>
        </w:rPr>
        <w:lastRenderedPageBreak/>
        <w:t>inclusión de la mujer en la contratación pública no han sido suficientes para generar un impacto sustancial en la distribución del gasto público.</w:t>
      </w:r>
    </w:p>
    <w:p w14:paraId="5512D7A6" w14:textId="10851B2B" w:rsidR="13B8AE1C" w:rsidRPr="00611315" w:rsidRDefault="13B8AE1C" w:rsidP="13B8AE1C">
      <w:pPr>
        <w:pStyle w:val="Prrafodelista"/>
        <w:rPr>
          <w:rFonts w:ascii="Verdana" w:hAnsi="Verdana"/>
        </w:rPr>
      </w:pPr>
    </w:p>
    <w:p w14:paraId="4CC323A6" w14:textId="77777777" w:rsidR="00116546" w:rsidRPr="00611315" w:rsidRDefault="00116546" w:rsidP="13B8AE1C">
      <w:pPr>
        <w:pStyle w:val="Prrafodelista"/>
        <w:ind w:left="0"/>
        <w:rPr>
          <w:rFonts w:ascii="Verdana" w:hAnsi="Verdana"/>
        </w:rPr>
      </w:pPr>
      <w:r w:rsidRPr="00611315">
        <w:rPr>
          <w:rFonts w:ascii="Verdana" w:hAnsi="Verdana"/>
        </w:rPr>
        <w:t>Adicionalmente, es importante destacar que el análisis presenta limitaciones debido a la falta de información precisa en algunos casos. Un 18% del valor total y un 7% del número total de contratos no pudieron ser clasificados por sexo debido a la ausencia de datos sobre el representante legal en la plataforma o nombres atípicos que impidieron una predicción precisa.</w:t>
      </w:r>
    </w:p>
    <w:p w14:paraId="559D1AFA" w14:textId="77777777" w:rsidR="0075138B" w:rsidRPr="00611315" w:rsidRDefault="0075138B" w:rsidP="006C7017">
      <w:pPr>
        <w:pStyle w:val="Prrafodelista"/>
        <w:ind w:left="1080"/>
        <w:jc w:val="center"/>
        <w:rPr>
          <w:rFonts w:ascii="Verdana" w:hAnsi="Verdana"/>
          <w:sz w:val="24"/>
          <w:szCs w:val="24"/>
        </w:rPr>
      </w:pPr>
    </w:p>
    <w:p w14:paraId="753B8047" w14:textId="28F43032" w:rsidR="00116546" w:rsidRPr="00611315" w:rsidRDefault="006C7017" w:rsidP="00447A32">
      <w:pPr>
        <w:pStyle w:val="Descripcin"/>
        <w:jc w:val="center"/>
        <w:rPr>
          <w:rFonts w:ascii="Verdana" w:hAnsi="Verdana"/>
        </w:rPr>
      </w:pPr>
      <w:bookmarkStart w:id="531" w:name="_Toc231368698"/>
      <w:r w:rsidRPr="00611315">
        <w:rPr>
          <w:rFonts w:ascii="Verdana" w:hAnsi="Verdana"/>
          <w:sz w:val="22"/>
          <w:szCs w:val="22"/>
        </w:rPr>
        <w:t xml:space="preserve">Tabla </w:t>
      </w:r>
      <w:r w:rsidRPr="00611315">
        <w:rPr>
          <w:rFonts w:ascii="Verdana" w:hAnsi="Verdana"/>
          <w:sz w:val="22"/>
          <w:szCs w:val="22"/>
        </w:rPr>
        <w:fldChar w:fldCharType="begin"/>
      </w:r>
      <w:r w:rsidRPr="00611315">
        <w:rPr>
          <w:rFonts w:ascii="Verdana" w:hAnsi="Verdana"/>
          <w:sz w:val="22"/>
          <w:szCs w:val="22"/>
        </w:rPr>
        <w:instrText xml:space="preserve"> SEQ Tabla \* ARABIC </w:instrText>
      </w:r>
      <w:r w:rsidRPr="00611315">
        <w:rPr>
          <w:rFonts w:ascii="Verdana" w:hAnsi="Verdana"/>
          <w:sz w:val="22"/>
          <w:szCs w:val="22"/>
        </w:rPr>
        <w:fldChar w:fldCharType="separate"/>
      </w:r>
      <w:r w:rsidR="001703CC">
        <w:rPr>
          <w:rFonts w:ascii="Verdana" w:hAnsi="Verdana"/>
          <w:noProof/>
          <w:sz w:val="22"/>
          <w:szCs w:val="22"/>
        </w:rPr>
        <w:t>31</w:t>
      </w:r>
      <w:r w:rsidRPr="00611315">
        <w:rPr>
          <w:rFonts w:ascii="Verdana" w:hAnsi="Verdana"/>
          <w:sz w:val="22"/>
          <w:szCs w:val="22"/>
        </w:rPr>
        <w:fldChar w:fldCharType="end"/>
      </w:r>
      <w:r w:rsidRPr="00611315">
        <w:rPr>
          <w:rFonts w:ascii="Verdana" w:hAnsi="Verdana"/>
          <w:sz w:val="22"/>
          <w:szCs w:val="22"/>
        </w:rPr>
        <w:t>. Participación de la mujer por sectores - valor contratado y cantidad de contratos</w:t>
      </w:r>
      <w:bookmarkEnd w:id="5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3"/>
        <w:gridCol w:w="1477"/>
        <w:gridCol w:w="2055"/>
        <w:gridCol w:w="1433"/>
        <w:gridCol w:w="1271"/>
        <w:gridCol w:w="1390"/>
      </w:tblGrid>
      <w:tr w:rsidR="00116546" w:rsidRPr="00611315" w14:paraId="1031F364" w14:textId="77777777" w:rsidTr="006C7017">
        <w:trPr>
          <w:trHeight w:val="570"/>
          <w:tblHeader/>
        </w:trPr>
        <w:tc>
          <w:tcPr>
            <w:tcW w:w="1040" w:type="pct"/>
            <w:shd w:val="clear" w:color="DCE6F1" w:fill="003189"/>
            <w:vAlign w:val="center"/>
            <w:hideMark/>
          </w:tcPr>
          <w:p w14:paraId="06B50FFE"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Sector</w:t>
            </w:r>
          </w:p>
        </w:tc>
        <w:tc>
          <w:tcPr>
            <w:tcW w:w="767" w:type="pct"/>
            <w:shd w:val="clear" w:color="DCE6F1" w:fill="003189"/>
            <w:vAlign w:val="center"/>
            <w:hideMark/>
          </w:tcPr>
          <w:p w14:paraId="6B3341D6"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Sexo</w:t>
            </w:r>
          </w:p>
        </w:tc>
        <w:tc>
          <w:tcPr>
            <w:tcW w:w="1067" w:type="pct"/>
            <w:shd w:val="clear" w:color="DCE6F1" w:fill="003189"/>
            <w:vAlign w:val="center"/>
            <w:hideMark/>
          </w:tcPr>
          <w:p w14:paraId="2871A249"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Valor contratado (COP)</w:t>
            </w:r>
          </w:p>
        </w:tc>
        <w:tc>
          <w:tcPr>
            <w:tcW w:w="744" w:type="pct"/>
            <w:shd w:val="clear" w:color="DCE6F1" w:fill="003189"/>
            <w:vAlign w:val="center"/>
            <w:hideMark/>
          </w:tcPr>
          <w:p w14:paraId="2A6B8198"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 Valor contratado</w:t>
            </w:r>
          </w:p>
        </w:tc>
        <w:tc>
          <w:tcPr>
            <w:tcW w:w="660" w:type="pct"/>
            <w:shd w:val="clear" w:color="DCE6F1" w:fill="003189"/>
            <w:vAlign w:val="center"/>
            <w:hideMark/>
          </w:tcPr>
          <w:p w14:paraId="79576B19"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Número contratos</w:t>
            </w:r>
          </w:p>
        </w:tc>
        <w:tc>
          <w:tcPr>
            <w:tcW w:w="723" w:type="pct"/>
            <w:shd w:val="clear" w:color="DCE6F1" w:fill="003189"/>
            <w:vAlign w:val="center"/>
            <w:hideMark/>
          </w:tcPr>
          <w:p w14:paraId="29B497D8" w14:textId="77777777" w:rsidR="00116546" w:rsidRPr="00611315" w:rsidRDefault="00116546" w:rsidP="00EE2449">
            <w:pPr>
              <w:jc w:val="center"/>
              <w:rPr>
                <w:rFonts w:ascii="Verdana" w:hAnsi="Verdana" w:cs="Calibri"/>
                <w:b/>
                <w:bCs/>
                <w:color w:val="FFFFFF"/>
                <w:sz w:val="18"/>
                <w:szCs w:val="18"/>
                <w:lang w:eastAsia="es-CO"/>
              </w:rPr>
            </w:pPr>
            <w:r w:rsidRPr="00611315">
              <w:rPr>
                <w:rFonts w:ascii="Verdana" w:hAnsi="Verdana" w:cs="Calibri"/>
                <w:b/>
                <w:bCs/>
                <w:color w:val="FFFFFF"/>
                <w:sz w:val="18"/>
                <w:szCs w:val="18"/>
                <w:lang w:eastAsia="es-CO"/>
              </w:rPr>
              <w:t>% Número contratos</w:t>
            </w:r>
          </w:p>
        </w:tc>
      </w:tr>
      <w:tr w:rsidR="00116546" w:rsidRPr="00611315" w14:paraId="0F09C2CB" w14:textId="77777777" w:rsidTr="00EE2449">
        <w:trPr>
          <w:trHeight w:val="300"/>
        </w:trPr>
        <w:tc>
          <w:tcPr>
            <w:tcW w:w="1040" w:type="pct"/>
            <w:vMerge w:val="restart"/>
            <w:vAlign w:val="center"/>
            <w:hideMark/>
          </w:tcPr>
          <w:p w14:paraId="6753067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Transporte</w:t>
            </w:r>
          </w:p>
        </w:tc>
        <w:tc>
          <w:tcPr>
            <w:tcW w:w="767" w:type="pct"/>
            <w:noWrap/>
            <w:vAlign w:val="bottom"/>
            <w:hideMark/>
          </w:tcPr>
          <w:p w14:paraId="772BD37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675CDDC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$ 590.222,4 M</w:t>
            </w:r>
          </w:p>
        </w:tc>
        <w:tc>
          <w:tcPr>
            <w:tcW w:w="744" w:type="pct"/>
            <w:noWrap/>
            <w:vAlign w:val="center"/>
            <w:hideMark/>
          </w:tcPr>
          <w:p w14:paraId="70B4782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30,35%</w:t>
            </w:r>
          </w:p>
        </w:tc>
        <w:tc>
          <w:tcPr>
            <w:tcW w:w="660" w:type="pct"/>
            <w:noWrap/>
            <w:vAlign w:val="center"/>
            <w:hideMark/>
          </w:tcPr>
          <w:p w14:paraId="567242B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431</w:t>
            </w:r>
          </w:p>
        </w:tc>
        <w:tc>
          <w:tcPr>
            <w:tcW w:w="723" w:type="pct"/>
            <w:noWrap/>
            <w:vAlign w:val="center"/>
            <w:hideMark/>
          </w:tcPr>
          <w:p w14:paraId="78772D1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17,84%</w:t>
            </w:r>
          </w:p>
        </w:tc>
      </w:tr>
      <w:tr w:rsidR="00116546" w:rsidRPr="00611315" w14:paraId="7211594F" w14:textId="77777777" w:rsidTr="00EE2449">
        <w:trPr>
          <w:trHeight w:val="300"/>
        </w:trPr>
        <w:tc>
          <w:tcPr>
            <w:tcW w:w="1040" w:type="pct"/>
            <w:vMerge/>
            <w:vAlign w:val="center"/>
            <w:hideMark/>
          </w:tcPr>
          <w:p w14:paraId="0482ADE8"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24564DB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1DEF197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$ 393.674,7 M</w:t>
            </w:r>
          </w:p>
        </w:tc>
        <w:tc>
          <w:tcPr>
            <w:tcW w:w="744" w:type="pct"/>
            <w:noWrap/>
            <w:vAlign w:val="center"/>
            <w:hideMark/>
          </w:tcPr>
          <w:p w14:paraId="78B039A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20,24%</w:t>
            </w:r>
          </w:p>
        </w:tc>
        <w:tc>
          <w:tcPr>
            <w:tcW w:w="660" w:type="pct"/>
            <w:noWrap/>
            <w:vAlign w:val="center"/>
            <w:hideMark/>
          </w:tcPr>
          <w:p w14:paraId="1BA1871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149</w:t>
            </w:r>
          </w:p>
        </w:tc>
        <w:tc>
          <w:tcPr>
            <w:tcW w:w="723" w:type="pct"/>
            <w:noWrap/>
            <w:vAlign w:val="center"/>
            <w:hideMark/>
          </w:tcPr>
          <w:p w14:paraId="1EC7CD0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6,17%</w:t>
            </w:r>
          </w:p>
        </w:tc>
      </w:tr>
      <w:tr w:rsidR="00116546" w:rsidRPr="00611315" w14:paraId="7D3CCA94" w14:textId="77777777" w:rsidTr="00EE2449">
        <w:trPr>
          <w:trHeight w:val="300"/>
        </w:trPr>
        <w:tc>
          <w:tcPr>
            <w:tcW w:w="1040" w:type="pct"/>
            <w:vMerge/>
            <w:vAlign w:val="center"/>
            <w:hideMark/>
          </w:tcPr>
          <w:p w14:paraId="1E9C2EC0"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68BA49C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4DAC27F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$ 204.512,0 M</w:t>
            </w:r>
          </w:p>
        </w:tc>
        <w:tc>
          <w:tcPr>
            <w:tcW w:w="744" w:type="pct"/>
            <w:noWrap/>
            <w:vAlign w:val="center"/>
            <w:hideMark/>
          </w:tcPr>
          <w:p w14:paraId="6085E0B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10,52%</w:t>
            </w:r>
          </w:p>
        </w:tc>
        <w:tc>
          <w:tcPr>
            <w:tcW w:w="660" w:type="pct"/>
            <w:noWrap/>
            <w:vAlign w:val="center"/>
            <w:hideMark/>
          </w:tcPr>
          <w:p w14:paraId="0B0A5F8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39</w:t>
            </w:r>
          </w:p>
        </w:tc>
        <w:tc>
          <w:tcPr>
            <w:tcW w:w="723" w:type="pct"/>
            <w:noWrap/>
            <w:vAlign w:val="center"/>
            <w:hideMark/>
          </w:tcPr>
          <w:p w14:paraId="27FF03A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1,61%</w:t>
            </w:r>
          </w:p>
        </w:tc>
      </w:tr>
      <w:tr w:rsidR="00116546" w:rsidRPr="00611315" w14:paraId="7420B05B" w14:textId="77777777" w:rsidTr="00EE2449">
        <w:trPr>
          <w:trHeight w:val="300"/>
        </w:trPr>
        <w:tc>
          <w:tcPr>
            <w:tcW w:w="1040" w:type="pct"/>
            <w:vMerge w:val="restart"/>
            <w:vAlign w:val="center"/>
            <w:hideMark/>
          </w:tcPr>
          <w:p w14:paraId="20347B9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Edificios Institucionales</w:t>
            </w:r>
          </w:p>
        </w:tc>
        <w:tc>
          <w:tcPr>
            <w:tcW w:w="767" w:type="pct"/>
            <w:noWrap/>
            <w:vAlign w:val="bottom"/>
            <w:hideMark/>
          </w:tcPr>
          <w:p w14:paraId="1876120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049E0C3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$ 78.197,8 M</w:t>
            </w:r>
          </w:p>
        </w:tc>
        <w:tc>
          <w:tcPr>
            <w:tcW w:w="744" w:type="pct"/>
            <w:noWrap/>
            <w:vAlign w:val="center"/>
            <w:hideMark/>
          </w:tcPr>
          <w:p w14:paraId="3E46FE2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4,02%</w:t>
            </w:r>
          </w:p>
        </w:tc>
        <w:tc>
          <w:tcPr>
            <w:tcW w:w="660" w:type="pct"/>
            <w:noWrap/>
            <w:vAlign w:val="center"/>
            <w:hideMark/>
          </w:tcPr>
          <w:p w14:paraId="44921C0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227</w:t>
            </w:r>
          </w:p>
        </w:tc>
        <w:tc>
          <w:tcPr>
            <w:tcW w:w="723" w:type="pct"/>
            <w:noWrap/>
            <w:vAlign w:val="center"/>
            <w:hideMark/>
          </w:tcPr>
          <w:p w14:paraId="34491E6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9,40%</w:t>
            </w:r>
          </w:p>
        </w:tc>
      </w:tr>
      <w:tr w:rsidR="00116546" w:rsidRPr="00611315" w14:paraId="6B56F31F" w14:textId="77777777" w:rsidTr="00EE2449">
        <w:trPr>
          <w:trHeight w:val="300"/>
        </w:trPr>
        <w:tc>
          <w:tcPr>
            <w:tcW w:w="1040" w:type="pct"/>
            <w:vMerge/>
            <w:vAlign w:val="center"/>
            <w:hideMark/>
          </w:tcPr>
          <w:p w14:paraId="251A89D2"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626136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7DC2651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$ 44.485,9 M</w:t>
            </w:r>
          </w:p>
        </w:tc>
        <w:tc>
          <w:tcPr>
            <w:tcW w:w="744" w:type="pct"/>
            <w:noWrap/>
            <w:vAlign w:val="center"/>
            <w:hideMark/>
          </w:tcPr>
          <w:p w14:paraId="25AE644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2,29%</w:t>
            </w:r>
          </w:p>
        </w:tc>
        <w:tc>
          <w:tcPr>
            <w:tcW w:w="660" w:type="pct"/>
            <w:noWrap/>
            <w:vAlign w:val="center"/>
            <w:hideMark/>
          </w:tcPr>
          <w:p w14:paraId="2E48CD2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81</w:t>
            </w:r>
          </w:p>
        </w:tc>
        <w:tc>
          <w:tcPr>
            <w:tcW w:w="723" w:type="pct"/>
            <w:noWrap/>
            <w:vAlign w:val="center"/>
            <w:hideMark/>
          </w:tcPr>
          <w:p w14:paraId="39F4471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3,35%</w:t>
            </w:r>
          </w:p>
        </w:tc>
      </w:tr>
      <w:tr w:rsidR="00116546" w:rsidRPr="00611315" w14:paraId="7A2A8A5F" w14:textId="77777777" w:rsidTr="00EE2449">
        <w:trPr>
          <w:trHeight w:val="300"/>
        </w:trPr>
        <w:tc>
          <w:tcPr>
            <w:tcW w:w="1040" w:type="pct"/>
            <w:vMerge/>
            <w:vAlign w:val="center"/>
            <w:hideMark/>
          </w:tcPr>
          <w:p w14:paraId="01B9E2F4"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5344535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7F3D893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$ 31.938,5 M</w:t>
            </w:r>
          </w:p>
        </w:tc>
        <w:tc>
          <w:tcPr>
            <w:tcW w:w="744" w:type="pct"/>
            <w:noWrap/>
            <w:vAlign w:val="center"/>
            <w:hideMark/>
          </w:tcPr>
          <w:p w14:paraId="76C51F2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1,64%</w:t>
            </w:r>
          </w:p>
        </w:tc>
        <w:tc>
          <w:tcPr>
            <w:tcW w:w="660" w:type="pct"/>
            <w:noWrap/>
            <w:vAlign w:val="center"/>
            <w:hideMark/>
          </w:tcPr>
          <w:p w14:paraId="0349DD4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41</w:t>
            </w:r>
          </w:p>
        </w:tc>
        <w:tc>
          <w:tcPr>
            <w:tcW w:w="723" w:type="pct"/>
            <w:noWrap/>
            <w:vAlign w:val="center"/>
            <w:hideMark/>
          </w:tcPr>
          <w:p w14:paraId="43BB0E9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1,70%</w:t>
            </w:r>
          </w:p>
        </w:tc>
      </w:tr>
      <w:tr w:rsidR="00116546" w:rsidRPr="00611315" w14:paraId="426459DB" w14:textId="77777777" w:rsidTr="00EE2449">
        <w:trPr>
          <w:trHeight w:val="300"/>
        </w:trPr>
        <w:tc>
          <w:tcPr>
            <w:tcW w:w="1040" w:type="pct"/>
            <w:vMerge w:val="restart"/>
            <w:vAlign w:val="center"/>
            <w:hideMark/>
          </w:tcPr>
          <w:p w14:paraId="4D0B4A1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Agua Potable y Saneamiento Básico</w:t>
            </w:r>
          </w:p>
        </w:tc>
        <w:tc>
          <w:tcPr>
            <w:tcW w:w="767" w:type="pct"/>
            <w:noWrap/>
            <w:vAlign w:val="bottom"/>
            <w:hideMark/>
          </w:tcPr>
          <w:p w14:paraId="4526E7B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009445A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$ 63.306,1 M</w:t>
            </w:r>
          </w:p>
        </w:tc>
        <w:tc>
          <w:tcPr>
            <w:tcW w:w="744" w:type="pct"/>
            <w:noWrap/>
            <w:vAlign w:val="center"/>
            <w:hideMark/>
          </w:tcPr>
          <w:p w14:paraId="533FE56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3,26%</w:t>
            </w:r>
          </w:p>
        </w:tc>
        <w:tc>
          <w:tcPr>
            <w:tcW w:w="660" w:type="pct"/>
            <w:noWrap/>
            <w:vAlign w:val="center"/>
            <w:hideMark/>
          </w:tcPr>
          <w:p w14:paraId="5550E8A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307</w:t>
            </w:r>
          </w:p>
        </w:tc>
        <w:tc>
          <w:tcPr>
            <w:tcW w:w="723" w:type="pct"/>
            <w:noWrap/>
            <w:vAlign w:val="center"/>
            <w:hideMark/>
          </w:tcPr>
          <w:p w14:paraId="1BF9349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12,71%</w:t>
            </w:r>
          </w:p>
        </w:tc>
      </w:tr>
      <w:tr w:rsidR="00116546" w:rsidRPr="00611315" w14:paraId="2695D5FE" w14:textId="77777777" w:rsidTr="00EE2449">
        <w:trPr>
          <w:trHeight w:val="300"/>
        </w:trPr>
        <w:tc>
          <w:tcPr>
            <w:tcW w:w="1040" w:type="pct"/>
            <w:vMerge/>
            <w:vAlign w:val="center"/>
            <w:hideMark/>
          </w:tcPr>
          <w:p w14:paraId="1ED7F2D7"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5D8BD22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58094CC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$ 38.921,8 M</w:t>
            </w:r>
          </w:p>
        </w:tc>
        <w:tc>
          <w:tcPr>
            <w:tcW w:w="744" w:type="pct"/>
            <w:noWrap/>
            <w:vAlign w:val="center"/>
            <w:hideMark/>
          </w:tcPr>
          <w:p w14:paraId="77D238E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2,00%</w:t>
            </w:r>
          </w:p>
        </w:tc>
        <w:tc>
          <w:tcPr>
            <w:tcW w:w="660" w:type="pct"/>
            <w:noWrap/>
            <w:vAlign w:val="center"/>
            <w:hideMark/>
          </w:tcPr>
          <w:p w14:paraId="56DD662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82</w:t>
            </w:r>
          </w:p>
        </w:tc>
        <w:tc>
          <w:tcPr>
            <w:tcW w:w="723" w:type="pct"/>
            <w:noWrap/>
            <w:vAlign w:val="center"/>
            <w:hideMark/>
          </w:tcPr>
          <w:p w14:paraId="06A5ED8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3,39%</w:t>
            </w:r>
          </w:p>
        </w:tc>
      </w:tr>
      <w:tr w:rsidR="00116546" w:rsidRPr="00611315" w14:paraId="10975826" w14:textId="77777777" w:rsidTr="00EE2449">
        <w:trPr>
          <w:trHeight w:val="300"/>
        </w:trPr>
        <w:tc>
          <w:tcPr>
            <w:tcW w:w="1040" w:type="pct"/>
            <w:vMerge/>
            <w:vAlign w:val="center"/>
            <w:hideMark/>
          </w:tcPr>
          <w:p w14:paraId="5D3F4079"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5E993B9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378F332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$ 32.218,9 M</w:t>
            </w:r>
          </w:p>
        </w:tc>
        <w:tc>
          <w:tcPr>
            <w:tcW w:w="744" w:type="pct"/>
            <w:noWrap/>
            <w:vAlign w:val="center"/>
            <w:hideMark/>
          </w:tcPr>
          <w:p w14:paraId="0BAADE6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1,66%</w:t>
            </w:r>
          </w:p>
        </w:tc>
        <w:tc>
          <w:tcPr>
            <w:tcW w:w="660" w:type="pct"/>
            <w:noWrap/>
            <w:vAlign w:val="center"/>
            <w:hideMark/>
          </w:tcPr>
          <w:p w14:paraId="3521D5F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20</w:t>
            </w:r>
          </w:p>
        </w:tc>
        <w:tc>
          <w:tcPr>
            <w:tcW w:w="723" w:type="pct"/>
            <w:noWrap/>
            <w:vAlign w:val="center"/>
            <w:hideMark/>
          </w:tcPr>
          <w:p w14:paraId="6E1AAE2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0,83%</w:t>
            </w:r>
          </w:p>
        </w:tc>
      </w:tr>
      <w:tr w:rsidR="00116546" w:rsidRPr="00611315" w14:paraId="6F82A75D" w14:textId="77777777" w:rsidTr="00EE2449">
        <w:trPr>
          <w:trHeight w:val="300"/>
        </w:trPr>
        <w:tc>
          <w:tcPr>
            <w:tcW w:w="1040" w:type="pct"/>
            <w:vMerge w:val="restart"/>
            <w:vAlign w:val="bottom"/>
            <w:hideMark/>
          </w:tcPr>
          <w:p w14:paraId="191D5EC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Cultura, Recreación y Deporte</w:t>
            </w:r>
          </w:p>
        </w:tc>
        <w:tc>
          <w:tcPr>
            <w:tcW w:w="767" w:type="pct"/>
            <w:noWrap/>
            <w:vAlign w:val="bottom"/>
            <w:hideMark/>
          </w:tcPr>
          <w:p w14:paraId="16C9E23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59F9383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$ 64.315,3 M</w:t>
            </w:r>
          </w:p>
        </w:tc>
        <w:tc>
          <w:tcPr>
            <w:tcW w:w="744" w:type="pct"/>
            <w:noWrap/>
            <w:vAlign w:val="center"/>
            <w:hideMark/>
          </w:tcPr>
          <w:p w14:paraId="48EE921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3,31%</w:t>
            </w:r>
          </w:p>
        </w:tc>
        <w:tc>
          <w:tcPr>
            <w:tcW w:w="660" w:type="pct"/>
            <w:noWrap/>
            <w:vAlign w:val="center"/>
            <w:hideMark/>
          </w:tcPr>
          <w:p w14:paraId="036641D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234</w:t>
            </w:r>
          </w:p>
        </w:tc>
        <w:tc>
          <w:tcPr>
            <w:tcW w:w="723" w:type="pct"/>
            <w:noWrap/>
            <w:vAlign w:val="center"/>
            <w:hideMark/>
          </w:tcPr>
          <w:p w14:paraId="04F96AC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9,69%</w:t>
            </w:r>
          </w:p>
        </w:tc>
      </w:tr>
      <w:tr w:rsidR="00116546" w:rsidRPr="00611315" w14:paraId="0C746FE6" w14:textId="77777777" w:rsidTr="00EE2449">
        <w:trPr>
          <w:trHeight w:val="300"/>
        </w:trPr>
        <w:tc>
          <w:tcPr>
            <w:tcW w:w="1040" w:type="pct"/>
            <w:vMerge/>
            <w:vAlign w:val="center"/>
            <w:hideMark/>
          </w:tcPr>
          <w:p w14:paraId="025B8EC7"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D8122A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2E1B9A5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$ 41.981,9 M</w:t>
            </w:r>
          </w:p>
        </w:tc>
        <w:tc>
          <w:tcPr>
            <w:tcW w:w="744" w:type="pct"/>
            <w:noWrap/>
            <w:vAlign w:val="center"/>
            <w:hideMark/>
          </w:tcPr>
          <w:p w14:paraId="73FCF07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2,16%</w:t>
            </w:r>
          </w:p>
        </w:tc>
        <w:tc>
          <w:tcPr>
            <w:tcW w:w="660" w:type="pct"/>
            <w:noWrap/>
            <w:vAlign w:val="center"/>
            <w:hideMark/>
          </w:tcPr>
          <w:p w14:paraId="49A2F96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25</w:t>
            </w:r>
          </w:p>
        </w:tc>
        <w:tc>
          <w:tcPr>
            <w:tcW w:w="723" w:type="pct"/>
            <w:noWrap/>
            <w:vAlign w:val="center"/>
            <w:hideMark/>
          </w:tcPr>
          <w:p w14:paraId="0C469FF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1,03%</w:t>
            </w:r>
          </w:p>
        </w:tc>
      </w:tr>
      <w:tr w:rsidR="00116546" w:rsidRPr="00611315" w14:paraId="07678345" w14:textId="77777777" w:rsidTr="00EE2449">
        <w:trPr>
          <w:trHeight w:val="300"/>
        </w:trPr>
        <w:tc>
          <w:tcPr>
            <w:tcW w:w="1040" w:type="pct"/>
            <w:vMerge/>
            <w:vAlign w:val="center"/>
            <w:hideMark/>
          </w:tcPr>
          <w:p w14:paraId="69F58CDD"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C29F0F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400E4F8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$ 36.956,6 M</w:t>
            </w:r>
          </w:p>
        </w:tc>
        <w:tc>
          <w:tcPr>
            <w:tcW w:w="744" w:type="pct"/>
            <w:noWrap/>
            <w:vAlign w:val="center"/>
            <w:hideMark/>
          </w:tcPr>
          <w:p w14:paraId="000CF9E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1,90%</w:t>
            </w:r>
          </w:p>
        </w:tc>
        <w:tc>
          <w:tcPr>
            <w:tcW w:w="660" w:type="pct"/>
            <w:noWrap/>
            <w:vAlign w:val="center"/>
            <w:hideMark/>
          </w:tcPr>
          <w:p w14:paraId="0CDBFE4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63</w:t>
            </w:r>
          </w:p>
        </w:tc>
        <w:tc>
          <w:tcPr>
            <w:tcW w:w="723" w:type="pct"/>
            <w:noWrap/>
            <w:vAlign w:val="center"/>
            <w:hideMark/>
          </w:tcPr>
          <w:p w14:paraId="6EB741E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2,61%</w:t>
            </w:r>
          </w:p>
        </w:tc>
      </w:tr>
      <w:tr w:rsidR="00116546" w:rsidRPr="00611315" w14:paraId="68203227" w14:textId="77777777" w:rsidTr="00EE2449">
        <w:trPr>
          <w:trHeight w:val="300"/>
        </w:trPr>
        <w:tc>
          <w:tcPr>
            <w:tcW w:w="1040" w:type="pct"/>
            <w:vMerge w:val="restart"/>
            <w:vAlign w:val="bottom"/>
            <w:hideMark/>
          </w:tcPr>
          <w:p w14:paraId="29239B6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Infraestructura de Seguridad</w:t>
            </w:r>
          </w:p>
        </w:tc>
        <w:tc>
          <w:tcPr>
            <w:tcW w:w="767" w:type="pct"/>
            <w:noWrap/>
            <w:vAlign w:val="bottom"/>
            <w:hideMark/>
          </w:tcPr>
          <w:p w14:paraId="560D6DC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5C3916F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$ 52.768,4 M</w:t>
            </w:r>
          </w:p>
        </w:tc>
        <w:tc>
          <w:tcPr>
            <w:tcW w:w="744" w:type="pct"/>
            <w:noWrap/>
            <w:vAlign w:val="center"/>
            <w:hideMark/>
          </w:tcPr>
          <w:p w14:paraId="15334AB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2,71%</w:t>
            </w:r>
          </w:p>
        </w:tc>
        <w:tc>
          <w:tcPr>
            <w:tcW w:w="660" w:type="pct"/>
            <w:noWrap/>
            <w:vAlign w:val="center"/>
            <w:hideMark/>
          </w:tcPr>
          <w:p w14:paraId="6BC521E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72</w:t>
            </w:r>
          </w:p>
        </w:tc>
        <w:tc>
          <w:tcPr>
            <w:tcW w:w="723" w:type="pct"/>
            <w:noWrap/>
            <w:vAlign w:val="center"/>
            <w:hideMark/>
          </w:tcPr>
          <w:p w14:paraId="04B3285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2,98%</w:t>
            </w:r>
          </w:p>
        </w:tc>
      </w:tr>
      <w:tr w:rsidR="00116546" w:rsidRPr="00611315" w14:paraId="1655F5B9" w14:textId="77777777" w:rsidTr="00EE2449">
        <w:trPr>
          <w:trHeight w:val="300"/>
        </w:trPr>
        <w:tc>
          <w:tcPr>
            <w:tcW w:w="1040" w:type="pct"/>
            <w:vMerge/>
            <w:vAlign w:val="center"/>
            <w:hideMark/>
          </w:tcPr>
          <w:p w14:paraId="3630EF1D"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E52096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7C403E8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$ 20.602,8 M</w:t>
            </w:r>
          </w:p>
        </w:tc>
        <w:tc>
          <w:tcPr>
            <w:tcW w:w="744" w:type="pct"/>
            <w:noWrap/>
            <w:vAlign w:val="center"/>
            <w:hideMark/>
          </w:tcPr>
          <w:p w14:paraId="47ACFB5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1,06%</w:t>
            </w:r>
          </w:p>
        </w:tc>
        <w:tc>
          <w:tcPr>
            <w:tcW w:w="660" w:type="pct"/>
            <w:noWrap/>
            <w:vAlign w:val="center"/>
            <w:hideMark/>
          </w:tcPr>
          <w:p w14:paraId="5233418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22</w:t>
            </w:r>
          </w:p>
        </w:tc>
        <w:tc>
          <w:tcPr>
            <w:tcW w:w="723" w:type="pct"/>
            <w:noWrap/>
            <w:vAlign w:val="center"/>
            <w:hideMark/>
          </w:tcPr>
          <w:p w14:paraId="13649FD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0,91%</w:t>
            </w:r>
          </w:p>
        </w:tc>
      </w:tr>
      <w:tr w:rsidR="00116546" w:rsidRPr="00611315" w14:paraId="243A7845" w14:textId="77777777" w:rsidTr="00EE2449">
        <w:trPr>
          <w:trHeight w:val="300"/>
        </w:trPr>
        <w:tc>
          <w:tcPr>
            <w:tcW w:w="1040" w:type="pct"/>
            <w:vMerge/>
            <w:vAlign w:val="center"/>
            <w:hideMark/>
          </w:tcPr>
          <w:p w14:paraId="7AC06729"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42428F7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0E87E1D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$ 3.754,9 M</w:t>
            </w:r>
          </w:p>
        </w:tc>
        <w:tc>
          <w:tcPr>
            <w:tcW w:w="744" w:type="pct"/>
            <w:noWrap/>
            <w:vAlign w:val="center"/>
            <w:hideMark/>
          </w:tcPr>
          <w:p w14:paraId="0DF0B64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0,19%</w:t>
            </w:r>
          </w:p>
        </w:tc>
        <w:tc>
          <w:tcPr>
            <w:tcW w:w="660" w:type="pct"/>
            <w:noWrap/>
            <w:vAlign w:val="center"/>
            <w:hideMark/>
          </w:tcPr>
          <w:p w14:paraId="668C7C5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w:t>
            </w:r>
          </w:p>
        </w:tc>
        <w:tc>
          <w:tcPr>
            <w:tcW w:w="723" w:type="pct"/>
            <w:noWrap/>
            <w:vAlign w:val="center"/>
            <w:hideMark/>
          </w:tcPr>
          <w:p w14:paraId="368B975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0,33%</w:t>
            </w:r>
          </w:p>
        </w:tc>
      </w:tr>
      <w:tr w:rsidR="00116546" w:rsidRPr="00611315" w14:paraId="4DEE0392" w14:textId="77777777" w:rsidTr="00EE2449">
        <w:trPr>
          <w:trHeight w:val="300"/>
        </w:trPr>
        <w:tc>
          <w:tcPr>
            <w:tcW w:w="1040" w:type="pct"/>
            <w:vMerge w:val="restart"/>
            <w:vAlign w:val="bottom"/>
            <w:hideMark/>
          </w:tcPr>
          <w:p w14:paraId="7224AC5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Ambiente y Desarrollo Sostenible</w:t>
            </w:r>
          </w:p>
        </w:tc>
        <w:tc>
          <w:tcPr>
            <w:tcW w:w="767" w:type="pct"/>
            <w:noWrap/>
            <w:vAlign w:val="bottom"/>
            <w:hideMark/>
          </w:tcPr>
          <w:p w14:paraId="03F50F3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6B55FAC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$ 53.496,3 M</w:t>
            </w:r>
          </w:p>
        </w:tc>
        <w:tc>
          <w:tcPr>
            <w:tcW w:w="744" w:type="pct"/>
            <w:noWrap/>
            <w:vAlign w:val="center"/>
            <w:hideMark/>
          </w:tcPr>
          <w:p w14:paraId="5C81EAB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2,75%</w:t>
            </w:r>
          </w:p>
        </w:tc>
        <w:tc>
          <w:tcPr>
            <w:tcW w:w="660" w:type="pct"/>
            <w:noWrap/>
            <w:vAlign w:val="center"/>
            <w:hideMark/>
          </w:tcPr>
          <w:p w14:paraId="7F178E6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96</w:t>
            </w:r>
          </w:p>
        </w:tc>
        <w:tc>
          <w:tcPr>
            <w:tcW w:w="723" w:type="pct"/>
            <w:noWrap/>
            <w:vAlign w:val="center"/>
            <w:hideMark/>
          </w:tcPr>
          <w:p w14:paraId="45BF10A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3,97%</w:t>
            </w:r>
          </w:p>
        </w:tc>
      </w:tr>
      <w:tr w:rsidR="00116546" w:rsidRPr="00611315" w14:paraId="40A9C38C" w14:textId="77777777" w:rsidTr="00EE2449">
        <w:trPr>
          <w:trHeight w:val="300"/>
        </w:trPr>
        <w:tc>
          <w:tcPr>
            <w:tcW w:w="1040" w:type="pct"/>
            <w:vMerge/>
            <w:vAlign w:val="center"/>
            <w:hideMark/>
          </w:tcPr>
          <w:p w14:paraId="3F0BE762"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46B8714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2CDF2A2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$ 25.612,6 M</w:t>
            </w:r>
          </w:p>
        </w:tc>
        <w:tc>
          <w:tcPr>
            <w:tcW w:w="744" w:type="pct"/>
            <w:noWrap/>
            <w:vAlign w:val="center"/>
            <w:hideMark/>
          </w:tcPr>
          <w:p w14:paraId="0861073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1,32%</w:t>
            </w:r>
          </w:p>
        </w:tc>
        <w:tc>
          <w:tcPr>
            <w:tcW w:w="660" w:type="pct"/>
            <w:noWrap/>
            <w:vAlign w:val="center"/>
            <w:hideMark/>
          </w:tcPr>
          <w:p w14:paraId="0D5DA14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w:t>
            </w:r>
          </w:p>
        </w:tc>
        <w:tc>
          <w:tcPr>
            <w:tcW w:w="723" w:type="pct"/>
            <w:noWrap/>
            <w:vAlign w:val="center"/>
            <w:hideMark/>
          </w:tcPr>
          <w:p w14:paraId="5C01807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0,41%</w:t>
            </w:r>
          </w:p>
        </w:tc>
      </w:tr>
      <w:tr w:rsidR="00116546" w:rsidRPr="00611315" w14:paraId="568E4761" w14:textId="77777777" w:rsidTr="00EE2449">
        <w:trPr>
          <w:trHeight w:val="300"/>
        </w:trPr>
        <w:tc>
          <w:tcPr>
            <w:tcW w:w="1040" w:type="pct"/>
            <w:vMerge/>
            <w:vAlign w:val="center"/>
            <w:hideMark/>
          </w:tcPr>
          <w:p w14:paraId="4BBFB0CB"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13EE3AE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3556A3F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$ 17.247,4 M</w:t>
            </w:r>
          </w:p>
        </w:tc>
        <w:tc>
          <w:tcPr>
            <w:tcW w:w="744" w:type="pct"/>
            <w:noWrap/>
            <w:vAlign w:val="center"/>
            <w:hideMark/>
          </w:tcPr>
          <w:p w14:paraId="57DDBBE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0,89%</w:t>
            </w:r>
          </w:p>
        </w:tc>
        <w:tc>
          <w:tcPr>
            <w:tcW w:w="660" w:type="pct"/>
            <w:noWrap/>
            <w:vAlign w:val="center"/>
            <w:hideMark/>
          </w:tcPr>
          <w:p w14:paraId="707DB5E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22</w:t>
            </w:r>
          </w:p>
        </w:tc>
        <w:tc>
          <w:tcPr>
            <w:tcW w:w="723" w:type="pct"/>
            <w:noWrap/>
            <w:vAlign w:val="center"/>
            <w:hideMark/>
          </w:tcPr>
          <w:p w14:paraId="21B9235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0,91%</w:t>
            </w:r>
          </w:p>
        </w:tc>
      </w:tr>
      <w:tr w:rsidR="00116546" w:rsidRPr="00611315" w14:paraId="5A8A0947" w14:textId="77777777" w:rsidTr="00EE2449">
        <w:trPr>
          <w:trHeight w:val="300"/>
        </w:trPr>
        <w:tc>
          <w:tcPr>
            <w:tcW w:w="1040" w:type="pct"/>
            <w:vMerge w:val="restart"/>
            <w:vAlign w:val="center"/>
            <w:hideMark/>
          </w:tcPr>
          <w:p w14:paraId="2B552E9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Educación</w:t>
            </w:r>
          </w:p>
        </w:tc>
        <w:tc>
          <w:tcPr>
            <w:tcW w:w="767" w:type="pct"/>
            <w:noWrap/>
            <w:vAlign w:val="bottom"/>
            <w:hideMark/>
          </w:tcPr>
          <w:p w14:paraId="7DE9A60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079363D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$ 64.741,6 M</w:t>
            </w:r>
          </w:p>
        </w:tc>
        <w:tc>
          <w:tcPr>
            <w:tcW w:w="744" w:type="pct"/>
            <w:noWrap/>
            <w:vAlign w:val="center"/>
            <w:hideMark/>
          </w:tcPr>
          <w:p w14:paraId="3C68F36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3,33%</w:t>
            </w:r>
          </w:p>
        </w:tc>
        <w:tc>
          <w:tcPr>
            <w:tcW w:w="660" w:type="pct"/>
            <w:noWrap/>
            <w:vAlign w:val="center"/>
            <w:hideMark/>
          </w:tcPr>
          <w:p w14:paraId="214EDC9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213</w:t>
            </w:r>
          </w:p>
        </w:tc>
        <w:tc>
          <w:tcPr>
            <w:tcW w:w="723" w:type="pct"/>
            <w:noWrap/>
            <w:vAlign w:val="center"/>
            <w:hideMark/>
          </w:tcPr>
          <w:p w14:paraId="697221D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8,82%</w:t>
            </w:r>
          </w:p>
        </w:tc>
      </w:tr>
      <w:tr w:rsidR="00116546" w:rsidRPr="00611315" w14:paraId="76A08C15" w14:textId="77777777" w:rsidTr="00EE2449">
        <w:trPr>
          <w:trHeight w:val="300"/>
        </w:trPr>
        <w:tc>
          <w:tcPr>
            <w:tcW w:w="1040" w:type="pct"/>
            <w:vMerge/>
            <w:vAlign w:val="center"/>
            <w:hideMark/>
          </w:tcPr>
          <w:p w14:paraId="7C92DB81"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28FBE79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62F04BE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$ 15.316,7 M</w:t>
            </w:r>
          </w:p>
        </w:tc>
        <w:tc>
          <w:tcPr>
            <w:tcW w:w="744" w:type="pct"/>
            <w:noWrap/>
            <w:vAlign w:val="center"/>
            <w:hideMark/>
          </w:tcPr>
          <w:p w14:paraId="379D5BD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0,79%</w:t>
            </w:r>
          </w:p>
        </w:tc>
        <w:tc>
          <w:tcPr>
            <w:tcW w:w="660" w:type="pct"/>
            <w:noWrap/>
            <w:vAlign w:val="center"/>
            <w:hideMark/>
          </w:tcPr>
          <w:p w14:paraId="2AD8853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81</w:t>
            </w:r>
          </w:p>
        </w:tc>
        <w:tc>
          <w:tcPr>
            <w:tcW w:w="723" w:type="pct"/>
            <w:noWrap/>
            <w:vAlign w:val="center"/>
            <w:hideMark/>
          </w:tcPr>
          <w:p w14:paraId="4F7C825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3,35%</w:t>
            </w:r>
          </w:p>
        </w:tc>
      </w:tr>
      <w:tr w:rsidR="00116546" w:rsidRPr="00611315" w14:paraId="0CD87D29" w14:textId="77777777" w:rsidTr="00EE2449">
        <w:trPr>
          <w:trHeight w:val="300"/>
        </w:trPr>
        <w:tc>
          <w:tcPr>
            <w:tcW w:w="1040" w:type="pct"/>
            <w:vMerge/>
            <w:vAlign w:val="center"/>
            <w:hideMark/>
          </w:tcPr>
          <w:p w14:paraId="082AEAFB"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718561A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24FFD53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$ 12.452,3 M</w:t>
            </w:r>
          </w:p>
        </w:tc>
        <w:tc>
          <w:tcPr>
            <w:tcW w:w="744" w:type="pct"/>
            <w:noWrap/>
            <w:vAlign w:val="center"/>
            <w:hideMark/>
          </w:tcPr>
          <w:p w14:paraId="05A2F2D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0,64%</w:t>
            </w:r>
          </w:p>
        </w:tc>
        <w:tc>
          <w:tcPr>
            <w:tcW w:w="660" w:type="pct"/>
            <w:noWrap/>
            <w:vAlign w:val="center"/>
            <w:hideMark/>
          </w:tcPr>
          <w:p w14:paraId="574B493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25</w:t>
            </w:r>
          </w:p>
        </w:tc>
        <w:tc>
          <w:tcPr>
            <w:tcW w:w="723" w:type="pct"/>
            <w:noWrap/>
            <w:vAlign w:val="center"/>
            <w:hideMark/>
          </w:tcPr>
          <w:p w14:paraId="7E43DF3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1,03%</w:t>
            </w:r>
          </w:p>
        </w:tc>
      </w:tr>
      <w:tr w:rsidR="00116546" w:rsidRPr="00611315" w14:paraId="6BDFA44F" w14:textId="77777777" w:rsidTr="00EE2449">
        <w:trPr>
          <w:trHeight w:val="300"/>
        </w:trPr>
        <w:tc>
          <w:tcPr>
            <w:tcW w:w="1040" w:type="pct"/>
            <w:vMerge w:val="restart"/>
            <w:vAlign w:val="center"/>
            <w:hideMark/>
          </w:tcPr>
          <w:p w14:paraId="6846386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lastRenderedPageBreak/>
              <w:t>Vivienda</w:t>
            </w:r>
          </w:p>
        </w:tc>
        <w:tc>
          <w:tcPr>
            <w:tcW w:w="767" w:type="pct"/>
            <w:noWrap/>
            <w:vAlign w:val="bottom"/>
            <w:hideMark/>
          </w:tcPr>
          <w:p w14:paraId="68EDBAB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0320609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$ 8.505,5 M</w:t>
            </w:r>
          </w:p>
        </w:tc>
        <w:tc>
          <w:tcPr>
            <w:tcW w:w="744" w:type="pct"/>
            <w:noWrap/>
            <w:vAlign w:val="center"/>
            <w:hideMark/>
          </w:tcPr>
          <w:p w14:paraId="0C26222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0,44%</w:t>
            </w:r>
          </w:p>
        </w:tc>
        <w:tc>
          <w:tcPr>
            <w:tcW w:w="660" w:type="pct"/>
            <w:noWrap/>
            <w:vAlign w:val="center"/>
            <w:hideMark/>
          </w:tcPr>
          <w:p w14:paraId="2DF7F1F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31</w:t>
            </w:r>
          </w:p>
        </w:tc>
        <w:tc>
          <w:tcPr>
            <w:tcW w:w="723" w:type="pct"/>
            <w:noWrap/>
            <w:vAlign w:val="center"/>
            <w:hideMark/>
          </w:tcPr>
          <w:p w14:paraId="1C0AF82D"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1,28%</w:t>
            </w:r>
          </w:p>
        </w:tc>
      </w:tr>
      <w:tr w:rsidR="00116546" w:rsidRPr="00611315" w14:paraId="744AB9B9" w14:textId="77777777" w:rsidTr="00EE2449">
        <w:trPr>
          <w:trHeight w:val="300"/>
        </w:trPr>
        <w:tc>
          <w:tcPr>
            <w:tcW w:w="1040" w:type="pct"/>
            <w:vMerge/>
            <w:vAlign w:val="center"/>
            <w:hideMark/>
          </w:tcPr>
          <w:p w14:paraId="7DAF579B"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4AC0C2E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6002F46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$ 4.107,0 M</w:t>
            </w:r>
          </w:p>
        </w:tc>
        <w:tc>
          <w:tcPr>
            <w:tcW w:w="744" w:type="pct"/>
            <w:noWrap/>
            <w:vAlign w:val="center"/>
            <w:hideMark/>
          </w:tcPr>
          <w:p w14:paraId="6C6732B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0,21%</w:t>
            </w:r>
          </w:p>
        </w:tc>
        <w:tc>
          <w:tcPr>
            <w:tcW w:w="660" w:type="pct"/>
            <w:noWrap/>
            <w:vAlign w:val="center"/>
            <w:hideMark/>
          </w:tcPr>
          <w:p w14:paraId="4E1176C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6</w:t>
            </w:r>
          </w:p>
        </w:tc>
        <w:tc>
          <w:tcPr>
            <w:tcW w:w="723" w:type="pct"/>
            <w:noWrap/>
            <w:vAlign w:val="center"/>
            <w:hideMark/>
          </w:tcPr>
          <w:p w14:paraId="0F06006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0,25%</w:t>
            </w:r>
          </w:p>
        </w:tc>
      </w:tr>
      <w:tr w:rsidR="00116546" w:rsidRPr="00611315" w14:paraId="43EF40D6" w14:textId="77777777" w:rsidTr="00EE2449">
        <w:trPr>
          <w:trHeight w:val="300"/>
        </w:trPr>
        <w:tc>
          <w:tcPr>
            <w:tcW w:w="1040" w:type="pct"/>
            <w:vMerge/>
            <w:vAlign w:val="center"/>
            <w:hideMark/>
          </w:tcPr>
          <w:p w14:paraId="71C3D887"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156A9A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74B75A2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$ 53,1 M</w:t>
            </w:r>
          </w:p>
        </w:tc>
        <w:tc>
          <w:tcPr>
            <w:tcW w:w="744" w:type="pct"/>
            <w:noWrap/>
            <w:vAlign w:val="center"/>
            <w:hideMark/>
          </w:tcPr>
          <w:p w14:paraId="390BBA3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0,00%</w:t>
            </w:r>
          </w:p>
        </w:tc>
        <w:tc>
          <w:tcPr>
            <w:tcW w:w="660" w:type="pct"/>
            <w:noWrap/>
            <w:vAlign w:val="center"/>
            <w:hideMark/>
          </w:tcPr>
          <w:p w14:paraId="11F34F4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2</w:t>
            </w:r>
          </w:p>
        </w:tc>
        <w:tc>
          <w:tcPr>
            <w:tcW w:w="723" w:type="pct"/>
            <w:noWrap/>
            <w:vAlign w:val="center"/>
            <w:hideMark/>
          </w:tcPr>
          <w:p w14:paraId="3E364B3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0,08%</w:t>
            </w:r>
          </w:p>
        </w:tc>
      </w:tr>
      <w:tr w:rsidR="00116546" w:rsidRPr="00611315" w14:paraId="554611EB" w14:textId="77777777" w:rsidTr="00EE2449">
        <w:trPr>
          <w:trHeight w:val="300"/>
        </w:trPr>
        <w:tc>
          <w:tcPr>
            <w:tcW w:w="1040" w:type="pct"/>
            <w:vMerge w:val="restart"/>
            <w:vAlign w:val="center"/>
            <w:hideMark/>
          </w:tcPr>
          <w:p w14:paraId="4C9727C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Redes Eléctricas y de Comunicaciones</w:t>
            </w:r>
          </w:p>
        </w:tc>
        <w:tc>
          <w:tcPr>
            <w:tcW w:w="767" w:type="pct"/>
            <w:noWrap/>
            <w:vAlign w:val="bottom"/>
            <w:hideMark/>
          </w:tcPr>
          <w:p w14:paraId="5DDD2B6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08D6AD7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$ 23.800,4 M</w:t>
            </w:r>
          </w:p>
        </w:tc>
        <w:tc>
          <w:tcPr>
            <w:tcW w:w="744" w:type="pct"/>
            <w:noWrap/>
            <w:vAlign w:val="center"/>
            <w:hideMark/>
          </w:tcPr>
          <w:p w14:paraId="2EC8832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1,22%</w:t>
            </w:r>
          </w:p>
        </w:tc>
        <w:tc>
          <w:tcPr>
            <w:tcW w:w="660" w:type="pct"/>
            <w:noWrap/>
            <w:vAlign w:val="center"/>
            <w:hideMark/>
          </w:tcPr>
          <w:p w14:paraId="5D5CEE8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46</w:t>
            </w:r>
          </w:p>
        </w:tc>
        <w:tc>
          <w:tcPr>
            <w:tcW w:w="723" w:type="pct"/>
            <w:noWrap/>
            <w:vAlign w:val="center"/>
            <w:hideMark/>
          </w:tcPr>
          <w:p w14:paraId="513765B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1,90%</w:t>
            </w:r>
          </w:p>
        </w:tc>
      </w:tr>
      <w:tr w:rsidR="00116546" w:rsidRPr="00611315" w14:paraId="434F4AEE" w14:textId="77777777" w:rsidTr="00EE2449">
        <w:trPr>
          <w:trHeight w:val="300"/>
        </w:trPr>
        <w:tc>
          <w:tcPr>
            <w:tcW w:w="1040" w:type="pct"/>
            <w:vMerge/>
            <w:vAlign w:val="center"/>
            <w:hideMark/>
          </w:tcPr>
          <w:p w14:paraId="7C2A488C"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7D2E1D7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6D2C582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$ 2.924,5 M</w:t>
            </w:r>
          </w:p>
        </w:tc>
        <w:tc>
          <w:tcPr>
            <w:tcW w:w="744" w:type="pct"/>
            <w:noWrap/>
            <w:vAlign w:val="center"/>
            <w:hideMark/>
          </w:tcPr>
          <w:p w14:paraId="593FDEB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0,15%</w:t>
            </w:r>
          </w:p>
        </w:tc>
        <w:tc>
          <w:tcPr>
            <w:tcW w:w="660" w:type="pct"/>
            <w:noWrap/>
            <w:vAlign w:val="center"/>
            <w:hideMark/>
          </w:tcPr>
          <w:p w14:paraId="024FCBA8"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12</w:t>
            </w:r>
          </w:p>
        </w:tc>
        <w:tc>
          <w:tcPr>
            <w:tcW w:w="723" w:type="pct"/>
            <w:noWrap/>
            <w:vAlign w:val="center"/>
            <w:hideMark/>
          </w:tcPr>
          <w:p w14:paraId="4A448FD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0,50%</w:t>
            </w:r>
          </w:p>
        </w:tc>
      </w:tr>
      <w:tr w:rsidR="00116546" w:rsidRPr="00611315" w14:paraId="720598DA" w14:textId="77777777" w:rsidTr="00EE2449">
        <w:trPr>
          <w:trHeight w:val="300"/>
        </w:trPr>
        <w:tc>
          <w:tcPr>
            <w:tcW w:w="1040" w:type="pct"/>
            <w:vMerge/>
            <w:vAlign w:val="center"/>
            <w:hideMark/>
          </w:tcPr>
          <w:p w14:paraId="53FA67CC"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486CE70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14E8FE2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$ 227,9 M</w:t>
            </w:r>
          </w:p>
        </w:tc>
        <w:tc>
          <w:tcPr>
            <w:tcW w:w="744" w:type="pct"/>
            <w:noWrap/>
            <w:vAlign w:val="center"/>
            <w:hideMark/>
          </w:tcPr>
          <w:p w14:paraId="496AA72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0,01%</w:t>
            </w:r>
          </w:p>
        </w:tc>
        <w:tc>
          <w:tcPr>
            <w:tcW w:w="660" w:type="pct"/>
            <w:noWrap/>
            <w:vAlign w:val="center"/>
            <w:hideMark/>
          </w:tcPr>
          <w:p w14:paraId="1B9BA1F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3</w:t>
            </w:r>
          </w:p>
        </w:tc>
        <w:tc>
          <w:tcPr>
            <w:tcW w:w="723" w:type="pct"/>
            <w:noWrap/>
            <w:vAlign w:val="center"/>
            <w:hideMark/>
          </w:tcPr>
          <w:p w14:paraId="3CA0706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0,12%</w:t>
            </w:r>
          </w:p>
        </w:tc>
      </w:tr>
      <w:tr w:rsidR="00116546" w:rsidRPr="00611315" w14:paraId="66F72DEB" w14:textId="77777777" w:rsidTr="00EE2449">
        <w:trPr>
          <w:trHeight w:val="300"/>
        </w:trPr>
        <w:tc>
          <w:tcPr>
            <w:tcW w:w="1040" w:type="pct"/>
            <w:vMerge w:val="restart"/>
            <w:vAlign w:val="center"/>
            <w:hideMark/>
          </w:tcPr>
          <w:p w14:paraId="5BC5D72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Salud</w:t>
            </w:r>
          </w:p>
        </w:tc>
        <w:tc>
          <w:tcPr>
            <w:tcW w:w="767" w:type="pct"/>
            <w:noWrap/>
            <w:vAlign w:val="bottom"/>
            <w:hideMark/>
          </w:tcPr>
          <w:p w14:paraId="4FDD06C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6D5AF9C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$ 14.611,1 M</w:t>
            </w:r>
          </w:p>
        </w:tc>
        <w:tc>
          <w:tcPr>
            <w:tcW w:w="744" w:type="pct"/>
            <w:noWrap/>
            <w:vAlign w:val="center"/>
            <w:hideMark/>
          </w:tcPr>
          <w:p w14:paraId="562D4B8A"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0,75%</w:t>
            </w:r>
          </w:p>
        </w:tc>
        <w:tc>
          <w:tcPr>
            <w:tcW w:w="660" w:type="pct"/>
            <w:noWrap/>
            <w:vAlign w:val="center"/>
            <w:hideMark/>
          </w:tcPr>
          <w:p w14:paraId="22B7DDE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47</w:t>
            </w:r>
          </w:p>
        </w:tc>
        <w:tc>
          <w:tcPr>
            <w:tcW w:w="723" w:type="pct"/>
            <w:noWrap/>
            <w:vAlign w:val="center"/>
            <w:hideMark/>
          </w:tcPr>
          <w:p w14:paraId="02C8A88F"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1,95%</w:t>
            </w:r>
          </w:p>
        </w:tc>
      </w:tr>
      <w:tr w:rsidR="00116546" w:rsidRPr="00611315" w14:paraId="045ACDF2" w14:textId="77777777" w:rsidTr="00EE2449">
        <w:trPr>
          <w:trHeight w:val="300"/>
        </w:trPr>
        <w:tc>
          <w:tcPr>
            <w:tcW w:w="1040" w:type="pct"/>
            <w:vMerge/>
            <w:vAlign w:val="center"/>
            <w:hideMark/>
          </w:tcPr>
          <w:p w14:paraId="33A98483"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094D74E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No definido</w:t>
            </w:r>
          </w:p>
        </w:tc>
        <w:tc>
          <w:tcPr>
            <w:tcW w:w="1067" w:type="pct"/>
            <w:noWrap/>
            <w:vAlign w:val="center"/>
            <w:hideMark/>
          </w:tcPr>
          <w:p w14:paraId="7B8A773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$ 2.614,9 M</w:t>
            </w:r>
          </w:p>
        </w:tc>
        <w:tc>
          <w:tcPr>
            <w:tcW w:w="744" w:type="pct"/>
            <w:noWrap/>
            <w:vAlign w:val="center"/>
            <w:hideMark/>
          </w:tcPr>
          <w:p w14:paraId="0A0B724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0,13%</w:t>
            </w:r>
          </w:p>
        </w:tc>
        <w:tc>
          <w:tcPr>
            <w:tcW w:w="660" w:type="pct"/>
            <w:noWrap/>
            <w:vAlign w:val="center"/>
            <w:hideMark/>
          </w:tcPr>
          <w:p w14:paraId="742B37B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4</w:t>
            </w:r>
          </w:p>
        </w:tc>
        <w:tc>
          <w:tcPr>
            <w:tcW w:w="723" w:type="pct"/>
            <w:noWrap/>
            <w:vAlign w:val="center"/>
            <w:hideMark/>
          </w:tcPr>
          <w:p w14:paraId="3904B32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0,17%</w:t>
            </w:r>
          </w:p>
        </w:tc>
      </w:tr>
      <w:tr w:rsidR="00116546" w:rsidRPr="00611315" w14:paraId="6AB48C5C" w14:textId="77777777" w:rsidTr="00EE2449">
        <w:trPr>
          <w:trHeight w:val="300"/>
        </w:trPr>
        <w:tc>
          <w:tcPr>
            <w:tcW w:w="1040" w:type="pct"/>
            <w:vMerge/>
            <w:vAlign w:val="center"/>
            <w:hideMark/>
          </w:tcPr>
          <w:p w14:paraId="2A9B7569" w14:textId="77777777" w:rsidR="00116546" w:rsidRPr="00611315" w:rsidRDefault="00116546" w:rsidP="00EE2449">
            <w:pPr>
              <w:rPr>
                <w:rFonts w:ascii="Verdana" w:hAnsi="Verdana" w:cs="Calibri"/>
                <w:color w:val="000000"/>
                <w:sz w:val="18"/>
                <w:szCs w:val="18"/>
                <w:lang w:eastAsia="es-CO"/>
              </w:rPr>
            </w:pPr>
          </w:p>
        </w:tc>
        <w:tc>
          <w:tcPr>
            <w:tcW w:w="767" w:type="pct"/>
            <w:noWrap/>
            <w:vAlign w:val="bottom"/>
            <w:hideMark/>
          </w:tcPr>
          <w:p w14:paraId="28F4155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36E3561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$ 1.131,3 M</w:t>
            </w:r>
          </w:p>
        </w:tc>
        <w:tc>
          <w:tcPr>
            <w:tcW w:w="744" w:type="pct"/>
            <w:noWrap/>
            <w:vAlign w:val="center"/>
            <w:hideMark/>
          </w:tcPr>
          <w:p w14:paraId="4A698B23"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0,06%</w:t>
            </w:r>
          </w:p>
        </w:tc>
        <w:tc>
          <w:tcPr>
            <w:tcW w:w="660" w:type="pct"/>
            <w:noWrap/>
            <w:vAlign w:val="center"/>
            <w:hideMark/>
          </w:tcPr>
          <w:p w14:paraId="4E0BAA1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15</w:t>
            </w:r>
          </w:p>
        </w:tc>
        <w:tc>
          <w:tcPr>
            <w:tcW w:w="723" w:type="pct"/>
            <w:noWrap/>
            <w:vAlign w:val="center"/>
            <w:hideMark/>
          </w:tcPr>
          <w:p w14:paraId="3087F451"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0,62%</w:t>
            </w:r>
          </w:p>
        </w:tc>
      </w:tr>
      <w:tr w:rsidR="00116546" w:rsidRPr="00611315" w14:paraId="13BC3EA5" w14:textId="77777777" w:rsidTr="00EE2449">
        <w:trPr>
          <w:trHeight w:val="300"/>
        </w:trPr>
        <w:tc>
          <w:tcPr>
            <w:tcW w:w="1040" w:type="pct"/>
            <w:vAlign w:val="bottom"/>
            <w:hideMark/>
          </w:tcPr>
          <w:p w14:paraId="2B79837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Agricultura</w:t>
            </w:r>
          </w:p>
        </w:tc>
        <w:tc>
          <w:tcPr>
            <w:tcW w:w="767" w:type="pct"/>
            <w:noWrap/>
            <w:vAlign w:val="bottom"/>
            <w:hideMark/>
          </w:tcPr>
          <w:p w14:paraId="6FB4F7C4"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Mujer</w:t>
            </w:r>
          </w:p>
        </w:tc>
        <w:tc>
          <w:tcPr>
            <w:tcW w:w="1067" w:type="pct"/>
            <w:noWrap/>
            <w:vAlign w:val="center"/>
            <w:hideMark/>
          </w:tcPr>
          <w:p w14:paraId="0C92195C"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$ 55,8 M</w:t>
            </w:r>
          </w:p>
        </w:tc>
        <w:tc>
          <w:tcPr>
            <w:tcW w:w="744" w:type="pct"/>
            <w:noWrap/>
            <w:vAlign w:val="center"/>
            <w:hideMark/>
          </w:tcPr>
          <w:p w14:paraId="5BE39B56"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0,00%</w:t>
            </w:r>
          </w:p>
        </w:tc>
        <w:tc>
          <w:tcPr>
            <w:tcW w:w="660" w:type="pct"/>
            <w:noWrap/>
            <w:vAlign w:val="center"/>
            <w:hideMark/>
          </w:tcPr>
          <w:p w14:paraId="45CB25EE"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w:t>
            </w:r>
          </w:p>
        </w:tc>
        <w:tc>
          <w:tcPr>
            <w:tcW w:w="723" w:type="pct"/>
            <w:noWrap/>
            <w:vAlign w:val="center"/>
            <w:hideMark/>
          </w:tcPr>
          <w:p w14:paraId="1D7B06B0"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0,04%</w:t>
            </w:r>
          </w:p>
        </w:tc>
      </w:tr>
      <w:tr w:rsidR="00116546" w:rsidRPr="00611315" w14:paraId="664D42F2" w14:textId="77777777" w:rsidTr="00EE2449">
        <w:trPr>
          <w:trHeight w:val="300"/>
        </w:trPr>
        <w:tc>
          <w:tcPr>
            <w:tcW w:w="1040" w:type="pct"/>
            <w:vAlign w:val="bottom"/>
            <w:hideMark/>
          </w:tcPr>
          <w:p w14:paraId="37BBF5F7"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Redes de Gas</w:t>
            </w:r>
          </w:p>
        </w:tc>
        <w:tc>
          <w:tcPr>
            <w:tcW w:w="767" w:type="pct"/>
            <w:noWrap/>
            <w:vAlign w:val="bottom"/>
            <w:hideMark/>
          </w:tcPr>
          <w:p w14:paraId="40D7DD2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Hombre</w:t>
            </w:r>
          </w:p>
        </w:tc>
        <w:tc>
          <w:tcPr>
            <w:tcW w:w="1067" w:type="pct"/>
            <w:noWrap/>
            <w:vAlign w:val="center"/>
            <w:hideMark/>
          </w:tcPr>
          <w:p w14:paraId="344BBB2B"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$ 45,0 M</w:t>
            </w:r>
          </w:p>
        </w:tc>
        <w:tc>
          <w:tcPr>
            <w:tcW w:w="744" w:type="pct"/>
            <w:noWrap/>
            <w:vAlign w:val="center"/>
            <w:hideMark/>
          </w:tcPr>
          <w:p w14:paraId="58583B95"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0,00%</w:t>
            </w:r>
          </w:p>
        </w:tc>
        <w:tc>
          <w:tcPr>
            <w:tcW w:w="660" w:type="pct"/>
            <w:noWrap/>
            <w:vAlign w:val="center"/>
            <w:hideMark/>
          </w:tcPr>
          <w:p w14:paraId="4BF2B099"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1</w:t>
            </w:r>
          </w:p>
        </w:tc>
        <w:tc>
          <w:tcPr>
            <w:tcW w:w="723" w:type="pct"/>
            <w:noWrap/>
            <w:vAlign w:val="center"/>
            <w:hideMark/>
          </w:tcPr>
          <w:p w14:paraId="386DC5E2" w14:textId="77777777" w:rsidR="00116546" w:rsidRPr="00611315" w:rsidRDefault="00116546" w:rsidP="00EE2449">
            <w:pPr>
              <w:jc w:val="center"/>
              <w:rPr>
                <w:rFonts w:ascii="Verdana" w:hAnsi="Verdana" w:cs="Calibri"/>
                <w:color w:val="000000"/>
                <w:sz w:val="18"/>
                <w:szCs w:val="18"/>
                <w:lang w:eastAsia="es-CO"/>
              </w:rPr>
            </w:pPr>
            <w:r w:rsidRPr="00611315">
              <w:rPr>
                <w:rFonts w:ascii="Verdana" w:hAnsi="Verdana" w:cs="Calibri"/>
                <w:color w:val="000000"/>
                <w:sz w:val="18"/>
                <w:szCs w:val="18"/>
                <w:lang w:eastAsia="es-CO"/>
              </w:rPr>
              <w:t>0,04%</w:t>
            </w:r>
          </w:p>
        </w:tc>
      </w:tr>
      <w:tr w:rsidR="00116546" w:rsidRPr="00611315" w14:paraId="6F5BEB6C" w14:textId="77777777" w:rsidTr="00EE2449">
        <w:trPr>
          <w:trHeight w:val="300"/>
        </w:trPr>
        <w:tc>
          <w:tcPr>
            <w:tcW w:w="1807" w:type="pct"/>
            <w:gridSpan w:val="2"/>
            <w:shd w:val="clear" w:color="DCE6F1" w:fill="003189"/>
            <w:vAlign w:val="center"/>
            <w:hideMark/>
          </w:tcPr>
          <w:p w14:paraId="3D0E2192" w14:textId="77777777" w:rsidR="00116546" w:rsidRPr="00611315" w:rsidRDefault="00116546" w:rsidP="00EE2449">
            <w:pPr>
              <w:jc w:val="center"/>
              <w:rPr>
                <w:rFonts w:ascii="Verdana" w:hAnsi="Verdana" w:cs="Calibri"/>
                <w:b/>
                <w:bCs/>
                <w:color w:val="FFFFFF"/>
                <w:sz w:val="16"/>
                <w:szCs w:val="16"/>
                <w:lang w:eastAsia="es-CO"/>
              </w:rPr>
            </w:pPr>
            <w:r w:rsidRPr="00611315">
              <w:rPr>
                <w:rFonts w:ascii="Verdana" w:hAnsi="Verdana" w:cs="Calibri"/>
                <w:b/>
                <w:bCs/>
                <w:color w:val="FFFFFF"/>
                <w:sz w:val="16"/>
                <w:szCs w:val="16"/>
                <w:lang w:eastAsia="es-CO"/>
              </w:rPr>
              <w:t>Total</w:t>
            </w:r>
          </w:p>
        </w:tc>
        <w:tc>
          <w:tcPr>
            <w:tcW w:w="1067" w:type="pct"/>
            <w:shd w:val="clear" w:color="000000" w:fill="003189"/>
            <w:noWrap/>
            <w:vAlign w:val="bottom"/>
            <w:hideMark/>
          </w:tcPr>
          <w:p w14:paraId="622AA7D7" w14:textId="77777777" w:rsidR="00116546" w:rsidRPr="00611315" w:rsidRDefault="00116546" w:rsidP="00EE2449">
            <w:pPr>
              <w:jc w:val="center"/>
              <w:rPr>
                <w:rFonts w:ascii="Verdana" w:hAnsi="Verdana" w:cs="Calibri"/>
                <w:b/>
                <w:bCs/>
                <w:color w:val="FFFFFF"/>
                <w:sz w:val="16"/>
                <w:szCs w:val="16"/>
                <w:lang w:eastAsia="es-CO"/>
              </w:rPr>
            </w:pPr>
            <w:r w:rsidRPr="00611315">
              <w:rPr>
                <w:rFonts w:ascii="Verdana" w:hAnsi="Verdana" w:cs="Calibri"/>
                <w:b/>
                <w:bCs/>
                <w:color w:val="FFFFFF"/>
                <w:sz w:val="16"/>
                <w:szCs w:val="16"/>
                <w:lang w:eastAsia="es-CO"/>
              </w:rPr>
              <w:t>$ 1.944.801,5 M</w:t>
            </w:r>
          </w:p>
        </w:tc>
        <w:tc>
          <w:tcPr>
            <w:tcW w:w="744" w:type="pct"/>
            <w:shd w:val="clear" w:color="000000" w:fill="003189"/>
            <w:noWrap/>
            <w:vAlign w:val="bottom"/>
            <w:hideMark/>
          </w:tcPr>
          <w:p w14:paraId="1975E017" w14:textId="77777777" w:rsidR="00116546" w:rsidRPr="00611315" w:rsidRDefault="00116546" w:rsidP="00EE2449">
            <w:pPr>
              <w:jc w:val="center"/>
              <w:rPr>
                <w:rFonts w:ascii="Verdana" w:hAnsi="Verdana" w:cs="Calibri"/>
                <w:b/>
                <w:bCs/>
                <w:color w:val="FFFFFF"/>
                <w:sz w:val="16"/>
                <w:szCs w:val="16"/>
                <w:lang w:eastAsia="es-CO"/>
              </w:rPr>
            </w:pPr>
            <w:r w:rsidRPr="00611315">
              <w:rPr>
                <w:rFonts w:ascii="Verdana" w:hAnsi="Verdana" w:cs="Calibri"/>
                <w:b/>
                <w:bCs/>
                <w:color w:val="FFFFFF"/>
                <w:sz w:val="16"/>
                <w:szCs w:val="16"/>
                <w:lang w:eastAsia="es-CO"/>
              </w:rPr>
              <w:t>100%</w:t>
            </w:r>
          </w:p>
        </w:tc>
        <w:tc>
          <w:tcPr>
            <w:tcW w:w="660" w:type="pct"/>
            <w:shd w:val="clear" w:color="000000" w:fill="003189"/>
            <w:noWrap/>
            <w:vAlign w:val="bottom"/>
            <w:hideMark/>
          </w:tcPr>
          <w:p w14:paraId="5A2284EE" w14:textId="77777777" w:rsidR="00116546" w:rsidRPr="00611315" w:rsidRDefault="00116546" w:rsidP="00EE2449">
            <w:pPr>
              <w:jc w:val="center"/>
              <w:rPr>
                <w:rFonts w:ascii="Verdana" w:hAnsi="Verdana" w:cs="Calibri"/>
                <w:b/>
                <w:bCs/>
                <w:color w:val="FFFFFF"/>
                <w:sz w:val="16"/>
                <w:szCs w:val="16"/>
                <w:lang w:eastAsia="es-CO"/>
              </w:rPr>
            </w:pPr>
            <w:r w:rsidRPr="00611315">
              <w:rPr>
                <w:rFonts w:ascii="Verdana" w:hAnsi="Verdana" w:cs="Calibri"/>
                <w:b/>
                <w:bCs/>
                <w:color w:val="FFFFFF"/>
                <w:sz w:val="16"/>
                <w:szCs w:val="16"/>
                <w:lang w:eastAsia="es-CO"/>
              </w:rPr>
              <w:t>2416</w:t>
            </w:r>
          </w:p>
        </w:tc>
        <w:tc>
          <w:tcPr>
            <w:tcW w:w="723" w:type="pct"/>
            <w:shd w:val="clear" w:color="000000" w:fill="003189"/>
            <w:noWrap/>
            <w:vAlign w:val="bottom"/>
            <w:hideMark/>
          </w:tcPr>
          <w:p w14:paraId="79528F99" w14:textId="77777777" w:rsidR="00116546" w:rsidRPr="00611315" w:rsidRDefault="00116546" w:rsidP="00EE2449">
            <w:pPr>
              <w:jc w:val="center"/>
              <w:rPr>
                <w:rFonts w:ascii="Verdana" w:hAnsi="Verdana" w:cs="Calibri"/>
                <w:b/>
                <w:bCs/>
                <w:color w:val="FFFFFF"/>
                <w:sz w:val="16"/>
                <w:szCs w:val="16"/>
                <w:lang w:eastAsia="es-CO"/>
              </w:rPr>
            </w:pPr>
            <w:r w:rsidRPr="00611315">
              <w:rPr>
                <w:rFonts w:ascii="Verdana" w:hAnsi="Verdana" w:cs="Calibri"/>
                <w:b/>
                <w:bCs/>
                <w:color w:val="FFFFFF"/>
                <w:sz w:val="16"/>
                <w:szCs w:val="16"/>
                <w:lang w:eastAsia="es-CO"/>
              </w:rPr>
              <w:t>100%</w:t>
            </w:r>
          </w:p>
        </w:tc>
      </w:tr>
    </w:tbl>
    <w:p w14:paraId="67F50C1C" w14:textId="685BF1FE" w:rsidR="00116546" w:rsidRPr="001703CC" w:rsidRDefault="00116546" w:rsidP="006C7017">
      <w:pPr>
        <w:jc w:val="center"/>
        <w:rPr>
          <w:rFonts w:ascii="Verdana" w:eastAsia="Verdana" w:hAnsi="Verdana"/>
          <w:sz w:val="22"/>
          <w:szCs w:val="22"/>
        </w:rPr>
      </w:pPr>
      <w:r w:rsidRPr="001703CC">
        <w:rPr>
          <w:rFonts w:ascii="Verdana" w:eastAsia="Verdana" w:hAnsi="Verdana"/>
          <w:b/>
          <w:bCs/>
          <w:sz w:val="22"/>
          <w:szCs w:val="22"/>
        </w:rPr>
        <w:t>Fuente</w:t>
      </w:r>
      <w:r w:rsidRPr="001703CC">
        <w:rPr>
          <w:rFonts w:ascii="Verdana" w:eastAsia="Verdana" w:hAnsi="Verdana"/>
          <w:sz w:val="22"/>
          <w:szCs w:val="22"/>
        </w:rPr>
        <w:t>: Subdirección de Estudios de Mercado y Abastecimiento Estratégico</w:t>
      </w:r>
    </w:p>
    <w:p w14:paraId="64AE25BD" w14:textId="77777777" w:rsidR="006C7017" w:rsidRPr="00611315" w:rsidRDefault="006C7017" w:rsidP="006C7017">
      <w:pPr>
        <w:jc w:val="center"/>
        <w:rPr>
          <w:rFonts w:ascii="Verdana" w:eastAsia="Verdana" w:hAnsi="Verdana"/>
          <w:sz w:val="16"/>
          <w:szCs w:val="16"/>
        </w:rPr>
      </w:pPr>
    </w:p>
    <w:p w14:paraId="1697F1B5" w14:textId="1FE45F35" w:rsidR="00DB434B" w:rsidRPr="00611315" w:rsidRDefault="00116546" w:rsidP="009C0E26">
      <w:pPr>
        <w:ind w:left="142"/>
        <w:jc w:val="both"/>
        <w:rPr>
          <w:rFonts w:ascii="Verdana" w:hAnsi="Verdana"/>
          <w:sz w:val="22"/>
          <w:szCs w:val="22"/>
        </w:rPr>
      </w:pPr>
      <w:r w:rsidRPr="00611315">
        <w:rPr>
          <w:rFonts w:ascii="Verdana" w:hAnsi="Verdana"/>
          <w:sz w:val="22"/>
          <w:szCs w:val="22"/>
        </w:rPr>
        <w:t>La inclusión de la mujer en la contratación pública en Colombia muestra una participación limitada. Al examinar la distribución por sectores, se destaca que Transporte y Edificios Institucionales registran la mayor participación femenina en términos de valor contratado, aunque persiste una mayor representación masculina en ambos sectores. Sectores como Agricultura y Redes de Gas, con solo un contrato adjudicado cada uno, no ofrecen datos suficientes para un análisis concluyente.</w:t>
      </w:r>
      <w:r w:rsidR="0075138B" w:rsidRPr="00611315">
        <w:rPr>
          <w:rFonts w:ascii="Verdana" w:hAnsi="Verdana"/>
          <w:sz w:val="22"/>
          <w:szCs w:val="22"/>
        </w:rPr>
        <w:t xml:space="preserve"> </w:t>
      </w:r>
      <w:r w:rsidRPr="00611315">
        <w:rPr>
          <w:rFonts w:ascii="Verdana" w:hAnsi="Verdana"/>
          <w:sz w:val="22"/>
          <w:szCs w:val="22"/>
        </w:rPr>
        <w:t>En términos generales, estos resultados evidencian que la inclusión de la mujer en la contratación pública constituye un desafío que demanda atención para impulsar una mayor equidad y reducir las brechas</w:t>
      </w:r>
      <w:r w:rsidRPr="00611315">
        <w:rPr>
          <w:rStyle w:val="Refdenotaalpie"/>
          <w:rFonts w:ascii="Verdana" w:hAnsi="Verdana"/>
          <w:sz w:val="22"/>
          <w:szCs w:val="22"/>
        </w:rPr>
        <w:footnoteReference w:id="59"/>
      </w:r>
      <w:r w:rsidRPr="00611315">
        <w:rPr>
          <w:rFonts w:ascii="Verdana" w:hAnsi="Verdana"/>
          <w:sz w:val="22"/>
          <w:szCs w:val="22"/>
        </w:rPr>
        <w:t xml:space="preserve"> observadas.</w:t>
      </w:r>
    </w:p>
    <w:p w14:paraId="5CF073C4" w14:textId="77777777" w:rsidR="002E50B7" w:rsidRPr="00611315" w:rsidRDefault="002E50B7" w:rsidP="00870498">
      <w:pPr>
        <w:ind w:left="360"/>
        <w:jc w:val="both"/>
        <w:rPr>
          <w:rFonts w:ascii="Verdana" w:hAnsi="Verdana"/>
          <w:sz w:val="22"/>
          <w:szCs w:val="22"/>
        </w:rPr>
      </w:pPr>
    </w:p>
    <w:p w14:paraId="16DA2B1D" w14:textId="77777777" w:rsidR="002E50B7" w:rsidRPr="00611315" w:rsidRDefault="002E50B7" w:rsidP="00870498">
      <w:pPr>
        <w:ind w:left="360"/>
        <w:jc w:val="both"/>
        <w:rPr>
          <w:rFonts w:ascii="Verdana" w:hAnsi="Verdana"/>
          <w:sz w:val="22"/>
          <w:szCs w:val="22"/>
        </w:rPr>
      </w:pPr>
    </w:p>
    <w:p w14:paraId="71E96227" w14:textId="249E0859" w:rsidR="002E50B7" w:rsidRPr="00611315" w:rsidRDefault="002F37EE" w:rsidP="002E50B7">
      <w:pPr>
        <w:pStyle w:val="Prrafodelista"/>
        <w:numPr>
          <w:ilvl w:val="0"/>
          <w:numId w:val="50"/>
        </w:numPr>
        <w:rPr>
          <w:rFonts w:ascii="Verdana" w:eastAsia="Times New Roman" w:hAnsi="Verdana" w:cs="Arial"/>
          <w:b/>
          <w:lang w:eastAsia="es-MX"/>
        </w:rPr>
      </w:pPr>
      <w:r w:rsidRPr="00611315">
        <w:rPr>
          <w:rFonts w:ascii="Verdana" w:eastAsia="Times New Roman" w:hAnsi="Verdana" w:cs="Arial"/>
          <w:b/>
          <w:lang w:eastAsia="es-MX"/>
        </w:rPr>
        <w:t>PERSONAS CON DISCAPACIDAD</w:t>
      </w:r>
    </w:p>
    <w:p w14:paraId="070133B5" w14:textId="77777777" w:rsidR="002E50B7" w:rsidRDefault="002E50B7" w:rsidP="00A87293">
      <w:pPr>
        <w:jc w:val="both"/>
        <w:rPr>
          <w:rFonts w:ascii="Verdana" w:hAnsi="Verdana"/>
        </w:rPr>
      </w:pPr>
    </w:p>
    <w:p w14:paraId="4FEAAB26" w14:textId="77777777" w:rsidR="0003210C" w:rsidRPr="0059226F" w:rsidRDefault="0003210C" w:rsidP="0003210C">
      <w:pPr>
        <w:jc w:val="both"/>
        <w:rPr>
          <w:rFonts w:ascii="Verdana" w:hAnsi="Verdana"/>
          <w:sz w:val="22"/>
          <w:szCs w:val="22"/>
        </w:rPr>
      </w:pPr>
      <w:r w:rsidRPr="0059226F">
        <w:rPr>
          <w:rFonts w:ascii="Verdana" w:hAnsi="Verdana"/>
          <w:sz w:val="22"/>
          <w:szCs w:val="22"/>
        </w:rPr>
        <w:t xml:space="preserve">De conformidad con lo establecido en el decreto 287 de 2026 mediante el cual se busca adoptar medidas afirmativas que incentiven la participación de las personas con discapacidad en el sistema de compras y contratación Pública, resulta relevante </w:t>
      </w:r>
      <w:r w:rsidRPr="0059226F">
        <w:rPr>
          <w:rFonts w:ascii="Verdana" w:hAnsi="Verdana"/>
          <w:sz w:val="22"/>
          <w:szCs w:val="22"/>
        </w:rPr>
        <w:lastRenderedPageBreak/>
        <w:t>caracterizar la participación de la población con discapacidad en el mercado laboral de forma general y en el sector de la construcción de forma particular.</w:t>
      </w:r>
    </w:p>
    <w:p w14:paraId="78B4AE9D" w14:textId="77777777" w:rsidR="0003210C" w:rsidRPr="0059226F" w:rsidRDefault="0003210C" w:rsidP="0003210C">
      <w:pPr>
        <w:jc w:val="both"/>
        <w:rPr>
          <w:rFonts w:ascii="Verdana" w:hAnsi="Verdana"/>
          <w:sz w:val="22"/>
          <w:szCs w:val="22"/>
        </w:rPr>
      </w:pPr>
    </w:p>
    <w:p w14:paraId="67D3F370" w14:textId="77777777" w:rsidR="0003210C" w:rsidRDefault="0003210C" w:rsidP="0003210C">
      <w:pPr>
        <w:jc w:val="both"/>
        <w:rPr>
          <w:rFonts w:ascii="Verdana" w:hAnsi="Verdana"/>
          <w:sz w:val="22"/>
          <w:szCs w:val="22"/>
        </w:rPr>
      </w:pPr>
      <w:r w:rsidRPr="0059226F">
        <w:rPr>
          <w:rFonts w:ascii="Verdana" w:hAnsi="Verdana"/>
          <w:sz w:val="22"/>
          <w:szCs w:val="22"/>
        </w:rPr>
        <w:t>En el mismo sentido, el Departamento para la Prosperidad Social emite el Boletín Técnico “Inclusión con Propósito: Discapacidad y transferencias que transforman”</w:t>
      </w:r>
      <w:r w:rsidRPr="0059226F">
        <w:rPr>
          <w:rFonts w:ascii="Verdana" w:hAnsi="Verdana"/>
          <w:sz w:val="22"/>
          <w:szCs w:val="22"/>
          <w:vertAlign w:val="superscript"/>
        </w:rPr>
        <w:footnoteReference w:id="60"/>
      </w:r>
      <w:r w:rsidRPr="0059226F">
        <w:rPr>
          <w:rFonts w:ascii="Verdana" w:hAnsi="Verdana"/>
          <w:sz w:val="22"/>
          <w:szCs w:val="22"/>
        </w:rPr>
        <w:t xml:space="preserve"> en el cual presenta una tabla resumen con las definiciones de discapacidad de acuerdo con la Resolución 113 de 2020 del Ministerio de Salud y Protección Social así:</w:t>
      </w:r>
    </w:p>
    <w:p w14:paraId="1AB0CDF6" w14:textId="77777777" w:rsidR="0059226F" w:rsidRDefault="0059226F" w:rsidP="0003210C">
      <w:pPr>
        <w:jc w:val="both"/>
        <w:rPr>
          <w:rFonts w:ascii="Verdana" w:hAnsi="Verdana"/>
          <w:sz w:val="22"/>
          <w:szCs w:val="22"/>
        </w:rPr>
      </w:pPr>
    </w:p>
    <w:p w14:paraId="473CAF31" w14:textId="67C835FF" w:rsidR="0059226F" w:rsidRPr="0059226F" w:rsidRDefault="0059226F" w:rsidP="0059226F">
      <w:pPr>
        <w:pStyle w:val="Descripcin"/>
        <w:jc w:val="center"/>
        <w:rPr>
          <w:rFonts w:ascii="Verdana" w:hAnsi="Verdana"/>
          <w:b w:val="0"/>
          <w:bCs w:val="0"/>
          <w:sz w:val="24"/>
          <w:szCs w:val="24"/>
          <w:lang w:val="es-CO"/>
        </w:rPr>
      </w:pPr>
      <w:bookmarkStart w:id="532" w:name="_Toc231368831"/>
      <w:r w:rsidRPr="0059226F">
        <w:rPr>
          <w:rFonts w:ascii="Verdana" w:hAnsi="Verdana"/>
          <w:sz w:val="22"/>
          <w:szCs w:val="22"/>
        </w:rPr>
        <w:t xml:space="preserve">Gráfica </w:t>
      </w:r>
      <w:r w:rsidRPr="0059226F">
        <w:rPr>
          <w:rFonts w:ascii="Verdana" w:hAnsi="Verdana"/>
          <w:sz w:val="22"/>
          <w:szCs w:val="22"/>
        </w:rPr>
        <w:fldChar w:fldCharType="begin"/>
      </w:r>
      <w:r w:rsidRPr="0059226F">
        <w:rPr>
          <w:rFonts w:ascii="Verdana" w:hAnsi="Verdana"/>
          <w:sz w:val="22"/>
          <w:szCs w:val="22"/>
        </w:rPr>
        <w:instrText xml:space="preserve"> SEQ Gráfica \* ARABIC </w:instrText>
      </w:r>
      <w:r w:rsidRPr="0059226F">
        <w:rPr>
          <w:rFonts w:ascii="Verdana" w:hAnsi="Verdana"/>
          <w:sz w:val="22"/>
          <w:szCs w:val="22"/>
        </w:rPr>
        <w:fldChar w:fldCharType="separate"/>
      </w:r>
      <w:r w:rsidR="00973CF5">
        <w:rPr>
          <w:rFonts w:ascii="Verdana" w:hAnsi="Verdana"/>
          <w:noProof/>
          <w:sz w:val="22"/>
          <w:szCs w:val="22"/>
        </w:rPr>
        <w:t>56</w:t>
      </w:r>
      <w:r w:rsidRPr="0059226F">
        <w:rPr>
          <w:rFonts w:ascii="Verdana" w:hAnsi="Verdana"/>
          <w:sz w:val="22"/>
          <w:szCs w:val="22"/>
        </w:rPr>
        <w:fldChar w:fldCharType="end"/>
      </w:r>
      <w:r w:rsidRPr="0059226F">
        <w:rPr>
          <w:rFonts w:ascii="Verdana" w:hAnsi="Verdana"/>
          <w:sz w:val="22"/>
          <w:szCs w:val="22"/>
        </w:rPr>
        <w:t>. Definiciones de discapacidad</w:t>
      </w:r>
      <w:bookmarkEnd w:id="532"/>
    </w:p>
    <w:p w14:paraId="2B8D4601" w14:textId="188EE7F8" w:rsidR="0003210C" w:rsidRPr="0059226F" w:rsidRDefault="0059226F" w:rsidP="0003210C">
      <w:pPr>
        <w:jc w:val="both"/>
        <w:rPr>
          <w:rFonts w:ascii="Verdana" w:hAnsi="Verdana"/>
          <w:b/>
          <w:bCs/>
          <w:sz w:val="22"/>
          <w:szCs w:val="22"/>
        </w:rPr>
      </w:pPr>
      <w:r>
        <w:rPr>
          <w:rFonts w:ascii="Verdana" w:hAnsi="Verdana"/>
          <w:b/>
          <w:bCs/>
          <w:noProof/>
          <w:sz w:val="22"/>
          <w:szCs w:val="22"/>
        </w:rPr>
        <mc:AlternateContent>
          <mc:Choice Requires="wpg">
            <w:drawing>
              <wp:inline distT="0" distB="0" distL="0" distR="0" wp14:anchorId="25DFF14C" wp14:editId="14406B31">
                <wp:extent cx="6096000" cy="3324670"/>
                <wp:effectExtent l="0" t="0" r="0" b="9525"/>
                <wp:docPr id="721707638" name="Grupo 1"/>
                <wp:cNvGraphicFramePr/>
                <a:graphic xmlns:a="http://schemas.openxmlformats.org/drawingml/2006/main">
                  <a:graphicData uri="http://schemas.microsoft.com/office/word/2010/wordprocessingGroup">
                    <wpg:wgp>
                      <wpg:cNvGrpSpPr/>
                      <wpg:grpSpPr>
                        <a:xfrm>
                          <a:off x="0" y="0"/>
                          <a:ext cx="6096000" cy="3324670"/>
                          <a:chOff x="0" y="0"/>
                          <a:chExt cx="6096000" cy="3324670"/>
                        </a:xfrm>
                      </wpg:grpSpPr>
                      <pic:pic xmlns:pic="http://schemas.openxmlformats.org/drawingml/2006/picture">
                        <pic:nvPicPr>
                          <pic:cNvPr id="1600876523" name="Imagen 24"/>
                          <pic:cNvPicPr>
                            <a:picLocks noChangeAspect="1"/>
                          </pic:cNvPicPr>
                        </pic:nvPicPr>
                        <pic:blipFill rotWithShape="1">
                          <a:blip r:embed="rId97">
                            <a:extLst>
                              <a:ext uri="{28A0092B-C50C-407E-A947-70E740481C1C}">
                                <a14:useLocalDpi xmlns:a14="http://schemas.microsoft.com/office/drawing/2010/main" val="0"/>
                              </a:ext>
                            </a:extLst>
                          </a:blip>
                          <a:srcRect b="7785"/>
                          <a:stretch>
                            <a:fillRect/>
                          </a:stretch>
                        </pic:blipFill>
                        <pic:spPr bwMode="auto">
                          <a:xfrm>
                            <a:off x="0" y="1840675"/>
                            <a:ext cx="6096000" cy="14839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31414303" name="Imagen 25"/>
                          <pic:cNvPicPr>
                            <a:picLocks noChangeAspect="1"/>
                          </pic:cNvPicPr>
                        </pic:nvPicPr>
                        <pic:blipFill rotWithShape="1">
                          <a:blip r:embed="rId98">
                            <a:extLst>
                              <a:ext uri="{28A0092B-C50C-407E-A947-70E740481C1C}">
                                <a14:useLocalDpi xmlns:a14="http://schemas.microsoft.com/office/drawing/2010/main" val="0"/>
                              </a:ext>
                            </a:extLst>
                          </a:blip>
                          <a:srcRect t="7294"/>
                          <a:stretch>
                            <a:fillRect/>
                          </a:stretch>
                        </pic:blipFill>
                        <pic:spPr bwMode="auto">
                          <a:xfrm>
                            <a:off x="0" y="0"/>
                            <a:ext cx="6086475" cy="165989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arto="http://schemas.microsoft.com/office/word/2006/arto">
            <w:pict>
              <v:group w14:anchorId="51256B53" id="Grupo 1" o:spid="_x0000_s1026" style="width:480pt;height:261.8pt;mso-position-horizontal-relative:char;mso-position-vertical-relative:line" coordsize="60960,3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4" o:spid="_x0000_s1027" type="#_x0000_t75" style="position:absolute;top:18406;width:60960;height:14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">
                  <v:imagedata r:id="rId103" o:title="" cropbottom="5102f"/>
                </v:shape>
                <v:shape id="Imagen 25" o:spid="_x0000_s1028" type="#_x0000_t75" style="position:absolute;width:60864;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">
                  <v:imagedata r:id="rId104" o:title="" croptop="4780f"/>
                </v:shape>
                <w10:anchorlock/>
              </v:group>
            </w:pict>
          </mc:Fallback>
        </mc:AlternateContent>
      </w:r>
    </w:p>
    <w:p w14:paraId="65C361E9" w14:textId="10ABAC99" w:rsidR="0003210C" w:rsidRPr="00CB153D" w:rsidRDefault="0059226F" w:rsidP="0003210C">
      <w:pPr>
        <w:jc w:val="both"/>
        <w:rPr>
          <w:rFonts w:ascii="Verdana" w:hAnsi="Verdana"/>
          <w:sz w:val="22"/>
          <w:szCs w:val="22"/>
        </w:rPr>
      </w:pPr>
      <w:r w:rsidRPr="00CB153D">
        <w:rPr>
          <w:rFonts w:ascii="Verdana" w:hAnsi="Verdana"/>
          <w:b/>
          <w:bCs/>
          <w:sz w:val="22"/>
          <w:szCs w:val="22"/>
        </w:rPr>
        <w:t>Fuente</w:t>
      </w:r>
      <w:r w:rsidRPr="00CB153D">
        <w:rPr>
          <w:rFonts w:ascii="Verdana" w:hAnsi="Verdana"/>
          <w:sz w:val="22"/>
          <w:szCs w:val="22"/>
        </w:rPr>
        <w:t xml:space="preserve">: Prosperidad Social. BOLETÍN TÉCNICO Grupo Interno de Trabajo Sistema de Transferencias Inclusión con Propósito: Discapacidad y transferencias que transforman </w:t>
      </w:r>
    </w:p>
    <w:p w14:paraId="139027C6" w14:textId="77777777" w:rsidR="0003210C" w:rsidRPr="0059226F" w:rsidRDefault="0003210C" w:rsidP="0003210C">
      <w:pPr>
        <w:jc w:val="both"/>
        <w:rPr>
          <w:rFonts w:ascii="Verdana" w:hAnsi="Verdana"/>
          <w:sz w:val="22"/>
          <w:szCs w:val="22"/>
        </w:rPr>
      </w:pPr>
    </w:p>
    <w:p w14:paraId="1C52A1A3" w14:textId="3F55B1AF" w:rsidR="0003210C" w:rsidRDefault="0003210C" w:rsidP="0003210C">
      <w:pPr>
        <w:jc w:val="both"/>
        <w:rPr>
          <w:rFonts w:ascii="Verdana" w:hAnsi="Verdana"/>
          <w:sz w:val="22"/>
          <w:szCs w:val="22"/>
        </w:rPr>
      </w:pPr>
      <w:r w:rsidRPr="0059226F">
        <w:rPr>
          <w:rFonts w:ascii="Verdana" w:hAnsi="Verdana"/>
          <w:sz w:val="22"/>
          <w:szCs w:val="22"/>
        </w:rPr>
        <w:t xml:space="preserve">El marco técnico de identificación poblacional en Colombia se consolidó en 2004 con el Registro para la Localización y Caracterización de Personas con Discapacidad (RLCPD), integrado al sistema SISPRO. Tras operar durante 16 años bajo un modelo de </w:t>
      </w:r>
      <w:r w:rsidR="0059226F" w:rsidRPr="0059226F">
        <w:rPr>
          <w:rFonts w:ascii="Verdana" w:hAnsi="Verdana"/>
          <w:sz w:val="22"/>
          <w:szCs w:val="22"/>
        </w:rPr>
        <w:t xml:space="preserve">auto </w:t>
      </w:r>
      <w:r w:rsidR="0059226F" w:rsidRPr="0059226F">
        <w:rPr>
          <w:rFonts w:ascii="Verdana" w:hAnsi="Verdana"/>
          <w:sz w:val="22"/>
          <w:szCs w:val="22"/>
        </w:rPr>
        <w:lastRenderedPageBreak/>
        <w:t>reconocimiento</w:t>
      </w:r>
      <w:r w:rsidRPr="0059226F">
        <w:rPr>
          <w:rFonts w:ascii="Verdana" w:hAnsi="Verdana"/>
          <w:sz w:val="22"/>
          <w:szCs w:val="22"/>
        </w:rPr>
        <w:t xml:space="preserve"> voluntario —alcanzando 1.319.049 registros a agosto de 2020—, el Ministerio de Salud implementó una transición estructural hacia un modelo de certificación técnica basado en valoraciones clínicas multidisciplinarias. Este cambio de paradigma, vigente desde julio de 2020, garantiza una mayor rigurosidad en la caracterización al evaluar deficiencias, limitaciones y restricciones de participación. A corte de agosto de 2025 se cuenta con 541.702 registros de los cuales se pueden extraer las siguientes cifras de caracterización</w:t>
      </w:r>
      <w:r w:rsidR="00B36305">
        <w:rPr>
          <w:rStyle w:val="Refdenotaalpie"/>
          <w:rFonts w:ascii="Verdana" w:hAnsi="Verdana"/>
          <w:sz w:val="22"/>
          <w:szCs w:val="22"/>
        </w:rPr>
        <w:footnoteReference w:id="61"/>
      </w:r>
      <w:r w:rsidRPr="0059226F">
        <w:rPr>
          <w:rFonts w:ascii="Verdana" w:hAnsi="Verdana"/>
          <w:sz w:val="22"/>
          <w:szCs w:val="22"/>
        </w:rPr>
        <w:t>:</w:t>
      </w:r>
    </w:p>
    <w:p w14:paraId="6A75D111" w14:textId="77777777" w:rsidR="0059226F" w:rsidRDefault="0059226F" w:rsidP="0003210C">
      <w:pPr>
        <w:jc w:val="both"/>
        <w:rPr>
          <w:rFonts w:ascii="Verdana" w:hAnsi="Verdana"/>
          <w:b/>
          <w:bCs/>
          <w:sz w:val="22"/>
          <w:szCs w:val="22"/>
        </w:rPr>
      </w:pPr>
    </w:p>
    <w:p w14:paraId="3C497316" w14:textId="574EFF85" w:rsidR="0059226F" w:rsidRPr="00597950" w:rsidRDefault="00597950" w:rsidP="00597950">
      <w:pPr>
        <w:pStyle w:val="Descripcin"/>
        <w:jc w:val="center"/>
        <w:rPr>
          <w:rFonts w:ascii="Verdana" w:hAnsi="Verdana"/>
          <w:b w:val="0"/>
          <w:bCs w:val="0"/>
          <w:sz w:val="24"/>
          <w:szCs w:val="24"/>
          <w:lang w:val="es-CO"/>
        </w:rPr>
      </w:pPr>
      <w:bookmarkStart w:id="533" w:name="_Toc231368832"/>
      <w:r w:rsidRPr="00597950">
        <w:rPr>
          <w:rFonts w:ascii="Verdana" w:hAnsi="Verdana"/>
          <w:sz w:val="22"/>
          <w:szCs w:val="22"/>
        </w:rPr>
        <w:t xml:space="preserve">Gráfica </w:t>
      </w:r>
      <w:r w:rsidRPr="00597950">
        <w:rPr>
          <w:rFonts w:ascii="Verdana" w:hAnsi="Verdana"/>
          <w:sz w:val="22"/>
          <w:szCs w:val="22"/>
        </w:rPr>
        <w:fldChar w:fldCharType="begin"/>
      </w:r>
      <w:r w:rsidRPr="00597950">
        <w:rPr>
          <w:rFonts w:ascii="Verdana" w:hAnsi="Verdana"/>
          <w:sz w:val="22"/>
          <w:szCs w:val="22"/>
        </w:rPr>
        <w:instrText xml:space="preserve"> SEQ Gráfica \* ARABIC </w:instrText>
      </w:r>
      <w:r w:rsidRPr="00597950">
        <w:rPr>
          <w:rFonts w:ascii="Verdana" w:hAnsi="Verdana"/>
          <w:sz w:val="22"/>
          <w:szCs w:val="22"/>
        </w:rPr>
        <w:fldChar w:fldCharType="separate"/>
      </w:r>
      <w:r w:rsidR="00973CF5">
        <w:rPr>
          <w:rFonts w:ascii="Verdana" w:hAnsi="Verdana"/>
          <w:noProof/>
          <w:sz w:val="22"/>
          <w:szCs w:val="22"/>
        </w:rPr>
        <w:t>57</w:t>
      </w:r>
      <w:r w:rsidRPr="00597950">
        <w:rPr>
          <w:rFonts w:ascii="Verdana" w:hAnsi="Verdana"/>
          <w:sz w:val="22"/>
          <w:szCs w:val="22"/>
        </w:rPr>
        <w:fldChar w:fldCharType="end"/>
      </w:r>
      <w:r w:rsidRPr="00597950">
        <w:rPr>
          <w:rFonts w:ascii="Verdana" w:hAnsi="Verdana"/>
          <w:sz w:val="22"/>
          <w:szCs w:val="22"/>
        </w:rPr>
        <w:t>. Distribución por tipo de discapacidad en Colombia</w:t>
      </w:r>
      <w:bookmarkEnd w:id="533"/>
    </w:p>
    <w:p w14:paraId="57AE3AA2" w14:textId="77777777" w:rsidR="0003210C" w:rsidRPr="0059226F" w:rsidRDefault="0003210C" w:rsidP="0003210C">
      <w:pPr>
        <w:jc w:val="center"/>
        <w:rPr>
          <w:rFonts w:ascii="Verdana" w:hAnsi="Verdana"/>
          <w:b/>
          <w:bCs/>
          <w:sz w:val="22"/>
          <w:szCs w:val="22"/>
        </w:rPr>
      </w:pPr>
      <w:r w:rsidRPr="0059226F">
        <w:rPr>
          <w:rFonts w:ascii="Verdana" w:hAnsi="Verdana"/>
          <w:b/>
          <w:noProof/>
          <w:sz w:val="22"/>
          <w:szCs w:val="22"/>
        </w:rPr>
        <w:drawing>
          <wp:inline distT="0" distB="0" distL="0" distR="0" wp14:anchorId="68082206" wp14:editId="5892C4C1">
            <wp:extent cx="5266483" cy="2156603"/>
            <wp:effectExtent l="0" t="0" r="0" b="0"/>
            <wp:docPr id="201056572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05">
                      <a:extLst>
                        <a:ext uri="{28A0092B-C50C-407E-A947-70E740481C1C}">
                          <a14:useLocalDpi xmlns:a14="http://schemas.microsoft.com/office/drawing/2010/main" val="0"/>
                        </a:ext>
                      </a:extLst>
                    </a:blip>
                    <a:srcRect t="6057" b="6171"/>
                    <a:stretch>
                      <a:fillRect/>
                    </a:stretch>
                  </pic:blipFill>
                  <pic:spPr bwMode="auto">
                    <a:xfrm>
                      <a:off x="0" y="0"/>
                      <a:ext cx="5267325" cy="2156948"/>
                    </a:xfrm>
                    <a:prstGeom prst="rect">
                      <a:avLst/>
                    </a:prstGeom>
                    <a:noFill/>
                    <a:ln>
                      <a:noFill/>
                    </a:ln>
                    <a:extLst>
                      <a:ext uri="{53640926-AAD7-44D8-BBD7-CCE9431645EC}">
                        <a14:shadowObscured xmlns:a14="http://schemas.microsoft.com/office/drawing/2010/main"/>
                      </a:ext>
                    </a:extLst>
                  </pic:spPr>
                </pic:pic>
              </a:graphicData>
            </a:graphic>
          </wp:inline>
        </w:drawing>
      </w:r>
    </w:p>
    <w:p w14:paraId="520C4E7D" w14:textId="11930B30" w:rsidR="0003210C" w:rsidRPr="00CB153D" w:rsidRDefault="00597950" w:rsidP="00B36305">
      <w:pPr>
        <w:jc w:val="center"/>
        <w:rPr>
          <w:rFonts w:ascii="Verdana" w:hAnsi="Verdana"/>
          <w:sz w:val="22"/>
          <w:szCs w:val="22"/>
        </w:rPr>
      </w:pPr>
      <w:r w:rsidRPr="00CB153D">
        <w:rPr>
          <w:rFonts w:ascii="Verdana" w:hAnsi="Verdana"/>
          <w:b/>
          <w:bCs/>
          <w:sz w:val="22"/>
          <w:szCs w:val="22"/>
        </w:rPr>
        <w:t>Fuente</w:t>
      </w:r>
      <w:r w:rsidRPr="00CB153D">
        <w:rPr>
          <w:rFonts w:ascii="Verdana" w:hAnsi="Verdana"/>
          <w:sz w:val="22"/>
          <w:szCs w:val="22"/>
        </w:rPr>
        <w:t xml:space="preserve">: </w:t>
      </w:r>
      <w:r w:rsidR="00B36305" w:rsidRPr="00CB153D">
        <w:rPr>
          <w:rFonts w:ascii="Verdana" w:hAnsi="Verdana"/>
          <w:sz w:val="22"/>
          <w:szCs w:val="22"/>
        </w:rPr>
        <w:t xml:space="preserve">Ministerio de Salud y Protección Social. </w:t>
      </w:r>
    </w:p>
    <w:p w14:paraId="1843444D" w14:textId="77777777" w:rsidR="00597950" w:rsidRDefault="00597950" w:rsidP="0003210C">
      <w:pPr>
        <w:jc w:val="both"/>
        <w:rPr>
          <w:rFonts w:ascii="Verdana" w:hAnsi="Verdana"/>
          <w:sz w:val="22"/>
          <w:szCs w:val="22"/>
        </w:rPr>
      </w:pPr>
    </w:p>
    <w:p w14:paraId="0109A2E8" w14:textId="77777777" w:rsidR="00597950" w:rsidRDefault="00597950" w:rsidP="0003210C">
      <w:pPr>
        <w:jc w:val="both"/>
        <w:rPr>
          <w:rFonts w:ascii="Verdana" w:hAnsi="Verdana"/>
          <w:sz w:val="22"/>
          <w:szCs w:val="22"/>
        </w:rPr>
      </w:pPr>
    </w:p>
    <w:p w14:paraId="3D2BF1FE" w14:textId="67A005C1" w:rsidR="0003210C" w:rsidRPr="0059226F" w:rsidRDefault="0003210C" w:rsidP="0003210C">
      <w:pPr>
        <w:jc w:val="both"/>
        <w:rPr>
          <w:rFonts w:ascii="Verdana" w:hAnsi="Verdana"/>
          <w:b/>
          <w:bCs/>
          <w:sz w:val="22"/>
          <w:szCs w:val="22"/>
        </w:rPr>
      </w:pPr>
      <w:r w:rsidRPr="0059226F">
        <w:rPr>
          <w:rFonts w:ascii="Verdana" w:hAnsi="Verdana"/>
          <w:sz w:val="22"/>
          <w:szCs w:val="22"/>
        </w:rPr>
        <w:t>La gráfica visibiliza la distribución por tipo de discapacidad en términos del número de personas registradas. Se puede observar que, la discapacidad con el mayor número de personas registradas es la física con el 28,2%, en segundo lugar, la discapacidad múltiple con el 21,1% y, en tercer lugar, se encuentra la discapacidad intelectual con el 20,7%. Así mismo, la siguiente gráfica muestra la distribución por sexo de la población en condición de discapacidad. De acuerdo con esta información y según la cantidad de personas el 243.391 equivalente a un 57% son masculinas, 182.866 equivalente a un 43% son femeninas y, 1.061 equivalente a un 0.3% son intersexuales.</w:t>
      </w:r>
    </w:p>
    <w:p w14:paraId="59EF7C48" w14:textId="77777777" w:rsidR="0003210C" w:rsidRDefault="0003210C" w:rsidP="0003210C">
      <w:pPr>
        <w:jc w:val="both"/>
        <w:rPr>
          <w:rFonts w:ascii="Verdana" w:hAnsi="Verdana"/>
          <w:b/>
          <w:bCs/>
          <w:sz w:val="22"/>
          <w:szCs w:val="22"/>
        </w:rPr>
      </w:pPr>
    </w:p>
    <w:p w14:paraId="48A9D4A3" w14:textId="77777777" w:rsidR="0045628A" w:rsidRDefault="0045628A" w:rsidP="0003210C">
      <w:pPr>
        <w:jc w:val="both"/>
        <w:rPr>
          <w:rFonts w:ascii="Verdana" w:hAnsi="Verdana"/>
          <w:b/>
          <w:bCs/>
          <w:sz w:val="22"/>
          <w:szCs w:val="22"/>
        </w:rPr>
      </w:pPr>
    </w:p>
    <w:p w14:paraId="19AED8E4" w14:textId="77777777" w:rsidR="0045628A" w:rsidRDefault="0045628A" w:rsidP="0003210C">
      <w:pPr>
        <w:jc w:val="both"/>
        <w:rPr>
          <w:rFonts w:ascii="Verdana" w:hAnsi="Verdana"/>
          <w:b/>
          <w:bCs/>
          <w:sz w:val="22"/>
          <w:szCs w:val="22"/>
        </w:rPr>
      </w:pPr>
    </w:p>
    <w:p w14:paraId="060BD6E5" w14:textId="77777777" w:rsidR="0045628A" w:rsidRDefault="0045628A" w:rsidP="0003210C">
      <w:pPr>
        <w:jc w:val="both"/>
        <w:rPr>
          <w:rFonts w:ascii="Verdana" w:hAnsi="Verdana"/>
          <w:b/>
          <w:bCs/>
          <w:sz w:val="22"/>
          <w:szCs w:val="22"/>
        </w:rPr>
      </w:pPr>
    </w:p>
    <w:p w14:paraId="2D9FFE0C" w14:textId="77645EDD" w:rsidR="0045628A" w:rsidRPr="0045628A" w:rsidRDefault="0045628A" w:rsidP="0045628A">
      <w:pPr>
        <w:pStyle w:val="Descripcin"/>
        <w:jc w:val="center"/>
        <w:rPr>
          <w:rFonts w:ascii="Verdana" w:hAnsi="Verdana"/>
          <w:b w:val="0"/>
          <w:bCs w:val="0"/>
          <w:sz w:val="24"/>
          <w:szCs w:val="24"/>
          <w:lang w:val="es-CO"/>
        </w:rPr>
      </w:pPr>
      <w:bookmarkStart w:id="534" w:name="_Toc231368833"/>
      <w:r w:rsidRPr="0045628A">
        <w:rPr>
          <w:rFonts w:ascii="Verdana" w:hAnsi="Verdana"/>
          <w:sz w:val="22"/>
          <w:szCs w:val="22"/>
        </w:rPr>
        <w:t xml:space="preserve">Gráfica </w:t>
      </w:r>
      <w:r w:rsidRPr="0045628A">
        <w:rPr>
          <w:rFonts w:ascii="Verdana" w:hAnsi="Verdana"/>
          <w:sz w:val="22"/>
          <w:szCs w:val="22"/>
        </w:rPr>
        <w:fldChar w:fldCharType="begin"/>
      </w:r>
      <w:r w:rsidRPr="0045628A">
        <w:rPr>
          <w:rFonts w:ascii="Verdana" w:hAnsi="Verdana"/>
          <w:sz w:val="22"/>
          <w:szCs w:val="22"/>
        </w:rPr>
        <w:instrText xml:space="preserve"> SEQ Gráfica \* ARABIC </w:instrText>
      </w:r>
      <w:r w:rsidRPr="0045628A">
        <w:rPr>
          <w:rFonts w:ascii="Verdana" w:hAnsi="Verdana"/>
          <w:sz w:val="22"/>
          <w:szCs w:val="22"/>
        </w:rPr>
        <w:fldChar w:fldCharType="separate"/>
      </w:r>
      <w:r w:rsidR="00973CF5">
        <w:rPr>
          <w:rFonts w:ascii="Verdana" w:hAnsi="Verdana"/>
          <w:noProof/>
          <w:sz w:val="22"/>
          <w:szCs w:val="22"/>
        </w:rPr>
        <w:t>58</w:t>
      </w:r>
      <w:r w:rsidRPr="0045628A">
        <w:rPr>
          <w:rFonts w:ascii="Verdana" w:hAnsi="Verdana"/>
          <w:sz w:val="22"/>
          <w:szCs w:val="22"/>
        </w:rPr>
        <w:fldChar w:fldCharType="end"/>
      </w:r>
      <w:r w:rsidRPr="0045628A">
        <w:rPr>
          <w:rFonts w:ascii="Verdana" w:hAnsi="Verdana"/>
          <w:sz w:val="22"/>
          <w:szCs w:val="22"/>
        </w:rPr>
        <w:t>. Distribución por sexo</w:t>
      </w:r>
      <w:bookmarkEnd w:id="534"/>
    </w:p>
    <w:p w14:paraId="537FBC48" w14:textId="77777777" w:rsidR="0003210C" w:rsidRDefault="0003210C" w:rsidP="0003210C">
      <w:pPr>
        <w:jc w:val="center"/>
        <w:rPr>
          <w:rFonts w:ascii="Verdana" w:hAnsi="Verdana"/>
          <w:b/>
          <w:bCs/>
          <w:sz w:val="22"/>
          <w:szCs w:val="22"/>
        </w:rPr>
      </w:pPr>
      <w:r w:rsidRPr="0059226F">
        <w:rPr>
          <w:rFonts w:ascii="Verdana" w:hAnsi="Verdana"/>
          <w:b/>
          <w:noProof/>
          <w:sz w:val="22"/>
          <w:szCs w:val="22"/>
        </w:rPr>
        <w:drawing>
          <wp:inline distT="0" distB="0" distL="0" distR="0" wp14:anchorId="0CC021AA" wp14:editId="7CD55FB6">
            <wp:extent cx="2539898" cy="1828032"/>
            <wp:effectExtent l="0" t="0" r="0" b="1270"/>
            <wp:docPr id="199148673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106">
                      <a:extLst>
                        <a:ext uri="{28A0092B-C50C-407E-A947-70E740481C1C}">
                          <a14:useLocalDpi xmlns:a14="http://schemas.microsoft.com/office/drawing/2010/main" val="0"/>
                        </a:ext>
                      </a:extLst>
                    </a:blip>
                    <a:srcRect l="4017" t="10452" b="7826"/>
                    <a:stretch>
                      <a:fillRect/>
                    </a:stretch>
                  </pic:blipFill>
                  <pic:spPr bwMode="auto">
                    <a:xfrm>
                      <a:off x="0" y="0"/>
                      <a:ext cx="2541574" cy="1829238"/>
                    </a:xfrm>
                    <a:prstGeom prst="rect">
                      <a:avLst/>
                    </a:prstGeom>
                    <a:noFill/>
                    <a:ln>
                      <a:noFill/>
                    </a:ln>
                    <a:extLst>
                      <a:ext uri="{53640926-AAD7-44D8-BBD7-CCE9431645EC}">
                        <a14:shadowObscured xmlns:a14="http://schemas.microsoft.com/office/drawing/2010/main"/>
                      </a:ext>
                    </a:extLst>
                  </pic:spPr>
                </pic:pic>
              </a:graphicData>
            </a:graphic>
          </wp:inline>
        </w:drawing>
      </w:r>
    </w:p>
    <w:p w14:paraId="5E5D26D5" w14:textId="1ED4EEFE" w:rsidR="0045628A" w:rsidRPr="00CB153D" w:rsidRDefault="0045628A" w:rsidP="0003210C">
      <w:pPr>
        <w:jc w:val="center"/>
        <w:rPr>
          <w:rFonts w:ascii="Verdana" w:hAnsi="Verdana"/>
          <w:b/>
          <w:bCs/>
          <w:sz w:val="32"/>
          <w:szCs w:val="32"/>
        </w:rPr>
      </w:pPr>
      <w:r w:rsidRPr="00CB153D">
        <w:rPr>
          <w:rFonts w:ascii="Verdana" w:hAnsi="Verdana"/>
          <w:b/>
          <w:bCs/>
          <w:sz w:val="22"/>
          <w:szCs w:val="22"/>
        </w:rPr>
        <w:t>Fuente</w:t>
      </w:r>
      <w:r w:rsidRPr="00CB153D">
        <w:rPr>
          <w:rFonts w:ascii="Verdana" w:hAnsi="Verdana"/>
          <w:sz w:val="22"/>
          <w:szCs w:val="22"/>
        </w:rPr>
        <w:t>: Ministerio de Salud y Protección Social.</w:t>
      </w:r>
    </w:p>
    <w:p w14:paraId="55A51E91" w14:textId="77777777" w:rsidR="0045628A" w:rsidRPr="0059226F" w:rsidRDefault="0045628A" w:rsidP="0003210C">
      <w:pPr>
        <w:jc w:val="center"/>
        <w:rPr>
          <w:rFonts w:ascii="Verdana" w:hAnsi="Verdana"/>
          <w:b/>
          <w:bCs/>
          <w:sz w:val="22"/>
          <w:szCs w:val="22"/>
        </w:rPr>
      </w:pPr>
    </w:p>
    <w:p w14:paraId="1961D529" w14:textId="77777777" w:rsidR="0003210C" w:rsidRPr="0059226F" w:rsidRDefault="0003210C" w:rsidP="0003210C">
      <w:pPr>
        <w:jc w:val="both"/>
        <w:rPr>
          <w:rFonts w:ascii="Verdana" w:hAnsi="Verdana"/>
          <w:b/>
          <w:bCs/>
          <w:sz w:val="22"/>
          <w:szCs w:val="22"/>
        </w:rPr>
      </w:pPr>
      <w:r w:rsidRPr="0059226F">
        <w:rPr>
          <w:rFonts w:ascii="Verdana" w:hAnsi="Verdana"/>
          <w:sz w:val="22"/>
          <w:szCs w:val="22"/>
        </w:rPr>
        <w:t>De igual manera, el informe señala que el rango de edad donde más se concentran las personas en condición de discapacidad por quinquenios de edad es entre los 55 y 59 años con un total de 36.553 personas seguido de los 60 y 64 años con 36.503 personas. Finalmente, esta información evidencia dos grupos etarios que cuentan con un número importante de personas en tercer y cuarto lugar: en el rango de 15 a 19 años con 34.809 personas y 10 a 14 años con 34.709 personas. Ahora bien, al observar la ubicación de residencia de estas personas, se visibiliza que los primeros tres lugares donde se ubican geográficamente estas personas son Bogotá, Valle del Cauca y Antioquia.</w:t>
      </w:r>
    </w:p>
    <w:p w14:paraId="593B44D5" w14:textId="77777777" w:rsidR="0003210C" w:rsidRPr="0059226F" w:rsidRDefault="0003210C" w:rsidP="0003210C">
      <w:pPr>
        <w:jc w:val="both"/>
        <w:rPr>
          <w:rFonts w:ascii="Verdana" w:hAnsi="Verdana"/>
          <w:b/>
          <w:bCs/>
          <w:sz w:val="22"/>
          <w:szCs w:val="22"/>
        </w:rPr>
      </w:pPr>
    </w:p>
    <w:p w14:paraId="5C70F5F5" w14:textId="0FA148FA" w:rsidR="00860489" w:rsidRDefault="00221499" w:rsidP="00221499">
      <w:pPr>
        <w:pStyle w:val="Descripcin"/>
        <w:jc w:val="center"/>
        <w:rPr>
          <w:sz w:val="22"/>
          <w:szCs w:val="22"/>
        </w:rPr>
      </w:pPr>
      <w:bookmarkStart w:id="535" w:name="_Toc231368834"/>
      <w:r w:rsidRPr="008B5D03">
        <w:rPr>
          <w:sz w:val="22"/>
          <w:szCs w:val="22"/>
        </w:rPr>
        <w:t xml:space="preserve">Gráfica </w:t>
      </w:r>
      <w:r w:rsidRPr="008B5D03">
        <w:rPr>
          <w:sz w:val="22"/>
          <w:szCs w:val="22"/>
        </w:rPr>
        <w:fldChar w:fldCharType="begin"/>
      </w:r>
      <w:r w:rsidRPr="008B5D03">
        <w:rPr>
          <w:sz w:val="22"/>
          <w:szCs w:val="22"/>
        </w:rPr>
        <w:instrText xml:space="preserve"> SEQ Gráfica \* ARABIC </w:instrText>
      </w:r>
      <w:r w:rsidRPr="008B5D03">
        <w:rPr>
          <w:sz w:val="22"/>
          <w:szCs w:val="22"/>
        </w:rPr>
        <w:fldChar w:fldCharType="separate"/>
      </w:r>
      <w:r w:rsidR="00973CF5">
        <w:rPr>
          <w:noProof/>
          <w:sz w:val="22"/>
          <w:szCs w:val="22"/>
        </w:rPr>
        <w:t>59</w:t>
      </w:r>
      <w:r w:rsidRPr="008B5D03">
        <w:rPr>
          <w:sz w:val="22"/>
          <w:szCs w:val="22"/>
        </w:rPr>
        <w:fldChar w:fldCharType="end"/>
      </w:r>
      <w:r w:rsidRPr="008B5D03">
        <w:rPr>
          <w:sz w:val="22"/>
          <w:szCs w:val="22"/>
        </w:rPr>
        <w:t>. Top 15 de residencia de personas con discapacidad por departamento</w:t>
      </w:r>
      <w:bookmarkEnd w:id="535"/>
    </w:p>
    <w:p w14:paraId="3568DB2B" w14:textId="3E5EF886" w:rsidR="00221499" w:rsidRDefault="00221499" w:rsidP="00221499">
      <w:pPr>
        <w:pStyle w:val="Descripcin"/>
        <w:jc w:val="center"/>
        <w:rPr>
          <w:rFonts w:ascii="Verdana" w:hAnsi="Verdana"/>
          <w:b w:val="0"/>
          <w:bCs w:val="0"/>
          <w:sz w:val="22"/>
          <w:szCs w:val="22"/>
        </w:rPr>
      </w:pPr>
      <w:r w:rsidRPr="0059226F">
        <w:rPr>
          <w:rFonts w:ascii="Verdana" w:hAnsi="Verdana"/>
          <w:b w:val="0"/>
          <w:noProof/>
          <w:sz w:val="22"/>
          <w:szCs w:val="22"/>
          <w:lang w:val="es-CO"/>
        </w:rPr>
        <w:drawing>
          <wp:inline distT="0" distB="0" distL="0" distR="0" wp14:anchorId="6F46FF41" wp14:editId="09A9E025">
            <wp:extent cx="4037634" cy="1743740"/>
            <wp:effectExtent l="0" t="0" r="1270" b="8890"/>
            <wp:docPr id="9511125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107">
                      <a:extLst>
                        <a:ext uri="{28A0092B-C50C-407E-A947-70E740481C1C}">
                          <a14:useLocalDpi xmlns:a14="http://schemas.microsoft.com/office/drawing/2010/main" val="0"/>
                        </a:ext>
                      </a:extLst>
                    </a:blip>
                    <a:srcRect t="18336" b="10050"/>
                    <a:stretch>
                      <a:fillRect/>
                    </a:stretch>
                  </pic:blipFill>
                  <pic:spPr bwMode="auto">
                    <a:xfrm>
                      <a:off x="0" y="0"/>
                      <a:ext cx="4038600" cy="1744157"/>
                    </a:xfrm>
                    <a:prstGeom prst="rect">
                      <a:avLst/>
                    </a:prstGeom>
                    <a:noFill/>
                    <a:ln>
                      <a:noFill/>
                    </a:ln>
                    <a:extLst>
                      <a:ext uri="{53640926-AAD7-44D8-BBD7-CCE9431645EC}">
                        <a14:shadowObscured xmlns:a14="http://schemas.microsoft.com/office/drawing/2010/main"/>
                      </a:ext>
                    </a:extLst>
                  </pic:spPr>
                </pic:pic>
              </a:graphicData>
            </a:graphic>
          </wp:inline>
        </w:drawing>
      </w:r>
    </w:p>
    <w:p w14:paraId="0D44EDE2" w14:textId="77777777" w:rsidR="00221499" w:rsidRPr="00CB153D" w:rsidRDefault="00221499" w:rsidP="00221499">
      <w:pPr>
        <w:jc w:val="center"/>
        <w:rPr>
          <w:rFonts w:ascii="Verdana" w:hAnsi="Verdana"/>
          <w:b/>
          <w:bCs/>
          <w:sz w:val="32"/>
          <w:szCs w:val="32"/>
        </w:rPr>
      </w:pPr>
      <w:r w:rsidRPr="00CB153D">
        <w:rPr>
          <w:rFonts w:ascii="Verdana" w:hAnsi="Verdana"/>
          <w:b/>
          <w:bCs/>
          <w:sz w:val="22"/>
          <w:szCs w:val="22"/>
        </w:rPr>
        <w:t>Fuente</w:t>
      </w:r>
      <w:r w:rsidRPr="00CB153D">
        <w:rPr>
          <w:rFonts w:ascii="Verdana" w:hAnsi="Verdana"/>
          <w:sz w:val="22"/>
          <w:szCs w:val="22"/>
        </w:rPr>
        <w:t>: Ministerio de Salud y Protección Social.</w:t>
      </w:r>
    </w:p>
    <w:p w14:paraId="0B4B9DCB" w14:textId="77777777" w:rsidR="00221499" w:rsidRDefault="00221499" w:rsidP="0003210C">
      <w:pPr>
        <w:jc w:val="both"/>
        <w:rPr>
          <w:rFonts w:ascii="Verdana" w:hAnsi="Verdana"/>
          <w:b/>
          <w:bCs/>
          <w:sz w:val="22"/>
          <w:szCs w:val="22"/>
        </w:rPr>
      </w:pPr>
    </w:p>
    <w:p w14:paraId="368C6E44" w14:textId="77777777" w:rsidR="00221499" w:rsidRPr="0059226F" w:rsidRDefault="00221499" w:rsidP="0003210C">
      <w:pPr>
        <w:jc w:val="both"/>
        <w:rPr>
          <w:rFonts w:ascii="Verdana" w:hAnsi="Verdana"/>
          <w:b/>
          <w:bCs/>
          <w:sz w:val="22"/>
          <w:szCs w:val="22"/>
        </w:rPr>
      </w:pPr>
    </w:p>
    <w:p w14:paraId="0F10817B" w14:textId="77777777" w:rsidR="0003210C" w:rsidRPr="0059226F" w:rsidRDefault="0003210C" w:rsidP="0003210C">
      <w:pPr>
        <w:jc w:val="both"/>
        <w:rPr>
          <w:rFonts w:ascii="Verdana" w:hAnsi="Verdana"/>
          <w:b/>
          <w:bCs/>
          <w:sz w:val="22"/>
          <w:szCs w:val="22"/>
        </w:rPr>
      </w:pPr>
      <w:r w:rsidRPr="0059226F">
        <w:rPr>
          <w:rFonts w:ascii="Verdana" w:hAnsi="Verdana"/>
          <w:sz w:val="22"/>
          <w:szCs w:val="22"/>
        </w:rPr>
        <w:t>La trayectoria normativa de la discapacidad en Colombia ha consolidado un cambio de paradigma estructural, transitando de un modelo asistencialista hacia un enfoque de derechos humanos, autonomía e inclusión. Este proceso tiene su génesis en la Constitución de 1991, cuyos principios de igualdad y dignidad permitieron la ratificación de instrumentos internacionales vinculantes, como la Convención Interamericana (2002) y la Convención de las Naciones Unidas (2009). Estas normas redefinieron la discapacidad como una responsabilidad del Estado en términos de derechos y no de caridad.</w:t>
      </w:r>
    </w:p>
    <w:p w14:paraId="074415B7" w14:textId="77777777" w:rsidR="0003210C" w:rsidRPr="0059226F" w:rsidRDefault="0003210C" w:rsidP="0003210C">
      <w:pPr>
        <w:jc w:val="both"/>
        <w:rPr>
          <w:rFonts w:ascii="Verdana" w:hAnsi="Verdana"/>
          <w:b/>
          <w:bCs/>
          <w:sz w:val="22"/>
          <w:szCs w:val="22"/>
        </w:rPr>
      </w:pPr>
    </w:p>
    <w:p w14:paraId="5A01D2A3" w14:textId="77777777" w:rsidR="0003210C" w:rsidRPr="0059226F" w:rsidRDefault="0003210C" w:rsidP="0003210C">
      <w:pPr>
        <w:jc w:val="both"/>
        <w:rPr>
          <w:rFonts w:ascii="Verdana" w:hAnsi="Verdana"/>
          <w:b/>
          <w:bCs/>
          <w:sz w:val="22"/>
          <w:szCs w:val="22"/>
        </w:rPr>
      </w:pPr>
      <w:r w:rsidRPr="0059226F">
        <w:rPr>
          <w:rFonts w:ascii="Verdana" w:hAnsi="Verdana"/>
          <w:sz w:val="22"/>
          <w:szCs w:val="22"/>
        </w:rPr>
        <w:t>En el ordenamiento interno, la Ley 1145 de 2007 institucionalizó el Sistema Nacional de Discapacidad, mientras que el CONPES 166 de 2013 y la Ley Estatutaria 1618 de 2013 establecieron la obligatoriedad de los ajustes razonables y la prohibición de la discriminación. Este robustecimiento jurídico continuó con el Decreto 2011 de 2017, que fijó cuotas de vinculación laboral en el sector público, y la Ley 2297 de 2023, orientada a servicios de cuidado y asistencia personal.</w:t>
      </w:r>
    </w:p>
    <w:p w14:paraId="12FAAA28" w14:textId="77777777" w:rsidR="0003210C" w:rsidRPr="0059226F" w:rsidRDefault="0003210C" w:rsidP="0003210C">
      <w:pPr>
        <w:jc w:val="both"/>
        <w:rPr>
          <w:rFonts w:ascii="Verdana" w:hAnsi="Verdana"/>
          <w:b/>
          <w:bCs/>
          <w:sz w:val="22"/>
          <w:szCs w:val="22"/>
        </w:rPr>
      </w:pPr>
    </w:p>
    <w:p w14:paraId="355E8C6F" w14:textId="520F5110" w:rsidR="0003210C" w:rsidRPr="0059226F" w:rsidRDefault="0003210C" w:rsidP="0003210C">
      <w:pPr>
        <w:jc w:val="both"/>
        <w:rPr>
          <w:rFonts w:ascii="Verdana" w:hAnsi="Verdana"/>
          <w:b/>
          <w:bCs/>
          <w:sz w:val="22"/>
          <w:szCs w:val="22"/>
        </w:rPr>
      </w:pPr>
      <w:r w:rsidRPr="0059226F">
        <w:rPr>
          <w:rFonts w:ascii="Verdana" w:hAnsi="Verdana"/>
          <w:sz w:val="22"/>
          <w:szCs w:val="22"/>
        </w:rPr>
        <w:t>Como hito más reciente en esta evolución, el Decreto 0287 de 2026 actualiza y fortalece los mecanismos de implementación territorial y las herramientas de seguimiento técnico, buscando cerrar la brecha entre la formalidad normativa y la realidad prestacional. Si bien el país cuenta con un marco institucional sólido, desde la perspectiva de control se observa que la efectividad del sistema sigue condicionada a una ejecución presupuestal eficiente, una descentralización efectiva de la política y un fortalecimiento de la veeduría ciudadana por parte de las organizaciones de personas con discapacidad</w:t>
      </w:r>
      <w:r w:rsidR="00E03DE4">
        <w:rPr>
          <w:rStyle w:val="Refdenotaalpie"/>
          <w:rFonts w:ascii="Verdana" w:hAnsi="Verdana"/>
          <w:sz w:val="22"/>
          <w:szCs w:val="22"/>
        </w:rPr>
        <w:footnoteReference w:id="62"/>
      </w:r>
      <w:r w:rsidRPr="0059226F">
        <w:rPr>
          <w:rFonts w:ascii="Verdana" w:hAnsi="Verdana"/>
          <w:sz w:val="22"/>
          <w:szCs w:val="22"/>
        </w:rPr>
        <w:t>.</w:t>
      </w:r>
    </w:p>
    <w:p w14:paraId="073E583E" w14:textId="77777777" w:rsidR="0003210C" w:rsidRDefault="0003210C" w:rsidP="0003210C">
      <w:pPr>
        <w:jc w:val="both"/>
        <w:rPr>
          <w:rFonts w:ascii="Verdana" w:hAnsi="Verdana"/>
          <w:b/>
          <w:bCs/>
          <w:sz w:val="22"/>
          <w:szCs w:val="22"/>
        </w:rPr>
      </w:pPr>
    </w:p>
    <w:p w14:paraId="769591D8" w14:textId="77777777" w:rsidR="00E03DE4" w:rsidRDefault="00E03DE4" w:rsidP="0003210C">
      <w:pPr>
        <w:jc w:val="both"/>
        <w:rPr>
          <w:rFonts w:ascii="Verdana" w:hAnsi="Verdana"/>
          <w:b/>
          <w:bCs/>
          <w:sz w:val="22"/>
          <w:szCs w:val="22"/>
        </w:rPr>
      </w:pPr>
    </w:p>
    <w:p w14:paraId="6DE64DA9" w14:textId="77777777" w:rsidR="00E03DE4" w:rsidRDefault="00E03DE4" w:rsidP="0003210C">
      <w:pPr>
        <w:jc w:val="both"/>
        <w:rPr>
          <w:rFonts w:ascii="Verdana" w:hAnsi="Verdana"/>
          <w:b/>
          <w:bCs/>
          <w:sz w:val="22"/>
          <w:szCs w:val="22"/>
        </w:rPr>
      </w:pPr>
    </w:p>
    <w:p w14:paraId="67926EDA" w14:textId="77777777" w:rsidR="00E03DE4" w:rsidRDefault="00E03DE4" w:rsidP="0003210C">
      <w:pPr>
        <w:jc w:val="both"/>
        <w:rPr>
          <w:rFonts w:ascii="Verdana" w:hAnsi="Verdana"/>
          <w:b/>
          <w:bCs/>
          <w:sz w:val="22"/>
          <w:szCs w:val="22"/>
        </w:rPr>
      </w:pPr>
    </w:p>
    <w:p w14:paraId="406641AF" w14:textId="77777777" w:rsidR="00E03DE4" w:rsidRDefault="00E03DE4" w:rsidP="0003210C">
      <w:pPr>
        <w:jc w:val="both"/>
        <w:rPr>
          <w:rFonts w:ascii="Verdana" w:hAnsi="Verdana"/>
          <w:b/>
          <w:bCs/>
          <w:sz w:val="22"/>
          <w:szCs w:val="22"/>
        </w:rPr>
      </w:pPr>
    </w:p>
    <w:p w14:paraId="53E7D2D9" w14:textId="77777777" w:rsidR="00E03DE4" w:rsidRDefault="00E03DE4" w:rsidP="0003210C">
      <w:pPr>
        <w:jc w:val="both"/>
        <w:rPr>
          <w:rFonts w:ascii="Verdana" w:hAnsi="Verdana"/>
          <w:b/>
          <w:bCs/>
          <w:sz w:val="22"/>
          <w:szCs w:val="22"/>
        </w:rPr>
      </w:pPr>
    </w:p>
    <w:p w14:paraId="6F0D78D7" w14:textId="77777777" w:rsidR="00E03DE4" w:rsidRDefault="00E03DE4" w:rsidP="0003210C">
      <w:pPr>
        <w:jc w:val="both"/>
        <w:rPr>
          <w:rFonts w:ascii="Verdana" w:hAnsi="Verdana"/>
          <w:b/>
          <w:bCs/>
          <w:sz w:val="22"/>
          <w:szCs w:val="22"/>
        </w:rPr>
      </w:pPr>
    </w:p>
    <w:p w14:paraId="582FE46A" w14:textId="77777777" w:rsidR="00E03DE4" w:rsidRDefault="00E03DE4" w:rsidP="0003210C">
      <w:pPr>
        <w:jc w:val="both"/>
        <w:rPr>
          <w:rFonts w:ascii="Verdana" w:hAnsi="Verdana"/>
          <w:b/>
          <w:bCs/>
          <w:sz w:val="22"/>
          <w:szCs w:val="22"/>
        </w:rPr>
      </w:pPr>
    </w:p>
    <w:p w14:paraId="715FC9F6" w14:textId="77777777" w:rsidR="00E03DE4" w:rsidRDefault="00E03DE4" w:rsidP="0003210C">
      <w:pPr>
        <w:jc w:val="both"/>
        <w:rPr>
          <w:rFonts w:ascii="Verdana" w:hAnsi="Verdana"/>
          <w:b/>
          <w:bCs/>
          <w:sz w:val="22"/>
          <w:szCs w:val="22"/>
        </w:rPr>
      </w:pPr>
    </w:p>
    <w:p w14:paraId="2847C823" w14:textId="77777777" w:rsidR="00E03DE4" w:rsidRPr="0059226F" w:rsidRDefault="00E03DE4" w:rsidP="0003210C">
      <w:pPr>
        <w:jc w:val="both"/>
        <w:rPr>
          <w:rFonts w:ascii="Verdana" w:hAnsi="Verdana"/>
          <w:b/>
          <w:bCs/>
          <w:sz w:val="22"/>
          <w:szCs w:val="22"/>
        </w:rPr>
      </w:pPr>
    </w:p>
    <w:p w14:paraId="7DCBF4CC" w14:textId="1D9805BE" w:rsidR="0003210C" w:rsidRPr="00E03DE4" w:rsidRDefault="00E03DE4" w:rsidP="00E03DE4">
      <w:pPr>
        <w:pStyle w:val="Descripcin"/>
        <w:jc w:val="center"/>
        <w:rPr>
          <w:rFonts w:ascii="Verdana" w:hAnsi="Verdana"/>
          <w:b w:val="0"/>
          <w:bCs w:val="0"/>
          <w:sz w:val="22"/>
          <w:szCs w:val="22"/>
          <w:lang w:val="es-CO"/>
        </w:rPr>
      </w:pPr>
      <w:bookmarkStart w:id="536" w:name="_Toc231368835"/>
      <w:r w:rsidRPr="00E03DE4">
        <w:rPr>
          <w:rFonts w:ascii="Verdana" w:hAnsi="Verdana"/>
          <w:sz w:val="22"/>
          <w:szCs w:val="22"/>
        </w:rPr>
        <w:t xml:space="preserve">Gráfica </w:t>
      </w:r>
      <w:r w:rsidRPr="00E03DE4">
        <w:rPr>
          <w:rFonts w:ascii="Verdana" w:hAnsi="Verdana"/>
          <w:sz w:val="22"/>
          <w:szCs w:val="22"/>
        </w:rPr>
        <w:fldChar w:fldCharType="begin"/>
      </w:r>
      <w:r w:rsidRPr="00E03DE4">
        <w:rPr>
          <w:rFonts w:ascii="Verdana" w:hAnsi="Verdana"/>
          <w:sz w:val="22"/>
          <w:szCs w:val="22"/>
        </w:rPr>
        <w:instrText xml:space="preserve"> SEQ Gráfica \* ARABIC </w:instrText>
      </w:r>
      <w:r w:rsidRPr="00E03DE4">
        <w:rPr>
          <w:rFonts w:ascii="Verdana" w:hAnsi="Verdana"/>
          <w:sz w:val="22"/>
          <w:szCs w:val="22"/>
        </w:rPr>
        <w:fldChar w:fldCharType="separate"/>
      </w:r>
      <w:r w:rsidR="00973CF5">
        <w:rPr>
          <w:rFonts w:ascii="Verdana" w:hAnsi="Verdana"/>
          <w:noProof/>
          <w:sz w:val="22"/>
          <w:szCs w:val="22"/>
        </w:rPr>
        <w:t>60</w:t>
      </w:r>
      <w:r w:rsidRPr="00E03DE4">
        <w:rPr>
          <w:rFonts w:ascii="Verdana" w:hAnsi="Verdana"/>
          <w:sz w:val="22"/>
          <w:szCs w:val="22"/>
        </w:rPr>
        <w:fldChar w:fldCharType="end"/>
      </w:r>
      <w:r w:rsidRPr="00E03DE4">
        <w:rPr>
          <w:rFonts w:ascii="Verdana" w:hAnsi="Verdana"/>
          <w:sz w:val="22"/>
          <w:szCs w:val="22"/>
        </w:rPr>
        <w:t>. Evolución del marco normativo legal asociado a la discapacidad</w:t>
      </w:r>
      <w:bookmarkEnd w:id="536"/>
    </w:p>
    <w:p w14:paraId="0253E1BA" w14:textId="2D6AF2EC" w:rsidR="00E03DE4" w:rsidRDefault="00E03DE4" w:rsidP="0003210C">
      <w:pPr>
        <w:jc w:val="center"/>
        <w:rPr>
          <w:rFonts w:ascii="Verdana" w:hAnsi="Verdana"/>
          <w:b/>
          <w:bCs/>
          <w:sz w:val="16"/>
          <w:szCs w:val="16"/>
        </w:rPr>
      </w:pPr>
      <w:r w:rsidRPr="0059226F">
        <w:rPr>
          <w:rFonts w:ascii="Verdana" w:hAnsi="Verdana"/>
          <w:b/>
          <w:noProof/>
          <w:sz w:val="22"/>
          <w:szCs w:val="22"/>
        </w:rPr>
        <w:drawing>
          <wp:inline distT="0" distB="0" distL="0" distR="0" wp14:anchorId="7AF61249" wp14:editId="2DBEA9BB">
            <wp:extent cx="5562600" cy="3808671"/>
            <wp:effectExtent l="0" t="0" r="0" b="1905"/>
            <wp:docPr id="164109359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108">
                      <a:extLst>
                        <a:ext uri="{28A0092B-C50C-407E-A947-70E740481C1C}">
                          <a14:useLocalDpi xmlns:a14="http://schemas.microsoft.com/office/drawing/2010/main" val="0"/>
                        </a:ext>
                      </a:extLst>
                    </a:blip>
                    <a:srcRect t="7010"/>
                    <a:stretch>
                      <a:fillRect/>
                    </a:stretch>
                  </pic:blipFill>
                  <pic:spPr bwMode="auto">
                    <a:xfrm>
                      <a:off x="0" y="0"/>
                      <a:ext cx="5562600" cy="3808671"/>
                    </a:xfrm>
                    <a:prstGeom prst="rect">
                      <a:avLst/>
                    </a:prstGeom>
                    <a:noFill/>
                    <a:ln>
                      <a:noFill/>
                    </a:ln>
                    <a:extLst>
                      <a:ext uri="{53640926-AAD7-44D8-BBD7-CCE9431645EC}">
                        <a14:shadowObscured xmlns:a14="http://schemas.microsoft.com/office/drawing/2010/main"/>
                      </a:ext>
                    </a:extLst>
                  </pic:spPr>
                </pic:pic>
              </a:graphicData>
            </a:graphic>
          </wp:inline>
        </w:drawing>
      </w:r>
    </w:p>
    <w:p w14:paraId="1D99B96B" w14:textId="77777777" w:rsidR="00E03DE4" w:rsidRDefault="00E03DE4" w:rsidP="0003210C">
      <w:pPr>
        <w:jc w:val="center"/>
        <w:rPr>
          <w:rFonts w:ascii="Verdana" w:hAnsi="Verdana"/>
          <w:b/>
          <w:bCs/>
          <w:sz w:val="16"/>
          <w:szCs w:val="16"/>
        </w:rPr>
      </w:pPr>
    </w:p>
    <w:p w14:paraId="7CFA058A" w14:textId="77777777" w:rsidR="00E03DE4" w:rsidRPr="0059226F" w:rsidRDefault="00E03DE4" w:rsidP="00E03DE4">
      <w:pPr>
        <w:jc w:val="both"/>
        <w:rPr>
          <w:rFonts w:ascii="Verdana" w:hAnsi="Verdana"/>
          <w:sz w:val="16"/>
          <w:szCs w:val="16"/>
        </w:rPr>
      </w:pPr>
      <w:r w:rsidRPr="00CB153D">
        <w:rPr>
          <w:rFonts w:ascii="Verdana" w:hAnsi="Verdana"/>
          <w:b/>
          <w:bCs/>
          <w:sz w:val="22"/>
          <w:szCs w:val="22"/>
        </w:rPr>
        <w:t>Fuente</w:t>
      </w:r>
      <w:r w:rsidRPr="00CB153D">
        <w:rPr>
          <w:rFonts w:ascii="Verdana" w:hAnsi="Verdana"/>
          <w:sz w:val="22"/>
          <w:szCs w:val="22"/>
        </w:rPr>
        <w:t xml:space="preserve">: Prosperidad Social. BOLETÍN TÉCNICO Grupo Interno de Trabajo Sistema de Transferencias Inclusión con Propósito: Discapacidad y </w:t>
      </w:r>
      <w:r w:rsidRPr="0059226F">
        <w:rPr>
          <w:rFonts w:ascii="Verdana" w:hAnsi="Verdana"/>
          <w:sz w:val="16"/>
          <w:szCs w:val="16"/>
        </w:rPr>
        <w:t xml:space="preserve">transferencias que transforman </w:t>
      </w:r>
    </w:p>
    <w:p w14:paraId="553014C6" w14:textId="77777777" w:rsidR="0003210C" w:rsidRPr="0059226F" w:rsidRDefault="0003210C" w:rsidP="0003210C">
      <w:pPr>
        <w:jc w:val="both"/>
        <w:rPr>
          <w:rFonts w:ascii="Verdana" w:hAnsi="Verdana"/>
          <w:b/>
          <w:bCs/>
          <w:sz w:val="22"/>
          <w:szCs w:val="22"/>
        </w:rPr>
      </w:pPr>
    </w:p>
    <w:p w14:paraId="3099C619" w14:textId="77777777" w:rsidR="0003210C" w:rsidRPr="0059226F" w:rsidRDefault="0003210C" w:rsidP="0003210C">
      <w:pPr>
        <w:jc w:val="both"/>
        <w:rPr>
          <w:rFonts w:ascii="Verdana" w:hAnsi="Verdana"/>
          <w:sz w:val="22"/>
          <w:szCs w:val="22"/>
        </w:rPr>
      </w:pPr>
    </w:p>
    <w:p w14:paraId="16518294" w14:textId="77777777" w:rsidR="0003210C" w:rsidRPr="0059226F" w:rsidRDefault="0003210C" w:rsidP="0003210C">
      <w:pPr>
        <w:jc w:val="both"/>
        <w:rPr>
          <w:rFonts w:ascii="Verdana" w:hAnsi="Verdana"/>
          <w:b/>
          <w:bCs/>
          <w:sz w:val="22"/>
          <w:szCs w:val="22"/>
        </w:rPr>
      </w:pPr>
      <w:r w:rsidRPr="0059226F">
        <w:rPr>
          <w:rFonts w:ascii="Verdana" w:hAnsi="Verdana"/>
          <w:sz w:val="22"/>
          <w:szCs w:val="22"/>
        </w:rPr>
        <w:t>De otro lado, según el Observatorio de Desarrollo Económico de Bogotá (ODEB) en su publicación titulada “Desafíos y oportunidades para la inclusión laboral de las personas con discapacidad en Bogotá”</w:t>
      </w:r>
      <w:r w:rsidRPr="0059226F">
        <w:rPr>
          <w:rFonts w:ascii="Verdana" w:hAnsi="Verdana"/>
          <w:sz w:val="22"/>
          <w:szCs w:val="22"/>
          <w:vertAlign w:val="superscript"/>
        </w:rPr>
        <w:footnoteReference w:id="63"/>
      </w:r>
      <w:r w:rsidRPr="0059226F">
        <w:rPr>
          <w:rFonts w:ascii="Verdana" w:hAnsi="Verdana"/>
          <w:sz w:val="22"/>
          <w:szCs w:val="22"/>
        </w:rPr>
        <w:t xml:space="preserve">, la situación de la población con discapacidad fuera de la fuerza de trabajo (FFT) refuerza la necesidad de políticas de inclusión integrales. Con 72,7% de esta población que ha trabajado alguna vez y 27,3% que nunca ha tenido acceso al mercado laboral, es evidente la falta de oportunidades de reincorporación y </w:t>
      </w:r>
      <w:r w:rsidRPr="0059226F">
        <w:rPr>
          <w:rFonts w:ascii="Verdana" w:hAnsi="Verdana"/>
          <w:sz w:val="22"/>
          <w:szCs w:val="22"/>
        </w:rPr>
        <w:lastRenderedPageBreak/>
        <w:t>de acceso inicial al empleo. Las mujeres, con un 58,9 % de representación en esta categoría, enfrentan una doble carga de exclusión, lo que destaca la necesidad de acciones con enfoque de género.</w:t>
      </w:r>
    </w:p>
    <w:p w14:paraId="500B24E8" w14:textId="77777777" w:rsidR="0003210C" w:rsidRDefault="0003210C" w:rsidP="0003210C">
      <w:pPr>
        <w:jc w:val="both"/>
        <w:rPr>
          <w:rFonts w:ascii="Verdana" w:hAnsi="Verdana"/>
          <w:b/>
          <w:bCs/>
          <w:sz w:val="22"/>
          <w:szCs w:val="22"/>
        </w:rPr>
      </w:pPr>
    </w:p>
    <w:p w14:paraId="0FAEC4DD" w14:textId="1F1CDC26" w:rsidR="00470D10" w:rsidRPr="00470D10" w:rsidRDefault="00470D10" w:rsidP="00470D10">
      <w:pPr>
        <w:pStyle w:val="Descripcin"/>
        <w:jc w:val="center"/>
        <w:rPr>
          <w:rFonts w:ascii="Verdana" w:hAnsi="Verdana"/>
          <w:b w:val="0"/>
          <w:bCs w:val="0"/>
          <w:sz w:val="24"/>
          <w:szCs w:val="24"/>
        </w:rPr>
      </w:pPr>
      <w:bookmarkStart w:id="537" w:name="_Toc231368836"/>
      <w:r w:rsidRPr="00470D10">
        <w:rPr>
          <w:rFonts w:ascii="Verdana" w:hAnsi="Verdana"/>
          <w:sz w:val="22"/>
          <w:szCs w:val="22"/>
        </w:rPr>
        <w:t xml:space="preserve">Gráfica </w:t>
      </w:r>
      <w:r w:rsidRPr="00470D10">
        <w:rPr>
          <w:rFonts w:ascii="Verdana" w:hAnsi="Verdana"/>
          <w:sz w:val="22"/>
          <w:szCs w:val="22"/>
        </w:rPr>
        <w:fldChar w:fldCharType="begin"/>
      </w:r>
      <w:r w:rsidRPr="00470D10">
        <w:rPr>
          <w:rFonts w:ascii="Verdana" w:hAnsi="Verdana"/>
          <w:sz w:val="22"/>
          <w:szCs w:val="22"/>
        </w:rPr>
        <w:instrText xml:space="preserve"> SEQ Gráfica \* ARABIC </w:instrText>
      </w:r>
      <w:r w:rsidRPr="00470D10">
        <w:rPr>
          <w:rFonts w:ascii="Verdana" w:hAnsi="Verdana"/>
          <w:sz w:val="22"/>
          <w:szCs w:val="22"/>
        </w:rPr>
        <w:fldChar w:fldCharType="separate"/>
      </w:r>
      <w:r w:rsidR="00973CF5">
        <w:rPr>
          <w:rFonts w:ascii="Verdana" w:hAnsi="Verdana"/>
          <w:noProof/>
          <w:sz w:val="22"/>
          <w:szCs w:val="22"/>
        </w:rPr>
        <w:t>61</w:t>
      </w:r>
      <w:r w:rsidRPr="00470D10">
        <w:rPr>
          <w:rFonts w:ascii="Verdana" w:hAnsi="Verdana"/>
          <w:sz w:val="22"/>
          <w:szCs w:val="22"/>
        </w:rPr>
        <w:fldChar w:fldCharType="end"/>
      </w:r>
      <w:r w:rsidRPr="00470D10">
        <w:rPr>
          <w:rFonts w:ascii="Verdana" w:hAnsi="Verdana"/>
          <w:sz w:val="22"/>
          <w:szCs w:val="22"/>
        </w:rPr>
        <w:t xml:space="preserve">. Población con discapacidad fuera de la fuerza de trabajo en Bogotá, anual, </w:t>
      </w:r>
      <w:proofErr w:type="gramStart"/>
      <w:r w:rsidRPr="00470D10">
        <w:rPr>
          <w:rFonts w:ascii="Verdana" w:hAnsi="Verdana"/>
          <w:sz w:val="22"/>
          <w:szCs w:val="22"/>
        </w:rPr>
        <w:t>Octubre</w:t>
      </w:r>
      <w:proofErr w:type="gramEnd"/>
      <w:r w:rsidRPr="00470D10">
        <w:rPr>
          <w:rFonts w:ascii="Verdana" w:hAnsi="Verdana"/>
          <w:sz w:val="22"/>
          <w:szCs w:val="22"/>
        </w:rPr>
        <w:t xml:space="preserve"> 2023- </w:t>
      </w:r>
      <w:proofErr w:type="gramStart"/>
      <w:r w:rsidRPr="00470D10">
        <w:rPr>
          <w:rFonts w:ascii="Verdana" w:hAnsi="Verdana"/>
          <w:sz w:val="22"/>
          <w:szCs w:val="22"/>
        </w:rPr>
        <w:t>Septiembre</w:t>
      </w:r>
      <w:proofErr w:type="gramEnd"/>
      <w:r w:rsidRPr="00470D10">
        <w:rPr>
          <w:rFonts w:ascii="Verdana" w:hAnsi="Verdana"/>
          <w:sz w:val="22"/>
          <w:szCs w:val="22"/>
        </w:rPr>
        <w:t xml:space="preserve"> 2024</w:t>
      </w:r>
      <w:bookmarkEnd w:id="537"/>
    </w:p>
    <w:p w14:paraId="5BB81063" w14:textId="77777777" w:rsidR="00470D10" w:rsidRPr="0059226F" w:rsidRDefault="00470D10" w:rsidP="0003210C">
      <w:pPr>
        <w:jc w:val="both"/>
        <w:rPr>
          <w:rFonts w:ascii="Verdana" w:hAnsi="Verdana"/>
          <w:b/>
          <w:bCs/>
          <w:sz w:val="22"/>
          <w:szCs w:val="22"/>
        </w:rPr>
      </w:pPr>
    </w:p>
    <w:p w14:paraId="5693BA83" w14:textId="77777777" w:rsidR="0003210C" w:rsidRPr="0059226F" w:rsidRDefault="0003210C" w:rsidP="0003210C">
      <w:pPr>
        <w:jc w:val="center"/>
        <w:rPr>
          <w:rFonts w:ascii="Verdana" w:hAnsi="Verdana"/>
          <w:b/>
          <w:bCs/>
          <w:sz w:val="22"/>
          <w:szCs w:val="22"/>
        </w:rPr>
      </w:pPr>
      <w:r w:rsidRPr="0059226F">
        <w:rPr>
          <w:rFonts w:ascii="Verdana" w:hAnsi="Verdana"/>
          <w:b/>
          <w:noProof/>
          <w:sz w:val="22"/>
          <w:szCs w:val="22"/>
        </w:rPr>
        <w:drawing>
          <wp:inline distT="0" distB="0" distL="0" distR="0" wp14:anchorId="79CAACAC" wp14:editId="3BF9F128">
            <wp:extent cx="2460312" cy="2562045"/>
            <wp:effectExtent l="0" t="0" r="0" b="0"/>
            <wp:docPr id="181132146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109">
                      <a:extLst>
                        <a:ext uri="{28A0092B-C50C-407E-A947-70E740481C1C}">
                          <a14:useLocalDpi xmlns:a14="http://schemas.microsoft.com/office/drawing/2010/main" val="0"/>
                        </a:ext>
                      </a:extLst>
                    </a:blip>
                    <a:srcRect l="18388" t="12170" r="16846" b="3737"/>
                    <a:stretch>
                      <a:fillRect/>
                    </a:stretch>
                  </pic:blipFill>
                  <pic:spPr bwMode="auto">
                    <a:xfrm>
                      <a:off x="0" y="0"/>
                      <a:ext cx="2461391" cy="2563169"/>
                    </a:xfrm>
                    <a:prstGeom prst="rect">
                      <a:avLst/>
                    </a:prstGeom>
                    <a:noFill/>
                    <a:ln>
                      <a:noFill/>
                    </a:ln>
                    <a:extLst>
                      <a:ext uri="{53640926-AAD7-44D8-BBD7-CCE9431645EC}">
                        <a14:shadowObscured xmlns:a14="http://schemas.microsoft.com/office/drawing/2010/main"/>
                      </a:ext>
                    </a:extLst>
                  </pic:spPr>
                </pic:pic>
              </a:graphicData>
            </a:graphic>
          </wp:inline>
        </w:drawing>
      </w:r>
    </w:p>
    <w:p w14:paraId="7C671272" w14:textId="0407D694" w:rsidR="0003210C" w:rsidRPr="00CB153D" w:rsidRDefault="00470D10" w:rsidP="00470D10">
      <w:pPr>
        <w:jc w:val="center"/>
        <w:rPr>
          <w:rFonts w:ascii="Verdana" w:hAnsi="Verdana"/>
          <w:b/>
          <w:bCs/>
          <w:sz w:val="22"/>
          <w:szCs w:val="22"/>
        </w:rPr>
      </w:pPr>
      <w:r w:rsidRPr="00CB153D">
        <w:rPr>
          <w:rFonts w:ascii="Verdana" w:hAnsi="Verdana"/>
          <w:b/>
          <w:bCs/>
          <w:sz w:val="22"/>
          <w:szCs w:val="22"/>
        </w:rPr>
        <w:t xml:space="preserve">Fuente: </w:t>
      </w:r>
      <w:r w:rsidRPr="00CB153D">
        <w:rPr>
          <w:rFonts w:ascii="Verdana" w:hAnsi="Verdana"/>
          <w:sz w:val="22"/>
          <w:szCs w:val="22"/>
        </w:rPr>
        <w:t>ODEB. Nota Editorial. Desafíos y oportunidades para la inclusión laboral de las personas con discapacidad en Bogotá.</w:t>
      </w:r>
    </w:p>
    <w:p w14:paraId="214B37D2" w14:textId="77777777" w:rsidR="00470D10" w:rsidRDefault="00470D10" w:rsidP="0003210C">
      <w:pPr>
        <w:jc w:val="both"/>
        <w:rPr>
          <w:rFonts w:ascii="Verdana" w:hAnsi="Verdana"/>
          <w:b/>
          <w:bCs/>
          <w:sz w:val="22"/>
          <w:szCs w:val="22"/>
        </w:rPr>
      </w:pPr>
    </w:p>
    <w:p w14:paraId="193B9DF8" w14:textId="77777777" w:rsidR="0003210C" w:rsidRPr="0059226F" w:rsidRDefault="0003210C" w:rsidP="0003210C">
      <w:pPr>
        <w:jc w:val="both"/>
        <w:rPr>
          <w:rFonts w:ascii="Verdana" w:hAnsi="Verdana"/>
          <w:b/>
          <w:bCs/>
          <w:sz w:val="22"/>
          <w:szCs w:val="22"/>
        </w:rPr>
      </w:pPr>
      <w:r w:rsidRPr="0059226F">
        <w:rPr>
          <w:rFonts w:ascii="Verdana" w:hAnsi="Verdana"/>
          <w:sz w:val="22"/>
          <w:szCs w:val="22"/>
        </w:rPr>
        <w:t>La mayoría de las personas con discapacidad FFT en Bogotá se dedican a otras actividades o a los oficios del hogar. Del total de 208.811 personas en esta categoría, el 39,0% está clasificado en otra actividad, mientras que un 33,4% se dedica a los oficios del hogar. Por su parte, la proporción de personas incapacitadas permanentemente para trabajar y aquellas que estudian es menor, pero significativa. El 24,4% de las personas FFT reporta estar incapacitada permanentemente, lo que limita directamente sus posibilidades de participar en actividades económicas. Solo el 3,2% se encuentra estudiando, una cifra que evidencia la baja participación en procesos de formación que podrían facilitar su acceso al mercado laboral en el futuro.</w:t>
      </w:r>
    </w:p>
    <w:p w14:paraId="1F2804FE" w14:textId="77777777" w:rsidR="0003210C" w:rsidRDefault="0003210C" w:rsidP="0003210C">
      <w:pPr>
        <w:jc w:val="both"/>
        <w:rPr>
          <w:rFonts w:ascii="Verdana" w:hAnsi="Verdana"/>
          <w:b/>
          <w:bCs/>
          <w:sz w:val="22"/>
          <w:szCs w:val="22"/>
        </w:rPr>
      </w:pPr>
    </w:p>
    <w:p w14:paraId="2E9E2E9A" w14:textId="77777777" w:rsidR="00B5231E" w:rsidRDefault="00B5231E" w:rsidP="0003210C">
      <w:pPr>
        <w:jc w:val="both"/>
        <w:rPr>
          <w:rFonts w:ascii="Verdana" w:hAnsi="Verdana"/>
          <w:b/>
          <w:bCs/>
          <w:sz w:val="22"/>
          <w:szCs w:val="22"/>
        </w:rPr>
      </w:pPr>
    </w:p>
    <w:p w14:paraId="7CF65112" w14:textId="77777777" w:rsidR="00B5231E" w:rsidRDefault="00B5231E" w:rsidP="0003210C">
      <w:pPr>
        <w:jc w:val="both"/>
        <w:rPr>
          <w:rFonts w:ascii="Verdana" w:hAnsi="Verdana"/>
          <w:b/>
          <w:bCs/>
          <w:sz w:val="22"/>
          <w:szCs w:val="22"/>
        </w:rPr>
      </w:pPr>
    </w:p>
    <w:p w14:paraId="2C9235B8" w14:textId="77777777" w:rsidR="00B5231E" w:rsidRDefault="00B5231E" w:rsidP="0003210C">
      <w:pPr>
        <w:jc w:val="both"/>
        <w:rPr>
          <w:rFonts w:ascii="Verdana" w:hAnsi="Verdana"/>
          <w:b/>
          <w:bCs/>
          <w:sz w:val="22"/>
          <w:szCs w:val="22"/>
        </w:rPr>
      </w:pPr>
    </w:p>
    <w:p w14:paraId="6F21F9EA" w14:textId="77777777" w:rsidR="00B5231E" w:rsidRDefault="00B5231E" w:rsidP="0003210C">
      <w:pPr>
        <w:jc w:val="both"/>
        <w:rPr>
          <w:rFonts w:ascii="Verdana" w:hAnsi="Verdana"/>
          <w:b/>
          <w:bCs/>
          <w:sz w:val="22"/>
          <w:szCs w:val="22"/>
        </w:rPr>
      </w:pPr>
    </w:p>
    <w:p w14:paraId="39176242" w14:textId="77777777" w:rsidR="00B5231E" w:rsidRDefault="00B5231E" w:rsidP="0003210C">
      <w:pPr>
        <w:jc w:val="both"/>
        <w:rPr>
          <w:rFonts w:ascii="Verdana" w:hAnsi="Verdana"/>
          <w:b/>
          <w:bCs/>
          <w:sz w:val="22"/>
          <w:szCs w:val="22"/>
        </w:rPr>
      </w:pPr>
    </w:p>
    <w:p w14:paraId="2E0E44FE" w14:textId="18A96988" w:rsidR="00D25700" w:rsidRDefault="00B5231E" w:rsidP="00B5231E">
      <w:pPr>
        <w:pStyle w:val="Descripcin"/>
        <w:jc w:val="center"/>
        <w:rPr>
          <w:rFonts w:ascii="Verdana" w:hAnsi="Verdana"/>
          <w:sz w:val="22"/>
          <w:szCs w:val="22"/>
        </w:rPr>
      </w:pPr>
      <w:bookmarkStart w:id="538" w:name="_Toc231368837"/>
      <w:r w:rsidRPr="00B5231E">
        <w:rPr>
          <w:rFonts w:ascii="Verdana" w:hAnsi="Verdana"/>
          <w:sz w:val="22"/>
          <w:szCs w:val="22"/>
        </w:rPr>
        <w:t xml:space="preserve">Gráfica </w:t>
      </w:r>
      <w:r w:rsidRPr="00B5231E">
        <w:rPr>
          <w:rFonts w:ascii="Verdana" w:hAnsi="Verdana"/>
          <w:sz w:val="22"/>
          <w:szCs w:val="22"/>
        </w:rPr>
        <w:fldChar w:fldCharType="begin"/>
      </w:r>
      <w:r w:rsidRPr="00B5231E">
        <w:rPr>
          <w:rFonts w:ascii="Verdana" w:hAnsi="Verdana"/>
          <w:sz w:val="22"/>
          <w:szCs w:val="22"/>
        </w:rPr>
        <w:instrText xml:space="preserve"> SEQ Gráfica \* ARABIC </w:instrText>
      </w:r>
      <w:r w:rsidRPr="00B5231E">
        <w:rPr>
          <w:rFonts w:ascii="Verdana" w:hAnsi="Verdana"/>
          <w:sz w:val="22"/>
          <w:szCs w:val="22"/>
        </w:rPr>
        <w:fldChar w:fldCharType="separate"/>
      </w:r>
      <w:r w:rsidR="00973CF5">
        <w:rPr>
          <w:rFonts w:ascii="Verdana" w:hAnsi="Verdana"/>
          <w:noProof/>
          <w:sz w:val="22"/>
          <w:szCs w:val="22"/>
        </w:rPr>
        <w:t>62</w:t>
      </w:r>
      <w:r w:rsidRPr="00B5231E">
        <w:rPr>
          <w:rFonts w:ascii="Verdana" w:hAnsi="Verdana"/>
          <w:sz w:val="22"/>
          <w:szCs w:val="22"/>
        </w:rPr>
        <w:fldChar w:fldCharType="end"/>
      </w:r>
      <w:r w:rsidRPr="00B5231E">
        <w:rPr>
          <w:rFonts w:ascii="Verdana" w:hAnsi="Verdana"/>
          <w:sz w:val="22"/>
          <w:szCs w:val="22"/>
        </w:rPr>
        <w:t xml:space="preserve">. Actividades de la población con discapacidad fuera de la fuerza de trabajo en Bogotá, anual - </w:t>
      </w:r>
      <w:proofErr w:type="gramStart"/>
      <w:r w:rsidRPr="00B5231E">
        <w:rPr>
          <w:rFonts w:ascii="Verdana" w:hAnsi="Verdana"/>
          <w:sz w:val="22"/>
          <w:szCs w:val="22"/>
        </w:rPr>
        <w:t>Octubre</w:t>
      </w:r>
      <w:proofErr w:type="gramEnd"/>
      <w:r w:rsidRPr="00B5231E">
        <w:rPr>
          <w:rFonts w:ascii="Verdana" w:hAnsi="Verdana"/>
          <w:sz w:val="22"/>
          <w:szCs w:val="22"/>
        </w:rPr>
        <w:t xml:space="preserve"> 2023-</w:t>
      </w:r>
      <w:proofErr w:type="gramStart"/>
      <w:r w:rsidRPr="00B5231E">
        <w:rPr>
          <w:rFonts w:ascii="Verdana" w:hAnsi="Verdana"/>
          <w:sz w:val="22"/>
          <w:szCs w:val="22"/>
        </w:rPr>
        <w:t>Septiembre</w:t>
      </w:r>
      <w:proofErr w:type="gramEnd"/>
      <w:r w:rsidRPr="00B5231E">
        <w:rPr>
          <w:rFonts w:ascii="Verdana" w:hAnsi="Verdana"/>
          <w:sz w:val="22"/>
          <w:szCs w:val="22"/>
        </w:rPr>
        <w:t xml:space="preserve"> 2024</w:t>
      </w:r>
      <w:bookmarkEnd w:id="538"/>
    </w:p>
    <w:p w14:paraId="5D544C34" w14:textId="5AF61847" w:rsidR="0003210C" w:rsidRPr="0059226F" w:rsidRDefault="0003210C" w:rsidP="00B5231E">
      <w:pPr>
        <w:pStyle w:val="Descripcin"/>
        <w:jc w:val="center"/>
        <w:rPr>
          <w:rFonts w:ascii="Verdana" w:hAnsi="Verdana"/>
          <w:b w:val="0"/>
          <w:bCs w:val="0"/>
          <w:sz w:val="22"/>
          <w:szCs w:val="22"/>
          <w:lang w:val="es-CO"/>
        </w:rPr>
      </w:pPr>
      <w:r w:rsidRPr="0059226F">
        <w:rPr>
          <w:rFonts w:ascii="Verdana" w:hAnsi="Verdana"/>
          <w:b w:val="0"/>
          <w:noProof/>
          <w:sz w:val="22"/>
          <w:szCs w:val="22"/>
          <w:lang w:val="es-CO"/>
        </w:rPr>
        <w:drawing>
          <wp:inline distT="0" distB="0" distL="0" distR="0" wp14:anchorId="4E736F0C" wp14:editId="770AF6DB">
            <wp:extent cx="3309304" cy="1729767"/>
            <wp:effectExtent l="0" t="0" r="5715" b="3810"/>
            <wp:docPr id="39865038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110">
                      <a:extLst>
                        <a:ext uri="{28A0092B-C50C-407E-A947-70E740481C1C}">
                          <a14:useLocalDpi xmlns:a14="http://schemas.microsoft.com/office/drawing/2010/main" val="0"/>
                        </a:ext>
                      </a:extLst>
                    </a:blip>
                    <a:srcRect t="14230" b="9854"/>
                    <a:stretch>
                      <a:fillRect/>
                    </a:stretch>
                  </pic:blipFill>
                  <pic:spPr bwMode="auto">
                    <a:xfrm>
                      <a:off x="0" y="0"/>
                      <a:ext cx="3339628" cy="1745617"/>
                    </a:xfrm>
                    <a:prstGeom prst="rect">
                      <a:avLst/>
                    </a:prstGeom>
                    <a:noFill/>
                    <a:ln>
                      <a:noFill/>
                    </a:ln>
                    <a:extLst>
                      <a:ext uri="{53640926-AAD7-44D8-BBD7-CCE9431645EC}">
                        <a14:shadowObscured xmlns:a14="http://schemas.microsoft.com/office/drawing/2010/main"/>
                      </a:ext>
                    </a:extLst>
                  </pic:spPr>
                </pic:pic>
              </a:graphicData>
            </a:graphic>
          </wp:inline>
        </w:drawing>
      </w:r>
    </w:p>
    <w:p w14:paraId="1E1EA66F" w14:textId="77777777" w:rsidR="00B5231E" w:rsidRPr="00CB153D" w:rsidRDefault="00B5231E" w:rsidP="00B5231E">
      <w:pPr>
        <w:jc w:val="center"/>
        <w:rPr>
          <w:rFonts w:ascii="Verdana" w:hAnsi="Verdana"/>
          <w:b/>
          <w:bCs/>
          <w:sz w:val="22"/>
          <w:szCs w:val="22"/>
        </w:rPr>
      </w:pPr>
      <w:r w:rsidRPr="00CB153D">
        <w:rPr>
          <w:rFonts w:ascii="Verdana" w:hAnsi="Verdana"/>
          <w:b/>
          <w:bCs/>
          <w:sz w:val="22"/>
          <w:szCs w:val="22"/>
        </w:rPr>
        <w:t xml:space="preserve">Fuente: </w:t>
      </w:r>
      <w:r w:rsidRPr="00CB153D">
        <w:rPr>
          <w:rFonts w:ascii="Verdana" w:hAnsi="Verdana"/>
          <w:sz w:val="22"/>
          <w:szCs w:val="22"/>
        </w:rPr>
        <w:t>ODEB. Nota Editorial. Desafíos y oportunidades para la inclusión laboral de las personas con discapacidad en Bogotá.</w:t>
      </w:r>
    </w:p>
    <w:p w14:paraId="05FC4F1F" w14:textId="77777777" w:rsidR="0003210C" w:rsidRPr="0059226F" w:rsidRDefault="0003210C" w:rsidP="0003210C">
      <w:pPr>
        <w:jc w:val="both"/>
        <w:rPr>
          <w:rFonts w:ascii="Verdana" w:hAnsi="Verdana"/>
          <w:sz w:val="22"/>
          <w:szCs w:val="22"/>
        </w:rPr>
      </w:pPr>
    </w:p>
    <w:p w14:paraId="2481DADA" w14:textId="77777777" w:rsidR="00B5231E" w:rsidRDefault="00B5231E" w:rsidP="0003210C">
      <w:pPr>
        <w:jc w:val="both"/>
        <w:rPr>
          <w:rFonts w:ascii="Verdana" w:hAnsi="Verdana"/>
          <w:sz w:val="22"/>
          <w:szCs w:val="22"/>
        </w:rPr>
      </w:pPr>
    </w:p>
    <w:p w14:paraId="5987A07C" w14:textId="71BA9539" w:rsidR="00B908C9" w:rsidRPr="00B908C9" w:rsidRDefault="0003210C" w:rsidP="00B908C9">
      <w:pPr>
        <w:pStyle w:val="Descripcin"/>
        <w:jc w:val="both"/>
        <w:rPr>
          <w:rFonts w:ascii="Verdana" w:eastAsia="Times New Roman" w:hAnsi="Verdana"/>
          <w:b w:val="0"/>
          <w:bCs w:val="0"/>
          <w:sz w:val="22"/>
          <w:szCs w:val="22"/>
          <w:lang w:val="es-CO" w:eastAsia="es-MX"/>
        </w:rPr>
      </w:pPr>
      <w:r w:rsidRPr="00B908C9">
        <w:rPr>
          <w:rFonts w:ascii="Verdana" w:eastAsia="Times New Roman" w:hAnsi="Verdana"/>
          <w:b w:val="0"/>
          <w:bCs w:val="0"/>
          <w:sz w:val="22"/>
          <w:szCs w:val="22"/>
          <w:lang w:val="es-CO" w:eastAsia="es-MX"/>
        </w:rPr>
        <w:t>Resulta de vital importancia reseñar el comportamiento del mercado laboral para población con discapacidad en el país conforme con el último boletín técnico del “Mercado laboral de la población con discapacidad” emitido por el DANE. Según cifras presentadas por el DANE en el Boletín Técnico “Mercado laboral de la población con discapacidad, trimestre móvil noviembre 2025 – enero 2026”</w:t>
      </w:r>
      <w:r w:rsidRPr="00B908C9">
        <w:rPr>
          <w:rFonts w:ascii="Verdana" w:eastAsia="Times New Roman" w:hAnsi="Verdana"/>
          <w:b w:val="0"/>
          <w:bCs w:val="0"/>
          <w:sz w:val="22"/>
          <w:szCs w:val="22"/>
          <w:lang w:val="es-CO" w:eastAsia="es-MX"/>
        </w:rPr>
        <w:footnoteReference w:id="64"/>
      </w:r>
      <w:r w:rsidRPr="00B908C9">
        <w:rPr>
          <w:rFonts w:ascii="Verdana" w:eastAsia="Times New Roman" w:hAnsi="Verdana"/>
          <w:b w:val="0"/>
          <w:bCs w:val="0"/>
          <w:sz w:val="22"/>
          <w:szCs w:val="22"/>
          <w:lang w:val="es-CO" w:eastAsia="es-MX"/>
        </w:rPr>
        <w:t xml:space="preserve"> publicado el 12 de marzo de 2026, la tasa global de participación (TGP) de la población con discapacidad fue de 22,4%, en comparación con la TGP de la población sin discapacidad de 66,5%, lo que significa una diferencia negativa de 44,1 puntos porcentuales (p.p.) entre ambas poblaciones. En cuanto a la tasa de ocupación, se evidencia que hay una diferencia negativa de 40,4 p.p. entre la población con discapacidad</w:t>
      </w:r>
      <w:r w:rsidR="00DD4398">
        <w:rPr>
          <w:rFonts w:ascii="Verdana" w:eastAsia="Times New Roman" w:hAnsi="Verdana"/>
          <w:b w:val="0"/>
          <w:bCs w:val="0"/>
          <w:sz w:val="22"/>
          <w:szCs w:val="22"/>
          <w:lang w:val="es-CO" w:eastAsia="es-MX"/>
        </w:rPr>
        <w:t xml:space="preserve"> </w:t>
      </w:r>
      <w:r w:rsidR="00DD4398" w:rsidRPr="00DD4398">
        <w:rPr>
          <w:rFonts w:ascii="Verdana" w:eastAsia="Times New Roman" w:hAnsi="Verdana"/>
          <w:b w:val="0"/>
          <w:bCs w:val="0"/>
          <w:sz w:val="22"/>
          <w:szCs w:val="22"/>
          <w:lang w:val="es-CO" w:eastAsia="es-MX"/>
        </w:rPr>
        <w:t>y sin discapacidad, para la primera, esta tasa fue de 20,4% y para la segunda de 60,8%.</w:t>
      </w:r>
    </w:p>
    <w:p w14:paraId="43AA7476" w14:textId="77777777" w:rsidR="00DD4398" w:rsidRPr="0059226F" w:rsidRDefault="00DD4398" w:rsidP="00DD4398">
      <w:pPr>
        <w:jc w:val="both"/>
        <w:rPr>
          <w:rFonts w:ascii="Verdana" w:hAnsi="Verdana"/>
          <w:b/>
          <w:bCs/>
          <w:sz w:val="22"/>
          <w:szCs w:val="22"/>
        </w:rPr>
      </w:pPr>
      <w:r w:rsidRPr="0059226F">
        <w:rPr>
          <w:rFonts w:ascii="Verdana" w:hAnsi="Verdana"/>
          <w:sz w:val="22"/>
          <w:szCs w:val="22"/>
        </w:rPr>
        <w:t>Por otro lado, al observar la tasa de desocupación se evidencia que existe una diferencia de 0,4 p.p. dada por una tasa de 9,0% para la población con discapacidad y 8,6% para las personas sin discapacidad.</w:t>
      </w:r>
    </w:p>
    <w:p w14:paraId="3C3E177D" w14:textId="77777777" w:rsidR="00DD4398" w:rsidRPr="00DD4398" w:rsidRDefault="00DD4398" w:rsidP="00DD4398">
      <w:pPr>
        <w:pStyle w:val="Descripcin"/>
        <w:jc w:val="center"/>
        <w:rPr>
          <w:rFonts w:ascii="Verdana" w:hAnsi="Verdana"/>
          <w:sz w:val="22"/>
          <w:szCs w:val="22"/>
        </w:rPr>
      </w:pPr>
    </w:p>
    <w:p w14:paraId="42FC1161" w14:textId="55946B64" w:rsidR="00DD4398" w:rsidRDefault="00B908C9" w:rsidP="00DD4398">
      <w:pPr>
        <w:pStyle w:val="Descripcin"/>
        <w:jc w:val="center"/>
        <w:rPr>
          <w:rFonts w:ascii="Verdana" w:hAnsi="Verdana"/>
          <w:sz w:val="22"/>
          <w:szCs w:val="22"/>
        </w:rPr>
      </w:pPr>
      <w:bookmarkStart w:id="539" w:name="_Toc231368838"/>
      <w:r w:rsidRPr="00DD4398">
        <w:rPr>
          <w:rFonts w:ascii="Verdana" w:hAnsi="Verdana"/>
          <w:sz w:val="22"/>
          <w:szCs w:val="22"/>
        </w:rPr>
        <w:t xml:space="preserve">Gráfica </w:t>
      </w:r>
      <w:r w:rsidRPr="00DD4398">
        <w:rPr>
          <w:rFonts w:ascii="Verdana" w:hAnsi="Verdana"/>
          <w:sz w:val="22"/>
          <w:szCs w:val="22"/>
        </w:rPr>
        <w:fldChar w:fldCharType="begin"/>
      </w:r>
      <w:r w:rsidRPr="00DD4398">
        <w:rPr>
          <w:rFonts w:ascii="Verdana" w:hAnsi="Verdana"/>
          <w:sz w:val="22"/>
          <w:szCs w:val="22"/>
        </w:rPr>
        <w:instrText xml:space="preserve"> SEQ Gráfica \* ARABIC </w:instrText>
      </w:r>
      <w:r w:rsidRPr="00DD4398">
        <w:rPr>
          <w:rFonts w:ascii="Verdana" w:hAnsi="Verdana"/>
          <w:sz w:val="22"/>
          <w:szCs w:val="22"/>
        </w:rPr>
        <w:fldChar w:fldCharType="separate"/>
      </w:r>
      <w:r w:rsidR="00973CF5">
        <w:rPr>
          <w:rFonts w:ascii="Verdana" w:hAnsi="Verdana"/>
          <w:noProof/>
          <w:sz w:val="22"/>
          <w:szCs w:val="22"/>
        </w:rPr>
        <w:t>63</w:t>
      </w:r>
      <w:r w:rsidRPr="00DD4398">
        <w:rPr>
          <w:rFonts w:ascii="Verdana" w:hAnsi="Verdana"/>
          <w:sz w:val="22"/>
          <w:szCs w:val="22"/>
        </w:rPr>
        <w:fldChar w:fldCharType="end"/>
      </w:r>
      <w:r w:rsidRPr="00DD4398">
        <w:rPr>
          <w:rFonts w:ascii="Verdana" w:hAnsi="Verdana"/>
          <w:sz w:val="22"/>
          <w:szCs w:val="22"/>
        </w:rPr>
        <w:t>. Tasa global de participación (TGP), Tasa de ocupación (TO) y Tasa de desocupación (TD) de la población con discapacidad y sin discapacidad</w:t>
      </w:r>
      <w:bookmarkEnd w:id="539"/>
    </w:p>
    <w:p w14:paraId="17E7544E" w14:textId="77777777" w:rsidR="00D25700" w:rsidRPr="00D25700" w:rsidRDefault="00D25700" w:rsidP="00D25700">
      <w:pPr>
        <w:rPr>
          <w:lang w:val="es-ES" w:eastAsia="en-US"/>
        </w:rPr>
      </w:pPr>
    </w:p>
    <w:p w14:paraId="6E396429" w14:textId="77777777" w:rsidR="0003210C" w:rsidRPr="0059226F" w:rsidRDefault="0003210C" w:rsidP="0003210C">
      <w:pPr>
        <w:jc w:val="center"/>
        <w:rPr>
          <w:rFonts w:ascii="Verdana" w:hAnsi="Verdana"/>
          <w:b/>
          <w:bCs/>
          <w:sz w:val="22"/>
          <w:szCs w:val="22"/>
        </w:rPr>
      </w:pPr>
      <w:r w:rsidRPr="0059226F">
        <w:rPr>
          <w:rFonts w:ascii="Verdana" w:hAnsi="Verdana"/>
          <w:b/>
          <w:noProof/>
          <w:sz w:val="22"/>
          <w:szCs w:val="22"/>
        </w:rPr>
        <w:drawing>
          <wp:inline distT="0" distB="0" distL="0" distR="0" wp14:anchorId="3E6C2D87" wp14:editId="05BC17A4">
            <wp:extent cx="5060051" cy="1947380"/>
            <wp:effectExtent l="0" t="0" r="7620" b="0"/>
            <wp:docPr id="167663498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11">
                      <a:extLst>
                        <a:ext uri="{28A0092B-C50C-407E-A947-70E740481C1C}">
                          <a14:useLocalDpi xmlns:a14="http://schemas.microsoft.com/office/drawing/2010/main" val="0"/>
                        </a:ext>
                      </a:extLst>
                    </a:blip>
                    <a:srcRect t="10889"/>
                    <a:stretch>
                      <a:fillRect/>
                    </a:stretch>
                  </pic:blipFill>
                  <pic:spPr bwMode="auto">
                    <a:xfrm>
                      <a:off x="0" y="0"/>
                      <a:ext cx="5135776" cy="1976523"/>
                    </a:xfrm>
                    <a:prstGeom prst="rect">
                      <a:avLst/>
                    </a:prstGeom>
                    <a:noFill/>
                    <a:ln>
                      <a:noFill/>
                    </a:ln>
                    <a:extLst>
                      <a:ext uri="{53640926-AAD7-44D8-BBD7-CCE9431645EC}">
                        <a14:shadowObscured xmlns:a14="http://schemas.microsoft.com/office/drawing/2010/main"/>
                      </a:ext>
                    </a:extLst>
                  </pic:spPr>
                </pic:pic>
              </a:graphicData>
            </a:graphic>
          </wp:inline>
        </w:drawing>
      </w:r>
    </w:p>
    <w:p w14:paraId="2AC46851" w14:textId="14EA3B10" w:rsidR="0003210C" w:rsidRPr="00CB153D" w:rsidRDefault="00F4249D" w:rsidP="00F4249D">
      <w:pPr>
        <w:jc w:val="center"/>
        <w:rPr>
          <w:rFonts w:ascii="Verdana" w:hAnsi="Verdana"/>
          <w:b/>
          <w:bCs/>
          <w:sz w:val="22"/>
          <w:szCs w:val="22"/>
        </w:rPr>
      </w:pPr>
      <w:r w:rsidRPr="00CB153D">
        <w:rPr>
          <w:rFonts w:ascii="Verdana" w:hAnsi="Verdana"/>
          <w:b/>
          <w:bCs/>
          <w:sz w:val="22"/>
          <w:szCs w:val="22"/>
        </w:rPr>
        <w:t xml:space="preserve">Fuente: </w:t>
      </w:r>
      <w:r w:rsidRPr="00CB153D">
        <w:rPr>
          <w:rFonts w:ascii="Verdana" w:hAnsi="Verdana"/>
          <w:sz w:val="22"/>
          <w:szCs w:val="22"/>
        </w:rPr>
        <w:t>DANE. Boletín Técnico, Mercado laboral de la población con discapacidad</w:t>
      </w:r>
    </w:p>
    <w:p w14:paraId="1C41694F" w14:textId="77777777" w:rsidR="00DD4398" w:rsidRDefault="00DD4398" w:rsidP="0003210C">
      <w:pPr>
        <w:jc w:val="both"/>
        <w:rPr>
          <w:rFonts w:ascii="Verdana" w:hAnsi="Verdana"/>
          <w:sz w:val="22"/>
          <w:szCs w:val="22"/>
        </w:rPr>
      </w:pPr>
    </w:p>
    <w:p w14:paraId="4BE2A2CC" w14:textId="1471BCD1" w:rsidR="0003210C" w:rsidRPr="0059226F" w:rsidRDefault="0003210C" w:rsidP="0003210C">
      <w:pPr>
        <w:jc w:val="both"/>
        <w:rPr>
          <w:rFonts w:ascii="Verdana" w:hAnsi="Verdana"/>
          <w:b/>
          <w:bCs/>
          <w:sz w:val="22"/>
          <w:szCs w:val="22"/>
        </w:rPr>
      </w:pPr>
      <w:r w:rsidRPr="0059226F">
        <w:rPr>
          <w:rFonts w:ascii="Verdana" w:hAnsi="Verdana"/>
          <w:sz w:val="22"/>
          <w:szCs w:val="22"/>
        </w:rPr>
        <w:t>Para el trimestre móvil noviembre 2025 – enero 2026, las ramas de actividad donde más se concentró la población ocupada con discapacidad fueron Agricultura, ganadería, caza, silvicultura y pesca (20,4%), seguida de Comercio y reparación de vehículos (17,1%) así:</w:t>
      </w:r>
    </w:p>
    <w:p w14:paraId="508C4EDD" w14:textId="77777777" w:rsidR="0003210C" w:rsidRDefault="0003210C" w:rsidP="0003210C">
      <w:pPr>
        <w:jc w:val="both"/>
        <w:rPr>
          <w:rFonts w:ascii="Verdana" w:hAnsi="Verdana"/>
          <w:b/>
          <w:bCs/>
          <w:sz w:val="22"/>
          <w:szCs w:val="22"/>
        </w:rPr>
      </w:pPr>
    </w:p>
    <w:p w14:paraId="45D835C2" w14:textId="77777777" w:rsidR="00D25700" w:rsidRDefault="00D25700" w:rsidP="0003210C">
      <w:pPr>
        <w:jc w:val="both"/>
        <w:rPr>
          <w:rFonts w:ascii="Verdana" w:hAnsi="Verdana"/>
          <w:b/>
          <w:bCs/>
          <w:sz w:val="22"/>
          <w:szCs w:val="22"/>
        </w:rPr>
      </w:pPr>
    </w:p>
    <w:p w14:paraId="361E2CFE" w14:textId="77777777" w:rsidR="00D25700" w:rsidRDefault="00D25700" w:rsidP="0003210C">
      <w:pPr>
        <w:jc w:val="both"/>
        <w:rPr>
          <w:rFonts w:ascii="Verdana" w:hAnsi="Verdana"/>
          <w:b/>
          <w:bCs/>
          <w:sz w:val="22"/>
          <w:szCs w:val="22"/>
        </w:rPr>
      </w:pPr>
    </w:p>
    <w:p w14:paraId="76EB0701" w14:textId="77777777" w:rsidR="00D25700" w:rsidRDefault="00D25700" w:rsidP="0003210C">
      <w:pPr>
        <w:jc w:val="both"/>
        <w:rPr>
          <w:rFonts w:ascii="Verdana" w:hAnsi="Verdana"/>
          <w:b/>
          <w:bCs/>
          <w:sz w:val="22"/>
          <w:szCs w:val="22"/>
        </w:rPr>
      </w:pPr>
    </w:p>
    <w:p w14:paraId="77B1F73A" w14:textId="77777777" w:rsidR="00D25700" w:rsidRDefault="00D25700" w:rsidP="0003210C">
      <w:pPr>
        <w:jc w:val="both"/>
        <w:rPr>
          <w:rFonts w:ascii="Verdana" w:hAnsi="Verdana"/>
          <w:b/>
          <w:bCs/>
          <w:sz w:val="22"/>
          <w:szCs w:val="22"/>
        </w:rPr>
      </w:pPr>
    </w:p>
    <w:p w14:paraId="540D5AE8" w14:textId="77777777" w:rsidR="00D25700" w:rsidRDefault="00D25700" w:rsidP="0003210C">
      <w:pPr>
        <w:jc w:val="both"/>
        <w:rPr>
          <w:rFonts w:ascii="Verdana" w:hAnsi="Verdana"/>
          <w:b/>
          <w:bCs/>
          <w:sz w:val="22"/>
          <w:szCs w:val="22"/>
        </w:rPr>
      </w:pPr>
    </w:p>
    <w:p w14:paraId="270EB514" w14:textId="77777777" w:rsidR="00D25700" w:rsidRDefault="00D25700" w:rsidP="0003210C">
      <w:pPr>
        <w:jc w:val="both"/>
        <w:rPr>
          <w:rFonts w:ascii="Verdana" w:hAnsi="Verdana"/>
          <w:b/>
          <w:bCs/>
          <w:sz w:val="22"/>
          <w:szCs w:val="22"/>
        </w:rPr>
      </w:pPr>
    </w:p>
    <w:p w14:paraId="61B67A22" w14:textId="77777777" w:rsidR="00D25700" w:rsidRDefault="00D25700" w:rsidP="0003210C">
      <w:pPr>
        <w:jc w:val="both"/>
        <w:rPr>
          <w:rFonts w:ascii="Verdana" w:hAnsi="Verdana"/>
          <w:b/>
          <w:bCs/>
          <w:sz w:val="22"/>
          <w:szCs w:val="22"/>
        </w:rPr>
      </w:pPr>
    </w:p>
    <w:p w14:paraId="65733F81" w14:textId="77777777" w:rsidR="00D25700" w:rsidRDefault="00D25700" w:rsidP="0003210C">
      <w:pPr>
        <w:jc w:val="both"/>
        <w:rPr>
          <w:rFonts w:ascii="Verdana" w:hAnsi="Verdana"/>
          <w:b/>
          <w:bCs/>
          <w:sz w:val="22"/>
          <w:szCs w:val="22"/>
        </w:rPr>
      </w:pPr>
    </w:p>
    <w:p w14:paraId="47C4023C" w14:textId="77777777" w:rsidR="00D25700" w:rsidRDefault="00D25700" w:rsidP="0003210C">
      <w:pPr>
        <w:jc w:val="both"/>
        <w:rPr>
          <w:rFonts w:ascii="Verdana" w:hAnsi="Verdana"/>
          <w:b/>
          <w:bCs/>
          <w:sz w:val="22"/>
          <w:szCs w:val="22"/>
        </w:rPr>
      </w:pPr>
    </w:p>
    <w:p w14:paraId="3FDD1947" w14:textId="77777777" w:rsidR="00D25700" w:rsidRDefault="00D25700" w:rsidP="0003210C">
      <w:pPr>
        <w:jc w:val="both"/>
        <w:rPr>
          <w:rFonts w:ascii="Verdana" w:hAnsi="Verdana"/>
          <w:b/>
          <w:bCs/>
          <w:sz w:val="22"/>
          <w:szCs w:val="22"/>
        </w:rPr>
      </w:pPr>
    </w:p>
    <w:p w14:paraId="3BC393C7" w14:textId="77777777" w:rsidR="00D25700" w:rsidRDefault="00D25700" w:rsidP="0003210C">
      <w:pPr>
        <w:jc w:val="both"/>
        <w:rPr>
          <w:rFonts w:ascii="Verdana" w:hAnsi="Verdana"/>
          <w:b/>
          <w:bCs/>
          <w:sz w:val="22"/>
          <w:szCs w:val="22"/>
        </w:rPr>
      </w:pPr>
    </w:p>
    <w:p w14:paraId="287C7995" w14:textId="77777777" w:rsidR="00D25700" w:rsidRDefault="00D25700" w:rsidP="0003210C">
      <w:pPr>
        <w:jc w:val="both"/>
        <w:rPr>
          <w:rFonts w:ascii="Verdana" w:hAnsi="Verdana"/>
          <w:b/>
          <w:bCs/>
          <w:sz w:val="22"/>
          <w:szCs w:val="22"/>
        </w:rPr>
      </w:pPr>
    </w:p>
    <w:p w14:paraId="605DD739" w14:textId="77777777" w:rsidR="00D25700" w:rsidRDefault="00D25700" w:rsidP="0003210C">
      <w:pPr>
        <w:jc w:val="both"/>
        <w:rPr>
          <w:rFonts w:ascii="Verdana" w:hAnsi="Verdana"/>
          <w:b/>
          <w:bCs/>
          <w:sz w:val="22"/>
          <w:szCs w:val="22"/>
        </w:rPr>
      </w:pPr>
    </w:p>
    <w:p w14:paraId="74615EB2" w14:textId="77777777" w:rsidR="00D25700" w:rsidRDefault="00D25700" w:rsidP="0003210C">
      <w:pPr>
        <w:jc w:val="both"/>
        <w:rPr>
          <w:rFonts w:ascii="Verdana" w:hAnsi="Verdana"/>
          <w:b/>
          <w:bCs/>
          <w:sz w:val="22"/>
          <w:szCs w:val="22"/>
        </w:rPr>
      </w:pPr>
    </w:p>
    <w:p w14:paraId="4E3347A5" w14:textId="07BE4390" w:rsidR="00D25700" w:rsidRDefault="00FB0D3F" w:rsidP="006376F2">
      <w:pPr>
        <w:pStyle w:val="Descripcin"/>
        <w:jc w:val="center"/>
        <w:rPr>
          <w:rFonts w:ascii="Verdana" w:hAnsi="Verdana"/>
          <w:sz w:val="22"/>
          <w:szCs w:val="22"/>
        </w:rPr>
      </w:pPr>
      <w:bookmarkStart w:id="540" w:name="_Toc231368839"/>
      <w:r w:rsidRPr="00FB0D3F">
        <w:rPr>
          <w:rFonts w:ascii="Verdana" w:hAnsi="Verdana"/>
          <w:sz w:val="22"/>
          <w:szCs w:val="22"/>
        </w:rPr>
        <w:lastRenderedPageBreak/>
        <w:t xml:space="preserve">Gráfica </w:t>
      </w:r>
      <w:r w:rsidRPr="00FB0D3F">
        <w:rPr>
          <w:rFonts w:ascii="Verdana" w:hAnsi="Verdana"/>
          <w:sz w:val="22"/>
          <w:szCs w:val="22"/>
        </w:rPr>
        <w:fldChar w:fldCharType="begin"/>
      </w:r>
      <w:r w:rsidRPr="00FB0D3F">
        <w:rPr>
          <w:rFonts w:ascii="Verdana" w:hAnsi="Verdana"/>
          <w:sz w:val="22"/>
          <w:szCs w:val="22"/>
        </w:rPr>
        <w:instrText xml:space="preserve"> SEQ Gráfica \* ARABIC </w:instrText>
      </w:r>
      <w:r w:rsidRPr="00FB0D3F">
        <w:rPr>
          <w:rFonts w:ascii="Verdana" w:hAnsi="Verdana"/>
          <w:sz w:val="22"/>
          <w:szCs w:val="22"/>
        </w:rPr>
        <w:fldChar w:fldCharType="separate"/>
      </w:r>
      <w:r w:rsidR="00973CF5">
        <w:rPr>
          <w:rFonts w:ascii="Verdana" w:hAnsi="Verdana"/>
          <w:noProof/>
          <w:sz w:val="22"/>
          <w:szCs w:val="22"/>
        </w:rPr>
        <w:t>64</w:t>
      </w:r>
      <w:r w:rsidRPr="00FB0D3F">
        <w:rPr>
          <w:rFonts w:ascii="Verdana" w:hAnsi="Verdana"/>
          <w:sz w:val="22"/>
          <w:szCs w:val="22"/>
        </w:rPr>
        <w:fldChar w:fldCharType="end"/>
      </w:r>
      <w:r w:rsidRPr="00FB0D3F">
        <w:rPr>
          <w:rFonts w:ascii="Verdana" w:hAnsi="Verdana"/>
          <w:sz w:val="22"/>
          <w:szCs w:val="22"/>
        </w:rPr>
        <w:t>. Participación de la población ocupada con y sin discapacidad según ramas de actividad</w:t>
      </w:r>
      <w:bookmarkEnd w:id="540"/>
    </w:p>
    <w:p w14:paraId="31BA5D90" w14:textId="2099FAB2" w:rsidR="0003210C" w:rsidRPr="0059226F" w:rsidRDefault="0003210C" w:rsidP="006376F2">
      <w:pPr>
        <w:pStyle w:val="Descripcin"/>
        <w:jc w:val="center"/>
        <w:rPr>
          <w:rFonts w:ascii="Verdana" w:hAnsi="Verdana"/>
          <w:b w:val="0"/>
          <w:bCs w:val="0"/>
          <w:sz w:val="22"/>
          <w:szCs w:val="22"/>
          <w:lang w:val="es-CO"/>
        </w:rPr>
      </w:pPr>
      <w:r w:rsidRPr="0059226F">
        <w:rPr>
          <w:rFonts w:ascii="Verdana" w:hAnsi="Verdana"/>
          <w:b w:val="0"/>
          <w:noProof/>
          <w:sz w:val="22"/>
          <w:szCs w:val="22"/>
          <w:lang w:val="es-CO"/>
        </w:rPr>
        <w:drawing>
          <wp:inline distT="0" distB="0" distL="0" distR="0" wp14:anchorId="51E04DF2" wp14:editId="13A1D682">
            <wp:extent cx="4694555" cy="2327563"/>
            <wp:effectExtent l="0" t="0" r="0" b="0"/>
            <wp:docPr id="61365350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12">
                      <a:extLst>
                        <a:ext uri="{28A0092B-C50C-407E-A947-70E740481C1C}">
                          <a14:useLocalDpi xmlns:a14="http://schemas.microsoft.com/office/drawing/2010/main" val="0"/>
                        </a:ext>
                      </a:extLst>
                    </a:blip>
                    <a:srcRect t="4852" b="5171"/>
                    <a:stretch>
                      <a:fillRect/>
                    </a:stretch>
                  </pic:blipFill>
                  <pic:spPr bwMode="auto">
                    <a:xfrm>
                      <a:off x="0" y="0"/>
                      <a:ext cx="4699229" cy="2329880"/>
                    </a:xfrm>
                    <a:prstGeom prst="rect">
                      <a:avLst/>
                    </a:prstGeom>
                    <a:noFill/>
                    <a:ln>
                      <a:noFill/>
                    </a:ln>
                    <a:extLst>
                      <a:ext uri="{53640926-AAD7-44D8-BBD7-CCE9431645EC}">
                        <a14:shadowObscured xmlns:a14="http://schemas.microsoft.com/office/drawing/2010/main"/>
                      </a:ext>
                    </a:extLst>
                  </pic:spPr>
                </pic:pic>
              </a:graphicData>
            </a:graphic>
          </wp:inline>
        </w:drawing>
      </w:r>
    </w:p>
    <w:p w14:paraId="7CDE642F" w14:textId="77777777" w:rsidR="00FB0D3F" w:rsidRPr="00CB153D" w:rsidRDefault="00FB0D3F" w:rsidP="00FB0D3F">
      <w:pPr>
        <w:jc w:val="center"/>
        <w:rPr>
          <w:rFonts w:ascii="Verdana" w:hAnsi="Verdana"/>
          <w:b/>
          <w:bCs/>
          <w:sz w:val="32"/>
          <w:szCs w:val="32"/>
        </w:rPr>
      </w:pPr>
      <w:r w:rsidRPr="00CB153D">
        <w:rPr>
          <w:rFonts w:ascii="Verdana" w:hAnsi="Verdana"/>
          <w:b/>
          <w:bCs/>
          <w:sz w:val="22"/>
          <w:szCs w:val="22"/>
        </w:rPr>
        <w:t xml:space="preserve">Fuente: </w:t>
      </w:r>
      <w:r w:rsidRPr="00CB153D">
        <w:rPr>
          <w:rFonts w:ascii="Verdana" w:hAnsi="Verdana"/>
          <w:sz w:val="22"/>
          <w:szCs w:val="22"/>
        </w:rPr>
        <w:t>DANE. Boletín Técnico, Mercado laboral de la población con discapacidad</w:t>
      </w:r>
    </w:p>
    <w:p w14:paraId="4D030E69" w14:textId="77777777" w:rsidR="00FB0D3F" w:rsidRDefault="00FB0D3F" w:rsidP="0003210C">
      <w:pPr>
        <w:jc w:val="both"/>
        <w:rPr>
          <w:rFonts w:ascii="Verdana" w:hAnsi="Verdana"/>
          <w:sz w:val="22"/>
          <w:szCs w:val="22"/>
        </w:rPr>
      </w:pPr>
    </w:p>
    <w:p w14:paraId="55A418A8" w14:textId="5DA639C4" w:rsidR="0003210C" w:rsidRDefault="0003210C" w:rsidP="0003210C">
      <w:pPr>
        <w:jc w:val="both"/>
        <w:rPr>
          <w:rFonts w:ascii="Verdana" w:hAnsi="Verdana"/>
          <w:sz w:val="22"/>
          <w:szCs w:val="22"/>
        </w:rPr>
      </w:pPr>
      <w:r w:rsidRPr="0059226F">
        <w:rPr>
          <w:rFonts w:ascii="Verdana" w:hAnsi="Verdana"/>
          <w:sz w:val="22"/>
          <w:szCs w:val="22"/>
        </w:rPr>
        <w:t>Adicionalmente, si se analiza el comportamiento según la posición ocupacional, el boletín evidencia que el Trabajador por cuenta propia y Obrero, empleado particular fueron las posiciones ocupacionales que presentaron mayor participación de la población ocupada con discapacidad en el trimestre móvil noviembre 2025 – enero 2026, con 55,8% y 27,3%, respectivamente, tal y como se puede ver a continuación:</w:t>
      </w:r>
    </w:p>
    <w:p w14:paraId="2D5E3AF5" w14:textId="77777777" w:rsidR="006376F2" w:rsidRDefault="006376F2" w:rsidP="006376F2">
      <w:pPr>
        <w:jc w:val="center"/>
        <w:rPr>
          <w:rFonts w:ascii="Verdana" w:hAnsi="Verdana"/>
        </w:rPr>
      </w:pPr>
    </w:p>
    <w:p w14:paraId="208B0D37" w14:textId="77777777" w:rsidR="00D25700" w:rsidRDefault="00D25700" w:rsidP="006376F2">
      <w:pPr>
        <w:jc w:val="center"/>
        <w:rPr>
          <w:rFonts w:ascii="Verdana" w:hAnsi="Verdana"/>
        </w:rPr>
      </w:pPr>
    </w:p>
    <w:p w14:paraId="2A7867AF" w14:textId="77777777" w:rsidR="00D25700" w:rsidRDefault="00D25700" w:rsidP="006376F2">
      <w:pPr>
        <w:jc w:val="center"/>
        <w:rPr>
          <w:rFonts w:ascii="Verdana" w:hAnsi="Verdana"/>
        </w:rPr>
      </w:pPr>
    </w:p>
    <w:p w14:paraId="2C6982B5" w14:textId="77777777" w:rsidR="00D25700" w:rsidRDefault="00D25700" w:rsidP="006376F2">
      <w:pPr>
        <w:jc w:val="center"/>
        <w:rPr>
          <w:rFonts w:ascii="Verdana" w:hAnsi="Verdana"/>
        </w:rPr>
      </w:pPr>
    </w:p>
    <w:p w14:paraId="714CD17A" w14:textId="77777777" w:rsidR="00D25700" w:rsidRDefault="00D25700" w:rsidP="006376F2">
      <w:pPr>
        <w:jc w:val="center"/>
        <w:rPr>
          <w:rFonts w:ascii="Verdana" w:hAnsi="Verdana"/>
        </w:rPr>
      </w:pPr>
    </w:p>
    <w:p w14:paraId="79999851" w14:textId="77777777" w:rsidR="00D25700" w:rsidRDefault="00D25700" w:rsidP="006376F2">
      <w:pPr>
        <w:jc w:val="center"/>
        <w:rPr>
          <w:rFonts w:ascii="Verdana" w:hAnsi="Verdana"/>
        </w:rPr>
      </w:pPr>
    </w:p>
    <w:p w14:paraId="2F06FC47" w14:textId="77777777" w:rsidR="00D25700" w:rsidRDefault="00D25700" w:rsidP="006376F2">
      <w:pPr>
        <w:jc w:val="center"/>
        <w:rPr>
          <w:rFonts w:ascii="Verdana" w:hAnsi="Verdana"/>
        </w:rPr>
      </w:pPr>
    </w:p>
    <w:p w14:paraId="76C8A20B" w14:textId="77777777" w:rsidR="00D25700" w:rsidRDefault="00D25700" w:rsidP="006376F2">
      <w:pPr>
        <w:jc w:val="center"/>
        <w:rPr>
          <w:rFonts w:ascii="Verdana" w:hAnsi="Verdana"/>
        </w:rPr>
      </w:pPr>
    </w:p>
    <w:p w14:paraId="0DB0C7F7" w14:textId="77777777" w:rsidR="00D25700" w:rsidRDefault="00D25700" w:rsidP="006376F2">
      <w:pPr>
        <w:jc w:val="center"/>
        <w:rPr>
          <w:rFonts w:ascii="Verdana" w:hAnsi="Verdana"/>
        </w:rPr>
      </w:pPr>
    </w:p>
    <w:p w14:paraId="7176DFFD" w14:textId="77777777" w:rsidR="00D25700" w:rsidRDefault="00D25700" w:rsidP="006376F2">
      <w:pPr>
        <w:jc w:val="center"/>
        <w:rPr>
          <w:rFonts w:ascii="Verdana" w:hAnsi="Verdana"/>
        </w:rPr>
      </w:pPr>
    </w:p>
    <w:p w14:paraId="099A22B2" w14:textId="77777777" w:rsidR="00D25700" w:rsidRDefault="00D25700" w:rsidP="006376F2">
      <w:pPr>
        <w:jc w:val="center"/>
        <w:rPr>
          <w:rFonts w:ascii="Verdana" w:hAnsi="Verdana"/>
        </w:rPr>
      </w:pPr>
    </w:p>
    <w:p w14:paraId="6640A91D" w14:textId="77777777" w:rsidR="00D25700" w:rsidRDefault="00D25700" w:rsidP="006376F2">
      <w:pPr>
        <w:jc w:val="center"/>
        <w:rPr>
          <w:rFonts w:ascii="Verdana" w:hAnsi="Verdana"/>
        </w:rPr>
      </w:pPr>
    </w:p>
    <w:p w14:paraId="65836369" w14:textId="77777777" w:rsidR="00D25700" w:rsidRPr="006376F2" w:rsidRDefault="00D25700" w:rsidP="006376F2">
      <w:pPr>
        <w:jc w:val="center"/>
        <w:rPr>
          <w:rFonts w:ascii="Verdana" w:hAnsi="Verdana"/>
        </w:rPr>
      </w:pPr>
    </w:p>
    <w:p w14:paraId="3BA2D3ED" w14:textId="01F24C7B" w:rsidR="00D25700" w:rsidRDefault="006376F2" w:rsidP="006376F2">
      <w:pPr>
        <w:pStyle w:val="Descripcin"/>
        <w:jc w:val="center"/>
        <w:rPr>
          <w:rFonts w:ascii="Verdana" w:hAnsi="Verdana"/>
          <w:sz w:val="22"/>
          <w:szCs w:val="22"/>
        </w:rPr>
      </w:pPr>
      <w:bookmarkStart w:id="541" w:name="_Toc231368840"/>
      <w:r w:rsidRPr="006376F2">
        <w:rPr>
          <w:rFonts w:ascii="Verdana" w:hAnsi="Verdana"/>
          <w:sz w:val="22"/>
          <w:szCs w:val="22"/>
        </w:rPr>
        <w:lastRenderedPageBreak/>
        <w:t xml:space="preserve">Gráfica </w:t>
      </w:r>
      <w:r w:rsidRPr="006376F2">
        <w:rPr>
          <w:rFonts w:ascii="Verdana" w:hAnsi="Verdana"/>
          <w:sz w:val="22"/>
          <w:szCs w:val="22"/>
        </w:rPr>
        <w:fldChar w:fldCharType="begin"/>
      </w:r>
      <w:r w:rsidRPr="006376F2">
        <w:rPr>
          <w:rFonts w:ascii="Verdana" w:hAnsi="Verdana"/>
          <w:sz w:val="22"/>
          <w:szCs w:val="22"/>
        </w:rPr>
        <w:instrText xml:space="preserve"> SEQ Gráfica \* ARABIC </w:instrText>
      </w:r>
      <w:r w:rsidRPr="006376F2">
        <w:rPr>
          <w:rFonts w:ascii="Verdana" w:hAnsi="Verdana"/>
          <w:sz w:val="22"/>
          <w:szCs w:val="22"/>
        </w:rPr>
        <w:fldChar w:fldCharType="separate"/>
      </w:r>
      <w:r w:rsidR="00973CF5">
        <w:rPr>
          <w:rFonts w:ascii="Verdana" w:hAnsi="Verdana"/>
          <w:noProof/>
          <w:sz w:val="22"/>
          <w:szCs w:val="22"/>
        </w:rPr>
        <w:t>65</w:t>
      </w:r>
      <w:r w:rsidRPr="006376F2">
        <w:rPr>
          <w:rFonts w:ascii="Verdana" w:hAnsi="Verdana"/>
          <w:sz w:val="22"/>
          <w:szCs w:val="22"/>
        </w:rPr>
        <w:fldChar w:fldCharType="end"/>
      </w:r>
      <w:r w:rsidRPr="006376F2">
        <w:rPr>
          <w:rFonts w:ascii="Verdana" w:hAnsi="Verdana"/>
          <w:sz w:val="22"/>
          <w:szCs w:val="22"/>
        </w:rPr>
        <w:t>. Participación de la población ocupada con y sin discapacidad según posición ocupacional</w:t>
      </w:r>
      <w:bookmarkEnd w:id="541"/>
    </w:p>
    <w:p w14:paraId="5E024E3A" w14:textId="77777777" w:rsidR="00D25700" w:rsidRPr="00D25700" w:rsidRDefault="00D25700" w:rsidP="00D25700">
      <w:pPr>
        <w:rPr>
          <w:lang w:val="es-ES" w:eastAsia="en-US"/>
        </w:rPr>
      </w:pPr>
    </w:p>
    <w:p w14:paraId="67A24BFE" w14:textId="2F71CBC3" w:rsidR="0003210C" w:rsidRPr="0059226F" w:rsidRDefault="0003210C" w:rsidP="006376F2">
      <w:pPr>
        <w:pStyle w:val="Descripcin"/>
        <w:jc w:val="center"/>
        <w:rPr>
          <w:rFonts w:ascii="Verdana" w:hAnsi="Verdana"/>
          <w:sz w:val="22"/>
          <w:szCs w:val="22"/>
          <w:lang w:val="es-CO"/>
        </w:rPr>
      </w:pPr>
      <w:r w:rsidRPr="0059226F">
        <w:rPr>
          <w:rFonts w:ascii="Verdana" w:hAnsi="Verdana"/>
          <w:noProof/>
          <w:sz w:val="22"/>
          <w:szCs w:val="22"/>
        </w:rPr>
        <w:drawing>
          <wp:inline distT="0" distB="0" distL="0" distR="0" wp14:anchorId="1CE868E8" wp14:editId="6A5EB37D">
            <wp:extent cx="4207371" cy="2185060"/>
            <wp:effectExtent l="0" t="0" r="3175" b="5715"/>
            <wp:docPr id="8788776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77685" name=""/>
                    <pic:cNvPicPr/>
                  </pic:nvPicPr>
                  <pic:blipFill rotWithShape="1">
                    <a:blip r:embed="rId113"/>
                    <a:srcRect l="27513" t="45548" r="27298" b="12711"/>
                    <a:stretch>
                      <a:fillRect/>
                    </a:stretch>
                  </pic:blipFill>
                  <pic:spPr bwMode="auto">
                    <a:xfrm>
                      <a:off x="0" y="0"/>
                      <a:ext cx="4223961" cy="2193676"/>
                    </a:xfrm>
                    <a:prstGeom prst="rect">
                      <a:avLst/>
                    </a:prstGeom>
                    <a:ln>
                      <a:noFill/>
                    </a:ln>
                    <a:extLst>
                      <a:ext uri="{53640926-AAD7-44D8-BBD7-CCE9431645EC}">
                        <a14:shadowObscured xmlns:a14="http://schemas.microsoft.com/office/drawing/2010/main"/>
                      </a:ext>
                    </a:extLst>
                  </pic:spPr>
                </pic:pic>
              </a:graphicData>
            </a:graphic>
          </wp:inline>
        </w:drawing>
      </w:r>
    </w:p>
    <w:p w14:paraId="4ACA1EBC" w14:textId="77777777" w:rsidR="006376F2" w:rsidRPr="00CB153D" w:rsidRDefault="006376F2" w:rsidP="006376F2">
      <w:pPr>
        <w:jc w:val="center"/>
        <w:rPr>
          <w:rFonts w:ascii="Verdana" w:hAnsi="Verdana"/>
          <w:b/>
          <w:bCs/>
          <w:sz w:val="32"/>
          <w:szCs w:val="32"/>
        </w:rPr>
      </w:pPr>
      <w:r w:rsidRPr="00CB153D">
        <w:rPr>
          <w:rFonts w:ascii="Verdana" w:hAnsi="Verdana"/>
          <w:b/>
          <w:bCs/>
          <w:sz w:val="22"/>
          <w:szCs w:val="22"/>
        </w:rPr>
        <w:t xml:space="preserve">Fuente: </w:t>
      </w:r>
      <w:r w:rsidRPr="00CB153D">
        <w:rPr>
          <w:rFonts w:ascii="Verdana" w:hAnsi="Verdana"/>
          <w:sz w:val="22"/>
          <w:szCs w:val="22"/>
        </w:rPr>
        <w:t>DANE. Boletín Técnico, Mercado laboral de la población con discapacidad</w:t>
      </w:r>
    </w:p>
    <w:p w14:paraId="584A44D6" w14:textId="77777777" w:rsidR="0003210C" w:rsidRPr="0059226F" w:rsidRDefault="0003210C" w:rsidP="0003210C">
      <w:pPr>
        <w:jc w:val="both"/>
        <w:rPr>
          <w:rFonts w:ascii="Verdana" w:hAnsi="Verdana"/>
          <w:sz w:val="22"/>
          <w:szCs w:val="22"/>
        </w:rPr>
      </w:pPr>
    </w:p>
    <w:p w14:paraId="343F9F5C" w14:textId="77777777" w:rsidR="0003210C" w:rsidRPr="0059226F" w:rsidRDefault="0003210C" w:rsidP="0003210C">
      <w:pPr>
        <w:jc w:val="both"/>
        <w:rPr>
          <w:rFonts w:ascii="Verdana" w:hAnsi="Verdana"/>
          <w:sz w:val="22"/>
          <w:szCs w:val="22"/>
        </w:rPr>
      </w:pPr>
      <w:r w:rsidRPr="0059226F">
        <w:rPr>
          <w:rFonts w:ascii="Verdana" w:hAnsi="Verdana"/>
          <w:sz w:val="22"/>
          <w:szCs w:val="22"/>
        </w:rPr>
        <w:t>Cómo se puede evidenciar, la rama de la construcción es la actividad en donde menos población ocupada con discapacidad se incorporó; esto se corresponde con lo encontrado en el marco del estudio “ESTUDIO DE PERFILES OCUPACIONALES PARA EL SECTOR DE LA CONSTRUCCIÓN EN IBAGUÉ” realizado en el año 2013 en articulación con el Departamento para la Prosperidad Social, PNUD, Ministerio de Trabajo, Universidad del Tolima, Gobernación del Tolima, Alcaldía de Ibagué, SENA y DANE</w:t>
      </w:r>
      <w:r w:rsidRPr="0059226F">
        <w:rPr>
          <w:rStyle w:val="Refdenotaalpie"/>
          <w:rFonts w:ascii="Verdana" w:hAnsi="Verdana"/>
          <w:sz w:val="22"/>
          <w:szCs w:val="22"/>
        </w:rPr>
        <w:footnoteReference w:id="65"/>
      </w:r>
      <w:r w:rsidRPr="0059226F">
        <w:rPr>
          <w:rFonts w:ascii="Verdana" w:hAnsi="Verdana"/>
          <w:sz w:val="22"/>
          <w:szCs w:val="22"/>
        </w:rPr>
        <w:t>, en donde se evidenció, en el marco de la investigación adelantada la poca participación que tiene la población con discapacidad en este sector:</w:t>
      </w:r>
    </w:p>
    <w:p w14:paraId="07D14931" w14:textId="77777777" w:rsidR="0003210C" w:rsidRPr="0059226F" w:rsidRDefault="0003210C" w:rsidP="0003210C">
      <w:pPr>
        <w:jc w:val="both"/>
        <w:rPr>
          <w:rFonts w:ascii="Verdana" w:hAnsi="Verdana"/>
          <w:sz w:val="22"/>
          <w:szCs w:val="22"/>
        </w:rPr>
      </w:pPr>
    </w:p>
    <w:p w14:paraId="02F19C32" w14:textId="77777777" w:rsidR="0003210C" w:rsidRDefault="0003210C" w:rsidP="0003210C">
      <w:pPr>
        <w:jc w:val="both"/>
        <w:rPr>
          <w:rFonts w:ascii="Verdana" w:hAnsi="Verdana"/>
          <w:sz w:val="22"/>
          <w:szCs w:val="22"/>
        </w:rPr>
      </w:pPr>
      <w:r w:rsidRPr="0059226F">
        <w:rPr>
          <w:rFonts w:ascii="Verdana" w:hAnsi="Verdana"/>
          <w:sz w:val="22"/>
          <w:szCs w:val="22"/>
        </w:rPr>
        <w:t xml:space="preserve">De acuerdo con el informe se establece que el 68% de las empresas del sector de construcción de la ciudad de Ibagué afirmó contar con población de bajos recursos económicos y el 58% mencionó tener vinculadas personas cabezas de hogar (hombres y/o mujeres), sin </w:t>
      </w:r>
      <w:proofErr w:type="gramStart"/>
      <w:r w:rsidRPr="0059226F">
        <w:rPr>
          <w:rFonts w:ascii="Verdana" w:hAnsi="Verdana"/>
          <w:sz w:val="22"/>
          <w:szCs w:val="22"/>
        </w:rPr>
        <w:t>embargo</w:t>
      </w:r>
      <w:proofErr w:type="gramEnd"/>
      <w:r w:rsidRPr="0059226F">
        <w:rPr>
          <w:rFonts w:ascii="Verdana" w:hAnsi="Verdana"/>
          <w:sz w:val="22"/>
          <w:szCs w:val="22"/>
        </w:rPr>
        <w:t xml:space="preserve"> la proporción de empresas que tienen vinculada población en situación de desplazamiento o discapacitada es muy baja: 11% y 5%, respectivamente, tal y como se puede ver a continuación:</w:t>
      </w:r>
    </w:p>
    <w:p w14:paraId="07EFAB2C" w14:textId="77777777" w:rsidR="007D4023" w:rsidRDefault="007D4023" w:rsidP="0003210C">
      <w:pPr>
        <w:jc w:val="both"/>
        <w:rPr>
          <w:rFonts w:ascii="Verdana" w:hAnsi="Verdana"/>
          <w:sz w:val="22"/>
          <w:szCs w:val="22"/>
        </w:rPr>
      </w:pPr>
    </w:p>
    <w:p w14:paraId="6F0B2687" w14:textId="77777777" w:rsidR="00D25700" w:rsidRDefault="00D25700" w:rsidP="0003210C">
      <w:pPr>
        <w:jc w:val="both"/>
        <w:rPr>
          <w:rFonts w:ascii="Verdana" w:hAnsi="Verdana"/>
          <w:sz w:val="22"/>
          <w:szCs w:val="22"/>
        </w:rPr>
      </w:pPr>
    </w:p>
    <w:p w14:paraId="59CD1D5A" w14:textId="684BB382" w:rsidR="00D25700" w:rsidRDefault="007D4023" w:rsidP="00170FED">
      <w:pPr>
        <w:pStyle w:val="Descripcin"/>
        <w:jc w:val="center"/>
        <w:rPr>
          <w:rFonts w:ascii="Verdana" w:hAnsi="Verdana"/>
          <w:sz w:val="22"/>
          <w:szCs w:val="22"/>
        </w:rPr>
      </w:pPr>
      <w:bookmarkStart w:id="542" w:name="_Toc231368841"/>
      <w:r w:rsidRPr="007D4023">
        <w:rPr>
          <w:rFonts w:ascii="Verdana" w:hAnsi="Verdana"/>
          <w:sz w:val="22"/>
          <w:szCs w:val="22"/>
        </w:rPr>
        <w:lastRenderedPageBreak/>
        <w:t xml:space="preserve">Gráfica </w:t>
      </w:r>
      <w:r w:rsidRPr="007D4023">
        <w:rPr>
          <w:rFonts w:ascii="Verdana" w:hAnsi="Verdana"/>
          <w:sz w:val="22"/>
          <w:szCs w:val="22"/>
        </w:rPr>
        <w:fldChar w:fldCharType="begin"/>
      </w:r>
      <w:r w:rsidRPr="007D4023">
        <w:rPr>
          <w:rFonts w:ascii="Verdana" w:hAnsi="Verdana"/>
          <w:sz w:val="22"/>
          <w:szCs w:val="22"/>
        </w:rPr>
        <w:instrText xml:space="preserve"> SEQ Gráfica \* ARABIC </w:instrText>
      </w:r>
      <w:r w:rsidRPr="007D4023">
        <w:rPr>
          <w:rFonts w:ascii="Verdana" w:hAnsi="Verdana"/>
          <w:sz w:val="22"/>
          <w:szCs w:val="22"/>
        </w:rPr>
        <w:fldChar w:fldCharType="separate"/>
      </w:r>
      <w:r w:rsidR="00973CF5">
        <w:rPr>
          <w:rFonts w:ascii="Verdana" w:hAnsi="Verdana"/>
          <w:noProof/>
          <w:sz w:val="22"/>
          <w:szCs w:val="22"/>
        </w:rPr>
        <w:t>66</w:t>
      </w:r>
      <w:r w:rsidRPr="007D4023">
        <w:rPr>
          <w:rFonts w:ascii="Verdana" w:hAnsi="Verdana"/>
          <w:sz w:val="22"/>
          <w:szCs w:val="22"/>
        </w:rPr>
        <w:fldChar w:fldCharType="end"/>
      </w:r>
      <w:r w:rsidRPr="007D4023">
        <w:rPr>
          <w:rFonts w:ascii="Verdana" w:hAnsi="Verdana"/>
          <w:sz w:val="22"/>
          <w:szCs w:val="22"/>
        </w:rPr>
        <w:t>. Empresas con población pobre y vulnerable vinculada</w:t>
      </w:r>
      <w:bookmarkEnd w:id="542"/>
    </w:p>
    <w:p w14:paraId="02B8043E" w14:textId="197FE050" w:rsidR="0003210C" w:rsidRPr="0059226F" w:rsidRDefault="0003210C" w:rsidP="00170FED">
      <w:pPr>
        <w:pStyle w:val="Descripcin"/>
        <w:jc w:val="center"/>
        <w:rPr>
          <w:rFonts w:ascii="Verdana" w:hAnsi="Verdana"/>
          <w:sz w:val="22"/>
          <w:szCs w:val="22"/>
          <w:lang w:val="es-CO"/>
        </w:rPr>
      </w:pPr>
      <w:r w:rsidRPr="0059226F">
        <w:rPr>
          <w:rFonts w:ascii="Verdana" w:hAnsi="Verdana"/>
          <w:noProof/>
          <w:sz w:val="22"/>
          <w:szCs w:val="22"/>
        </w:rPr>
        <w:drawing>
          <wp:inline distT="0" distB="0" distL="0" distR="0" wp14:anchorId="681432F9" wp14:editId="4606EA81">
            <wp:extent cx="4184650" cy="1622089"/>
            <wp:effectExtent l="0" t="0" r="6350" b="0"/>
            <wp:docPr id="1474668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668722" name=""/>
                    <pic:cNvPicPr/>
                  </pic:nvPicPr>
                  <pic:blipFill rotWithShape="1">
                    <a:blip r:embed="rId114"/>
                    <a:srcRect l="28435" t="63974" r="29142" b="6780"/>
                    <a:stretch>
                      <a:fillRect/>
                    </a:stretch>
                  </pic:blipFill>
                  <pic:spPr bwMode="auto">
                    <a:xfrm>
                      <a:off x="0" y="0"/>
                      <a:ext cx="4204789" cy="1629895"/>
                    </a:xfrm>
                    <a:prstGeom prst="rect">
                      <a:avLst/>
                    </a:prstGeom>
                    <a:ln>
                      <a:noFill/>
                    </a:ln>
                    <a:extLst>
                      <a:ext uri="{53640926-AAD7-44D8-BBD7-CCE9431645EC}">
                        <a14:shadowObscured xmlns:a14="http://schemas.microsoft.com/office/drawing/2010/main"/>
                      </a:ext>
                    </a:extLst>
                  </pic:spPr>
                </pic:pic>
              </a:graphicData>
            </a:graphic>
          </wp:inline>
        </w:drawing>
      </w:r>
    </w:p>
    <w:p w14:paraId="68876C38" w14:textId="3F835514" w:rsidR="0003210C" w:rsidRPr="00CB153D" w:rsidRDefault="00170FED" w:rsidP="00170FED">
      <w:pPr>
        <w:jc w:val="center"/>
        <w:rPr>
          <w:rFonts w:ascii="Verdana" w:hAnsi="Verdana"/>
          <w:sz w:val="22"/>
          <w:szCs w:val="22"/>
        </w:rPr>
      </w:pPr>
      <w:r w:rsidRPr="00CB153D">
        <w:rPr>
          <w:rFonts w:ascii="Verdana" w:hAnsi="Verdana"/>
          <w:b/>
          <w:bCs/>
          <w:sz w:val="22"/>
          <w:szCs w:val="22"/>
        </w:rPr>
        <w:t>Fuente:</w:t>
      </w:r>
      <w:r w:rsidRPr="00CB153D">
        <w:rPr>
          <w:rFonts w:ascii="Verdana" w:hAnsi="Verdana"/>
          <w:sz w:val="22"/>
          <w:szCs w:val="22"/>
        </w:rPr>
        <w:t xml:space="preserve"> Estudio de perfiles ocupacionales para el sector de la construcción en Ibagué. PNUD, DPS y Universidad del Tolima</w:t>
      </w:r>
    </w:p>
    <w:p w14:paraId="24F63FE3" w14:textId="77777777" w:rsidR="00170FED" w:rsidRPr="0059226F" w:rsidRDefault="00170FED" w:rsidP="0003210C">
      <w:pPr>
        <w:jc w:val="both"/>
        <w:rPr>
          <w:rFonts w:ascii="Verdana" w:hAnsi="Verdana"/>
          <w:sz w:val="22"/>
          <w:szCs w:val="22"/>
        </w:rPr>
      </w:pPr>
    </w:p>
    <w:p w14:paraId="2E4F89A6" w14:textId="77777777" w:rsidR="0003210C" w:rsidRPr="0059226F" w:rsidRDefault="0003210C" w:rsidP="0003210C">
      <w:pPr>
        <w:jc w:val="both"/>
        <w:rPr>
          <w:rFonts w:ascii="Verdana" w:hAnsi="Verdana"/>
          <w:sz w:val="22"/>
          <w:szCs w:val="22"/>
        </w:rPr>
      </w:pPr>
      <w:r w:rsidRPr="0059226F">
        <w:rPr>
          <w:rFonts w:ascii="Verdana" w:hAnsi="Verdana"/>
          <w:sz w:val="22"/>
          <w:szCs w:val="22"/>
        </w:rPr>
        <w:t>Según la condición de vulnerabilidad, las empresas consultadas manifestaron interés por vincular principalmente a personas de bajos recursos económicos y madres/padres cabezas de hogar; sin embargo, el interés no es el mismo cuando se trata de población desplazada o con discapacidad. La mayoría de las empresas (84%) también declararon interés en participar en una política de generación de oportunidades laborales para la población vulnerable:</w:t>
      </w:r>
    </w:p>
    <w:p w14:paraId="798D3155" w14:textId="4AE0B24C" w:rsidR="00111EEC" w:rsidRDefault="00111EEC" w:rsidP="00111EEC">
      <w:pPr>
        <w:keepNext/>
        <w:jc w:val="center"/>
      </w:pPr>
    </w:p>
    <w:p w14:paraId="26163189" w14:textId="68EB5DBD" w:rsidR="00D25700" w:rsidRDefault="00111EEC" w:rsidP="00111EEC">
      <w:pPr>
        <w:pStyle w:val="Descripcin"/>
        <w:jc w:val="center"/>
        <w:rPr>
          <w:rFonts w:ascii="Verdana" w:hAnsi="Verdana"/>
          <w:sz w:val="22"/>
          <w:szCs w:val="22"/>
        </w:rPr>
      </w:pPr>
      <w:bookmarkStart w:id="543" w:name="_Toc231368842"/>
      <w:r w:rsidRPr="00111EEC">
        <w:rPr>
          <w:rFonts w:ascii="Verdana" w:hAnsi="Verdana"/>
          <w:sz w:val="22"/>
          <w:szCs w:val="22"/>
        </w:rPr>
        <w:t xml:space="preserve">Gráfica </w:t>
      </w:r>
      <w:r w:rsidRPr="00111EEC">
        <w:rPr>
          <w:rFonts w:ascii="Verdana" w:hAnsi="Verdana"/>
          <w:sz w:val="22"/>
          <w:szCs w:val="22"/>
        </w:rPr>
        <w:fldChar w:fldCharType="begin"/>
      </w:r>
      <w:r w:rsidRPr="00111EEC">
        <w:rPr>
          <w:rFonts w:ascii="Verdana" w:hAnsi="Verdana"/>
          <w:sz w:val="22"/>
          <w:szCs w:val="22"/>
        </w:rPr>
        <w:instrText xml:space="preserve"> SEQ Gráfica \* ARABIC </w:instrText>
      </w:r>
      <w:r w:rsidRPr="00111EEC">
        <w:rPr>
          <w:rFonts w:ascii="Verdana" w:hAnsi="Verdana"/>
          <w:sz w:val="22"/>
          <w:szCs w:val="22"/>
        </w:rPr>
        <w:fldChar w:fldCharType="separate"/>
      </w:r>
      <w:r w:rsidR="00973CF5">
        <w:rPr>
          <w:rFonts w:ascii="Verdana" w:hAnsi="Verdana"/>
          <w:noProof/>
          <w:sz w:val="22"/>
          <w:szCs w:val="22"/>
        </w:rPr>
        <w:t>67</w:t>
      </w:r>
      <w:r w:rsidRPr="00111EEC">
        <w:rPr>
          <w:rFonts w:ascii="Verdana" w:hAnsi="Verdana"/>
          <w:sz w:val="22"/>
          <w:szCs w:val="22"/>
        </w:rPr>
        <w:fldChar w:fldCharType="end"/>
      </w:r>
      <w:r w:rsidRPr="00111EEC">
        <w:rPr>
          <w:rFonts w:ascii="Verdana" w:hAnsi="Verdana"/>
          <w:sz w:val="22"/>
          <w:szCs w:val="22"/>
        </w:rPr>
        <w:t>. Empresas con interés de vincular población vulnerable</w:t>
      </w:r>
      <w:bookmarkEnd w:id="543"/>
    </w:p>
    <w:p w14:paraId="7B33DCD0" w14:textId="19D1F0F9" w:rsidR="00111EEC" w:rsidRDefault="00111EEC" w:rsidP="00111EEC">
      <w:pPr>
        <w:pStyle w:val="Descripcin"/>
        <w:jc w:val="center"/>
        <w:rPr>
          <w:rFonts w:ascii="Verdana" w:hAnsi="Verdana"/>
          <w:sz w:val="22"/>
          <w:szCs w:val="22"/>
        </w:rPr>
      </w:pPr>
      <w:r w:rsidRPr="0059226F">
        <w:rPr>
          <w:rFonts w:ascii="Verdana" w:hAnsi="Verdana"/>
          <w:noProof/>
          <w:sz w:val="22"/>
          <w:szCs w:val="22"/>
        </w:rPr>
        <w:drawing>
          <wp:inline distT="0" distB="0" distL="0" distR="0" wp14:anchorId="505FF5BF" wp14:editId="422674CB">
            <wp:extent cx="4323080" cy="1496290"/>
            <wp:effectExtent l="0" t="0" r="1270" b="8890"/>
            <wp:docPr id="14174387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38774" name=""/>
                    <pic:cNvPicPr/>
                  </pic:nvPicPr>
                  <pic:blipFill rotWithShape="1">
                    <a:blip r:embed="rId115"/>
                    <a:srcRect l="29050" t="48955" r="29296" b="25402"/>
                    <a:stretch>
                      <a:fillRect/>
                    </a:stretch>
                  </pic:blipFill>
                  <pic:spPr bwMode="auto">
                    <a:xfrm>
                      <a:off x="0" y="0"/>
                      <a:ext cx="4354026" cy="1507001"/>
                    </a:xfrm>
                    <a:prstGeom prst="rect">
                      <a:avLst/>
                    </a:prstGeom>
                    <a:ln>
                      <a:noFill/>
                    </a:ln>
                    <a:extLst>
                      <a:ext uri="{53640926-AAD7-44D8-BBD7-CCE9431645EC}">
                        <a14:shadowObscured xmlns:a14="http://schemas.microsoft.com/office/drawing/2010/main"/>
                      </a:ext>
                    </a:extLst>
                  </pic:spPr>
                </pic:pic>
              </a:graphicData>
            </a:graphic>
          </wp:inline>
        </w:drawing>
      </w:r>
    </w:p>
    <w:p w14:paraId="100135D1" w14:textId="77777777" w:rsidR="00111EEC" w:rsidRPr="00CB153D" w:rsidRDefault="00111EEC" w:rsidP="00111EEC">
      <w:pPr>
        <w:jc w:val="center"/>
        <w:rPr>
          <w:rFonts w:ascii="Verdana" w:hAnsi="Verdana"/>
          <w:sz w:val="22"/>
          <w:szCs w:val="22"/>
        </w:rPr>
      </w:pPr>
      <w:r w:rsidRPr="00CB153D">
        <w:rPr>
          <w:rFonts w:ascii="Verdana" w:hAnsi="Verdana"/>
          <w:b/>
          <w:bCs/>
          <w:sz w:val="22"/>
          <w:szCs w:val="22"/>
        </w:rPr>
        <w:t>Fuente:</w:t>
      </w:r>
      <w:r w:rsidRPr="00CB153D">
        <w:rPr>
          <w:rFonts w:ascii="Verdana" w:hAnsi="Verdana"/>
          <w:sz w:val="22"/>
          <w:szCs w:val="22"/>
        </w:rPr>
        <w:t xml:space="preserve"> Estudio de perfiles ocupacionales para el sector de la construcción en Ibagué. PNUD, DPS y Universidad del Tolima</w:t>
      </w:r>
    </w:p>
    <w:p w14:paraId="2E8850E2" w14:textId="77777777" w:rsidR="00111EEC" w:rsidRDefault="00111EEC" w:rsidP="0003210C">
      <w:pPr>
        <w:jc w:val="both"/>
        <w:rPr>
          <w:rFonts w:ascii="Verdana" w:hAnsi="Verdana"/>
          <w:sz w:val="22"/>
          <w:szCs w:val="22"/>
        </w:rPr>
      </w:pPr>
    </w:p>
    <w:p w14:paraId="46395C6C" w14:textId="77777777" w:rsidR="00111EEC" w:rsidRDefault="00111EEC" w:rsidP="0003210C">
      <w:pPr>
        <w:jc w:val="both"/>
        <w:rPr>
          <w:rFonts w:ascii="Verdana" w:hAnsi="Verdana"/>
          <w:sz w:val="22"/>
          <w:szCs w:val="22"/>
        </w:rPr>
      </w:pPr>
    </w:p>
    <w:p w14:paraId="62D617DC" w14:textId="77777777" w:rsidR="00111EEC" w:rsidRDefault="00111EEC" w:rsidP="0003210C">
      <w:pPr>
        <w:jc w:val="both"/>
        <w:rPr>
          <w:rFonts w:ascii="Verdana" w:hAnsi="Verdana"/>
          <w:sz w:val="22"/>
          <w:szCs w:val="22"/>
        </w:rPr>
      </w:pPr>
    </w:p>
    <w:p w14:paraId="14E2C6F2" w14:textId="77777777" w:rsidR="00111EEC" w:rsidRPr="0059226F" w:rsidRDefault="00111EEC" w:rsidP="0003210C">
      <w:pPr>
        <w:jc w:val="both"/>
        <w:rPr>
          <w:rFonts w:ascii="Verdana" w:hAnsi="Verdana"/>
          <w:sz w:val="22"/>
          <w:szCs w:val="22"/>
        </w:rPr>
      </w:pPr>
    </w:p>
    <w:p w14:paraId="26C3278A" w14:textId="77777777" w:rsidR="0003210C" w:rsidRPr="0059226F" w:rsidRDefault="0003210C" w:rsidP="0003210C">
      <w:pPr>
        <w:jc w:val="both"/>
        <w:rPr>
          <w:rFonts w:ascii="Verdana" w:hAnsi="Verdana"/>
          <w:sz w:val="22"/>
          <w:szCs w:val="22"/>
        </w:rPr>
      </w:pPr>
      <w:r w:rsidRPr="0059226F">
        <w:rPr>
          <w:rFonts w:ascii="Verdana" w:hAnsi="Verdana"/>
          <w:sz w:val="22"/>
          <w:szCs w:val="22"/>
        </w:rPr>
        <w:t xml:space="preserve">En el marco del informe realizado, se pudo establecer que las empresas integradas en el estudio consideran que las personas con discapacidad no pueden desempeñarse eficazmente debido a los requerimientos físicos propios de las actividades del sector, además de no disponer de infraestructura adecuada para garantizar su movilidad. </w:t>
      </w:r>
    </w:p>
    <w:p w14:paraId="27D09381" w14:textId="77777777" w:rsidR="0003210C" w:rsidRPr="0059226F" w:rsidRDefault="0003210C" w:rsidP="0003210C">
      <w:pPr>
        <w:jc w:val="both"/>
        <w:rPr>
          <w:rFonts w:ascii="Verdana" w:hAnsi="Verdana"/>
          <w:sz w:val="22"/>
          <w:szCs w:val="22"/>
        </w:rPr>
      </w:pPr>
    </w:p>
    <w:p w14:paraId="07B78273" w14:textId="6B41353F" w:rsidR="0003210C" w:rsidRPr="0059226F" w:rsidRDefault="0003210C" w:rsidP="0003210C">
      <w:pPr>
        <w:jc w:val="both"/>
        <w:rPr>
          <w:rFonts w:ascii="Verdana" w:hAnsi="Verdana"/>
          <w:sz w:val="22"/>
          <w:szCs w:val="22"/>
          <w:highlight w:val="yellow"/>
        </w:rPr>
      </w:pPr>
      <w:r w:rsidRPr="0059226F">
        <w:rPr>
          <w:rFonts w:ascii="Verdana" w:hAnsi="Verdana"/>
          <w:sz w:val="22"/>
          <w:szCs w:val="22"/>
        </w:rPr>
        <w:t>Este tipo de conclusiones se articulan con los bajos niveles de participación de la población en condición de discapacidad en el marco de la rama de la Construcción como se pudo establecer previamente de conformidad con el boletín del DANE. Sin embargo, y en el marco de la intencionalidad del Decreto 278 de 2026, este tipo de mecanismos se configuran en una posibilidad para fomentar la participación de esta población en el marco del sector de infraestructura</w:t>
      </w:r>
      <w:r w:rsidR="00C567F5">
        <w:rPr>
          <w:rFonts w:ascii="Verdana" w:hAnsi="Verdana"/>
          <w:sz w:val="22"/>
          <w:szCs w:val="22"/>
        </w:rPr>
        <w:t xml:space="preserve"> de agua potable y saneamiento básico</w:t>
      </w:r>
      <w:r w:rsidRPr="0059226F">
        <w:rPr>
          <w:rFonts w:ascii="Verdana" w:hAnsi="Verdana"/>
          <w:sz w:val="22"/>
          <w:szCs w:val="22"/>
        </w:rPr>
        <w:t>.</w:t>
      </w:r>
    </w:p>
    <w:p w14:paraId="26142D4D" w14:textId="77777777" w:rsidR="0003210C" w:rsidRPr="0059226F" w:rsidRDefault="0003210C" w:rsidP="0003210C">
      <w:pPr>
        <w:jc w:val="both"/>
        <w:rPr>
          <w:rFonts w:ascii="Verdana" w:hAnsi="Verdana"/>
          <w:sz w:val="22"/>
          <w:szCs w:val="22"/>
          <w:highlight w:val="yellow"/>
        </w:rPr>
      </w:pPr>
    </w:p>
    <w:p w14:paraId="5C0A7E69" w14:textId="64D11A65" w:rsidR="00F70F12" w:rsidRPr="00611315" w:rsidRDefault="00031CE6" w:rsidP="00447A32">
      <w:pPr>
        <w:pStyle w:val="Ttulo1"/>
        <w:numPr>
          <w:ilvl w:val="0"/>
          <w:numId w:val="44"/>
        </w:numPr>
        <w:jc w:val="both"/>
        <w:rPr>
          <w:rFonts w:ascii="Verdana" w:hAnsi="Verdana" w:cs="Arial"/>
          <w:color w:val="auto"/>
          <w:szCs w:val="22"/>
        </w:rPr>
      </w:pPr>
      <w:bookmarkStart w:id="544" w:name="_Toc199139807"/>
      <w:bookmarkStart w:id="545" w:name="_Toc199140244"/>
      <w:bookmarkStart w:id="546" w:name="_Toc231368618"/>
      <w:bookmarkEnd w:id="544"/>
      <w:bookmarkEnd w:id="545"/>
      <w:r w:rsidRPr="00611315">
        <w:rPr>
          <w:rFonts w:ascii="Verdana" w:eastAsia="Calibri" w:hAnsi="Verdana" w:cs="Arial"/>
          <w:color w:val="auto"/>
          <w:szCs w:val="22"/>
        </w:rPr>
        <w:t xml:space="preserve">JUSTIFICACIÓN Y ANÁLISIS DE LA ESCOGENCIA DE LOS CRITERIOS DIFERENCIALES INCORPORADOS EN LOS </w:t>
      </w:r>
      <w:r w:rsidRPr="00611315">
        <w:rPr>
          <w:rFonts w:ascii="Verdana" w:hAnsi="Verdana" w:cs="Arial"/>
          <w:color w:val="auto"/>
          <w:szCs w:val="22"/>
        </w:rPr>
        <w:t>DOCUMENTOS TIPO DE OBRA PÚBLICA DE INFRAESTRUCTURA DE AGUA POTABLE Y SANEAMIENTO BÁSICO EN FAVOR DE LAS MIPYME, EMPRENDIMIENTOS Y EMPRESAS DE MUJERES Y EMPRENDIMIENTOS Y EMPRESAS DE POBLACIÓN EN CONDICIÓN DE DISCAPACIDAD.</w:t>
      </w:r>
      <w:bookmarkEnd w:id="546"/>
    </w:p>
    <w:p w14:paraId="6EA28506" w14:textId="3D44620C" w:rsidR="004B6604" w:rsidRPr="00611315" w:rsidRDefault="00031CE6" w:rsidP="00447A32">
      <w:pPr>
        <w:pStyle w:val="Ttulo2"/>
        <w:numPr>
          <w:ilvl w:val="0"/>
          <w:numId w:val="47"/>
        </w:numPr>
        <w:ind w:left="426"/>
        <w:jc w:val="both"/>
        <w:rPr>
          <w:rFonts w:ascii="Verdana" w:hAnsi="Verdana" w:cs="Arial"/>
          <w:color w:val="auto"/>
          <w:szCs w:val="22"/>
        </w:rPr>
      </w:pPr>
      <w:bookmarkStart w:id="547" w:name="_Toc199140246"/>
      <w:bookmarkStart w:id="548" w:name="_Toc231368619"/>
      <w:bookmarkEnd w:id="547"/>
      <w:r w:rsidRPr="00611315">
        <w:rPr>
          <w:rFonts w:ascii="Verdana" w:hAnsi="Verdana" w:cs="Arial"/>
          <w:color w:val="auto"/>
          <w:szCs w:val="22"/>
        </w:rPr>
        <w:t>CRITERIOS ESCOGIDOS COMO REQUISITOS HABILITANTES DIFERENCIALES EN FAVOR DE LAS MIPYMES (EXPERIENCIA / FINANCIEROS / JURÍDICOS)</w:t>
      </w:r>
      <w:bookmarkEnd w:id="548"/>
    </w:p>
    <w:p w14:paraId="7D294C88" w14:textId="77777777" w:rsidR="00D271A0" w:rsidRPr="00611315" w:rsidRDefault="00D271A0" w:rsidP="00D271A0">
      <w:pPr>
        <w:rPr>
          <w:rFonts w:ascii="Verdana" w:hAnsi="Verdana" w:cs="Arial"/>
          <w:sz w:val="22"/>
          <w:szCs w:val="22"/>
        </w:rPr>
      </w:pPr>
    </w:p>
    <w:p w14:paraId="677B148E" w14:textId="0182685B" w:rsidR="006B7CFB" w:rsidRPr="00954F93" w:rsidRDefault="006B7CFB" w:rsidP="006B7CFB">
      <w:pPr>
        <w:jc w:val="both"/>
        <w:rPr>
          <w:rFonts w:ascii="Verdana" w:hAnsi="Verdana" w:cs="Arial"/>
          <w:b/>
          <w:sz w:val="22"/>
          <w:szCs w:val="22"/>
        </w:rPr>
      </w:pPr>
      <w:r w:rsidRPr="00954F93">
        <w:rPr>
          <w:rFonts w:ascii="Verdana" w:hAnsi="Verdana" w:cs="Arial"/>
          <w:b/>
          <w:sz w:val="22"/>
          <w:szCs w:val="22"/>
        </w:rPr>
        <w:t xml:space="preserve">Experiencia </w:t>
      </w:r>
    </w:p>
    <w:p w14:paraId="77D069C5" w14:textId="77777777" w:rsidR="006B7CFB" w:rsidRPr="00954F93" w:rsidRDefault="006B7CFB" w:rsidP="006B7CFB">
      <w:pPr>
        <w:jc w:val="both"/>
        <w:rPr>
          <w:rFonts w:ascii="Verdana" w:hAnsi="Verdana" w:cs="Arial"/>
          <w:sz w:val="22"/>
          <w:szCs w:val="22"/>
          <w:lang w:val="es-ES"/>
        </w:rPr>
      </w:pPr>
    </w:p>
    <w:p w14:paraId="117690C6" w14:textId="5AE3742C" w:rsidR="006B7CFB" w:rsidRPr="00954F93" w:rsidRDefault="006B7CFB" w:rsidP="006B7CFB">
      <w:pPr>
        <w:jc w:val="both"/>
        <w:rPr>
          <w:rFonts w:ascii="Verdana" w:hAnsi="Verdana" w:cs="Arial"/>
          <w:sz w:val="22"/>
          <w:szCs w:val="22"/>
          <w:lang w:val="es-ES"/>
        </w:rPr>
      </w:pPr>
      <w:r w:rsidRPr="00954F93">
        <w:rPr>
          <w:rFonts w:ascii="Verdana" w:hAnsi="Verdana" w:cs="Arial"/>
          <w:sz w:val="22"/>
          <w:szCs w:val="22"/>
          <w:lang w:val="es-ES"/>
        </w:rPr>
        <w:t xml:space="preserve">La Agencia Nacional de Contratación Pública – Colombia Compra Eficiente, como ente rector de la contratación pública, ha determinado mantener los requisitos habilitantes diferenciales en favor de las </w:t>
      </w:r>
      <w:r w:rsidR="00086FA9" w:rsidRPr="00611315">
        <w:rPr>
          <w:rFonts w:ascii="Verdana" w:hAnsi="Verdana" w:cs="Arial"/>
          <w:sz w:val="22"/>
          <w:szCs w:val="22"/>
          <w:lang w:val="es-ES"/>
        </w:rPr>
        <w:t>MiPymes</w:t>
      </w:r>
      <w:r w:rsidRPr="00954F93">
        <w:rPr>
          <w:rFonts w:ascii="Verdana" w:hAnsi="Verdana" w:cs="Arial"/>
          <w:sz w:val="22"/>
          <w:szCs w:val="22"/>
          <w:lang w:val="es-ES"/>
        </w:rPr>
        <w:t xml:space="preserve">, en lo relacionado con los criterios de Experiencia, para los pliegos tipo que se modifican actualmente </w:t>
      </w:r>
      <w:r w:rsidR="00982D5E" w:rsidRPr="00611315">
        <w:rPr>
          <w:rFonts w:ascii="Verdana" w:hAnsi="Verdana" w:cs="Arial"/>
          <w:sz w:val="22"/>
          <w:szCs w:val="22"/>
          <w:lang w:val="es-ES"/>
        </w:rPr>
        <w:t xml:space="preserve">del sector de agua potable y </w:t>
      </w:r>
      <w:r w:rsidR="00171458" w:rsidRPr="00611315">
        <w:rPr>
          <w:rFonts w:ascii="Verdana" w:hAnsi="Verdana" w:cs="Arial"/>
          <w:sz w:val="22"/>
          <w:szCs w:val="22"/>
          <w:lang w:val="es-ES"/>
        </w:rPr>
        <w:t>saneamiento</w:t>
      </w:r>
      <w:r w:rsidR="00982D5E" w:rsidRPr="00611315">
        <w:rPr>
          <w:rFonts w:ascii="Verdana" w:hAnsi="Verdana" w:cs="Arial"/>
          <w:sz w:val="22"/>
          <w:szCs w:val="22"/>
          <w:lang w:val="es-ES"/>
        </w:rPr>
        <w:t xml:space="preserve"> básico</w:t>
      </w:r>
      <w:r w:rsidRPr="00954F93">
        <w:rPr>
          <w:rFonts w:ascii="Verdana" w:hAnsi="Verdana" w:cs="Arial"/>
          <w:sz w:val="22"/>
          <w:szCs w:val="22"/>
          <w:lang w:val="es-ES"/>
        </w:rPr>
        <w:t xml:space="preserve">, para la modalidad de Licitación Pública. </w:t>
      </w:r>
      <w:r w:rsidR="59EB69D4" w:rsidRPr="00954F93">
        <w:rPr>
          <w:rFonts w:ascii="Verdana" w:hAnsi="Verdana" w:cs="Arial"/>
          <w:sz w:val="22"/>
          <w:szCs w:val="22"/>
          <w:lang w:val="es-ES"/>
        </w:rPr>
        <w:t>En este sentido, considera necesario mantener reglas objetivas que garanticen una aplicación uniforme de estos criterios, para precaver interpretaciones o la inclusión de requisitos incongruentes con los propósitos perseguidos por estos incentivos contractuales y las normas sustentan.</w:t>
      </w:r>
      <w:r w:rsidRPr="00954F93">
        <w:rPr>
          <w:rFonts w:ascii="Verdana" w:hAnsi="Verdana" w:cs="Arial"/>
          <w:sz w:val="22"/>
          <w:szCs w:val="22"/>
          <w:lang w:val="es-ES"/>
        </w:rPr>
        <w:t xml:space="preserve"> </w:t>
      </w:r>
    </w:p>
    <w:p w14:paraId="0C9CA61E" w14:textId="77777777" w:rsidR="006B7CFB" w:rsidRPr="00611315" w:rsidRDefault="006B7CFB" w:rsidP="006B7CFB">
      <w:pPr>
        <w:jc w:val="both"/>
        <w:rPr>
          <w:rFonts w:ascii="Verdana" w:hAnsi="Verdana" w:cs="Arial"/>
          <w:sz w:val="22"/>
          <w:szCs w:val="22"/>
          <w:highlight w:val="yellow"/>
          <w:lang w:val="es-ES"/>
        </w:rPr>
      </w:pPr>
    </w:p>
    <w:p w14:paraId="709D8A7D" w14:textId="62EC95F9" w:rsidR="006B7CFB" w:rsidRPr="00954F93" w:rsidRDefault="006B7CFB" w:rsidP="006B7CFB">
      <w:pPr>
        <w:jc w:val="both"/>
        <w:rPr>
          <w:rFonts w:ascii="Verdana" w:hAnsi="Verdana" w:cs="Arial"/>
          <w:sz w:val="22"/>
          <w:szCs w:val="22"/>
          <w:lang w:val="es-ES"/>
        </w:rPr>
      </w:pPr>
      <w:r w:rsidRPr="00954F93">
        <w:rPr>
          <w:rFonts w:ascii="Verdana" w:hAnsi="Verdana" w:cs="Arial"/>
          <w:sz w:val="22"/>
          <w:szCs w:val="22"/>
          <w:lang w:val="es-ES"/>
        </w:rPr>
        <w:t>El documento base actual establece en el numeral 3.5.</w:t>
      </w:r>
      <w:r w:rsidR="00DE7BA1" w:rsidRPr="00954F93">
        <w:rPr>
          <w:rFonts w:ascii="Verdana" w:hAnsi="Verdana" w:cs="Arial"/>
          <w:sz w:val="22"/>
          <w:szCs w:val="22"/>
          <w:lang w:val="es-ES"/>
        </w:rPr>
        <w:t>9</w:t>
      </w:r>
      <w:r w:rsidRPr="00954F93">
        <w:rPr>
          <w:rFonts w:ascii="Verdana" w:hAnsi="Verdana" w:cs="Arial"/>
          <w:sz w:val="22"/>
          <w:szCs w:val="22"/>
          <w:lang w:val="es-ES"/>
        </w:rPr>
        <w:t xml:space="preserve">. la siguiente relación de contratos, frente al presupuesto oficial, consideración que a juicio de la agencia se debe </w:t>
      </w:r>
      <w:r w:rsidRPr="00954F93">
        <w:rPr>
          <w:rFonts w:ascii="Verdana" w:hAnsi="Verdana" w:cs="Arial"/>
          <w:sz w:val="22"/>
          <w:szCs w:val="22"/>
          <w:lang w:val="es-ES"/>
        </w:rPr>
        <w:lastRenderedPageBreak/>
        <w:t>mantener en la modificación que actualmente se plantea, por cuanto, se considera que los proponentes han venido cumpliendo con esta consideración en los procesos que se han adelantado y se ha confirmado por las entidades técnicas especializadas en las mesas de trabajo.</w:t>
      </w:r>
    </w:p>
    <w:p w14:paraId="6F64AF0B" w14:textId="77777777" w:rsidR="000030AD" w:rsidRPr="00954F93" w:rsidRDefault="000030AD" w:rsidP="006B7CFB">
      <w:pPr>
        <w:jc w:val="both"/>
        <w:rPr>
          <w:rFonts w:ascii="Verdana" w:hAnsi="Verdana" w:cs="Arial"/>
          <w:sz w:val="22"/>
          <w:szCs w:val="22"/>
          <w:lang w:val="es-ES"/>
        </w:rPr>
      </w:pPr>
    </w:p>
    <w:p w14:paraId="72821637" w14:textId="4B36FB70" w:rsidR="00500BEB" w:rsidRPr="00954F93" w:rsidRDefault="00500BEB" w:rsidP="005C7E10">
      <w:pPr>
        <w:pStyle w:val="Descripcin"/>
        <w:spacing w:after="0"/>
        <w:jc w:val="center"/>
        <w:rPr>
          <w:rFonts w:ascii="Verdana" w:hAnsi="Verdana" w:cs="Arial"/>
          <w:sz w:val="24"/>
          <w:szCs w:val="24"/>
        </w:rPr>
      </w:pPr>
      <w:bookmarkStart w:id="549" w:name="_Toc180136835"/>
      <w:bookmarkStart w:id="550" w:name="_Toc231368699"/>
      <w:r w:rsidRPr="00954F93">
        <w:rPr>
          <w:rFonts w:ascii="Verdana" w:hAnsi="Verdana"/>
          <w:sz w:val="22"/>
          <w:szCs w:val="22"/>
        </w:rPr>
        <w:t xml:space="preserve">Tabla </w:t>
      </w:r>
      <w:r w:rsidRPr="00954F93">
        <w:rPr>
          <w:rFonts w:ascii="Verdana" w:hAnsi="Verdana"/>
          <w:sz w:val="22"/>
          <w:szCs w:val="22"/>
        </w:rPr>
        <w:fldChar w:fldCharType="begin"/>
      </w:r>
      <w:r w:rsidRPr="00954F93">
        <w:rPr>
          <w:rFonts w:ascii="Verdana" w:hAnsi="Verdana"/>
          <w:sz w:val="22"/>
          <w:szCs w:val="22"/>
        </w:rPr>
        <w:instrText xml:space="preserve"> SEQ Tabla \* ARABIC </w:instrText>
      </w:r>
      <w:r w:rsidRPr="00954F93">
        <w:rPr>
          <w:rFonts w:ascii="Verdana" w:hAnsi="Verdana"/>
          <w:sz w:val="22"/>
          <w:szCs w:val="22"/>
        </w:rPr>
        <w:fldChar w:fldCharType="separate"/>
      </w:r>
      <w:r w:rsidR="00EA6305">
        <w:rPr>
          <w:rFonts w:ascii="Verdana" w:hAnsi="Verdana"/>
          <w:noProof/>
          <w:sz w:val="22"/>
          <w:szCs w:val="22"/>
        </w:rPr>
        <w:t>32</w:t>
      </w:r>
      <w:r w:rsidRPr="00954F93">
        <w:rPr>
          <w:rFonts w:ascii="Verdana" w:hAnsi="Verdana"/>
          <w:sz w:val="22"/>
          <w:szCs w:val="22"/>
        </w:rPr>
        <w:fldChar w:fldCharType="end"/>
      </w:r>
      <w:r w:rsidRPr="00954F93">
        <w:rPr>
          <w:rFonts w:ascii="Verdana" w:hAnsi="Verdana"/>
          <w:sz w:val="22"/>
          <w:szCs w:val="22"/>
        </w:rPr>
        <w:t>. Número de contratos para acreditación de experiencia</w:t>
      </w:r>
      <w:bookmarkEnd w:id="549"/>
      <w:bookmarkEnd w:id="550"/>
    </w:p>
    <w:p w14:paraId="58070F90" w14:textId="77777777" w:rsidR="006B7CFB" w:rsidRPr="00954F93" w:rsidRDefault="006B7CFB" w:rsidP="006B7CFB">
      <w:pPr>
        <w:jc w:val="center"/>
        <w:rPr>
          <w:rFonts w:ascii="Verdana" w:hAnsi="Verdana" w:cs="Arial"/>
          <w:sz w:val="22"/>
          <w:szCs w:val="22"/>
          <w:lang w:val="es-ES"/>
        </w:rPr>
      </w:pPr>
      <w:r w:rsidRPr="00954F93">
        <w:rPr>
          <w:rFonts w:ascii="Verdana" w:hAnsi="Verdana" w:cs="Arial"/>
          <w:noProof/>
          <w:sz w:val="22"/>
          <w:szCs w:val="22"/>
          <w:lang w:val="es-ES"/>
        </w:rPr>
        <w:drawing>
          <wp:inline distT="0" distB="0" distL="0" distR="0" wp14:anchorId="6F37B205" wp14:editId="2D51A8E7">
            <wp:extent cx="4139430" cy="1128155"/>
            <wp:effectExtent l="0" t="0" r="0" b="0"/>
            <wp:docPr id="19994902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90285" name="Imagen 1999490285"/>
                    <pic:cNvPicPr/>
                  </pic:nvPicPr>
                  <pic:blipFill>
                    <a:blip r:embed="rId116"/>
                    <a:stretch>
                      <a:fillRect/>
                    </a:stretch>
                  </pic:blipFill>
                  <pic:spPr>
                    <a:xfrm>
                      <a:off x="0" y="0"/>
                      <a:ext cx="4155231" cy="1132462"/>
                    </a:xfrm>
                    <a:prstGeom prst="rect">
                      <a:avLst/>
                    </a:prstGeom>
                  </pic:spPr>
                </pic:pic>
              </a:graphicData>
            </a:graphic>
          </wp:inline>
        </w:drawing>
      </w:r>
    </w:p>
    <w:p w14:paraId="21ECE8B9" w14:textId="702CCA52" w:rsidR="006B7CFB" w:rsidRPr="00EA6305" w:rsidRDefault="00500BEB" w:rsidP="006B7CFB">
      <w:pPr>
        <w:jc w:val="center"/>
        <w:rPr>
          <w:rFonts w:ascii="Verdana" w:hAnsi="Verdana" w:cs="Arial"/>
          <w:sz w:val="22"/>
          <w:szCs w:val="22"/>
          <w:lang w:val="es-ES"/>
        </w:rPr>
      </w:pPr>
      <w:r w:rsidRPr="00EA6305">
        <w:rPr>
          <w:rFonts w:ascii="Verdana" w:hAnsi="Verdana" w:cs="Arial"/>
          <w:b/>
          <w:bCs/>
          <w:sz w:val="22"/>
          <w:szCs w:val="22"/>
          <w:lang w:val="es-ES"/>
        </w:rPr>
        <w:t>Fuente</w:t>
      </w:r>
      <w:r w:rsidRPr="00EA6305">
        <w:rPr>
          <w:rFonts w:ascii="Verdana" w:hAnsi="Verdana" w:cs="Arial"/>
          <w:sz w:val="22"/>
          <w:szCs w:val="22"/>
          <w:lang w:val="es-ES"/>
        </w:rPr>
        <w:t xml:space="preserve">: Documento base Documento tipo infraestructura </w:t>
      </w:r>
      <w:r w:rsidR="00DE7BA1" w:rsidRPr="00EA6305">
        <w:rPr>
          <w:rFonts w:ascii="Verdana" w:hAnsi="Verdana" w:cs="Arial"/>
          <w:sz w:val="22"/>
          <w:szCs w:val="22"/>
          <w:lang w:val="es-ES"/>
        </w:rPr>
        <w:t>agua potable y saneamiento básico</w:t>
      </w:r>
      <w:r w:rsidRPr="00EA6305">
        <w:rPr>
          <w:rFonts w:ascii="Verdana" w:hAnsi="Verdana" w:cs="Arial"/>
          <w:sz w:val="22"/>
          <w:szCs w:val="22"/>
          <w:lang w:val="es-ES"/>
        </w:rPr>
        <w:t>.</w:t>
      </w:r>
    </w:p>
    <w:p w14:paraId="1DD62140" w14:textId="77777777" w:rsidR="00500BEB" w:rsidRPr="00954F93" w:rsidRDefault="00500BEB" w:rsidP="006B7CFB">
      <w:pPr>
        <w:jc w:val="both"/>
        <w:rPr>
          <w:rFonts w:ascii="Verdana" w:hAnsi="Verdana" w:cs="Arial"/>
          <w:iCs/>
          <w:sz w:val="22"/>
          <w:szCs w:val="22"/>
          <w:lang w:eastAsia="es-ES"/>
        </w:rPr>
      </w:pPr>
    </w:p>
    <w:p w14:paraId="18A8B9C8" w14:textId="015AA122" w:rsidR="006B7CFB" w:rsidRPr="00954F93" w:rsidRDefault="006B7CFB" w:rsidP="006B7CFB">
      <w:pPr>
        <w:jc w:val="both"/>
        <w:rPr>
          <w:rFonts w:ascii="Verdana" w:hAnsi="Verdana" w:cs="Arial"/>
          <w:iCs/>
          <w:sz w:val="22"/>
          <w:szCs w:val="22"/>
          <w:lang w:eastAsia="es-ES"/>
        </w:rPr>
      </w:pPr>
      <w:r w:rsidRPr="00954F93">
        <w:rPr>
          <w:rFonts w:ascii="Verdana" w:hAnsi="Verdana" w:cs="Arial"/>
          <w:iCs/>
          <w:sz w:val="22"/>
          <w:szCs w:val="22"/>
          <w:lang w:eastAsia="es-ES"/>
        </w:rPr>
        <w:t>“</w:t>
      </w:r>
      <w:r w:rsidR="001575D1" w:rsidRPr="00954F93">
        <w:rPr>
          <w:rFonts w:ascii="Verdana" w:hAnsi="Verdana" w:cs="Arial"/>
          <w:iCs/>
          <w:sz w:val="22"/>
          <w:szCs w:val="22"/>
          <w:lang w:eastAsia="es-ES"/>
        </w:rPr>
        <w:t>Si el número de contratos aportados supera los cinco (5) inicialmente previstos en este numeral, debido a la posibilidad de allegar contratos adicionales por tratarse de una </w:t>
      </w:r>
      <w:proofErr w:type="spellStart"/>
      <w:r w:rsidR="001575D1" w:rsidRPr="00954F93">
        <w:rPr>
          <w:rFonts w:ascii="Verdana" w:hAnsi="Verdana" w:cs="Arial"/>
          <w:iCs/>
          <w:sz w:val="22"/>
          <w:szCs w:val="22"/>
          <w:lang w:eastAsia="es-ES"/>
        </w:rPr>
        <w:t>Mipyme</w:t>
      </w:r>
      <w:proofErr w:type="spellEnd"/>
      <w:r w:rsidR="001575D1" w:rsidRPr="00954F93">
        <w:rPr>
          <w:rFonts w:ascii="Verdana" w:hAnsi="Verdana" w:cs="Arial"/>
          <w:iCs/>
          <w:sz w:val="22"/>
          <w:szCs w:val="22"/>
          <w:lang w:eastAsia="es-ES"/>
        </w:rPr>
        <w:t xml:space="preserve"> y/o emprendimiento y empresa de mujer y/o emprendimiento y empresa de personas con discapacidad, estos contratos adicionales, ya sean seis (6), siete (7) u ocho (8) -dependiendo si acredita una, dos o todas las condiciones-, se tendrán en cuenta para demostrar el valor del ciento cincuenta por ciento (150 %) del valor del Presupuesto Oficial</w:t>
      </w:r>
      <w:r w:rsidRPr="00954F93">
        <w:rPr>
          <w:rFonts w:ascii="Verdana" w:hAnsi="Verdana" w:cs="Arial"/>
          <w:iCs/>
          <w:sz w:val="22"/>
          <w:szCs w:val="22"/>
          <w:lang w:eastAsia="es-ES"/>
        </w:rPr>
        <w:t>”</w:t>
      </w:r>
    </w:p>
    <w:p w14:paraId="1BEBE674" w14:textId="77777777" w:rsidR="006B7CFB" w:rsidRPr="00954F93" w:rsidRDefault="006B7CFB" w:rsidP="006B7CFB">
      <w:pPr>
        <w:jc w:val="center"/>
        <w:rPr>
          <w:rFonts w:ascii="Verdana" w:hAnsi="Verdana" w:cs="Arial"/>
          <w:sz w:val="22"/>
          <w:szCs w:val="22"/>
        </w:rPr>
      </w:pPr>
    </w:p>
    <w:p w14:paraId="43F4BDD7" w14:textId="1DA7631F" w:rsidR="006B7CFB" w:rsidRPr="00954F93" w:rsidRDefault="006B7CFB" w:rsidP="006B7CFB">
      <w:pPr>
        <w:jc w:val="both"/>
        <w:rPr>
          <w:rFonts w:ascii="Verdana" w:hAnsi="Verdana" w:cs="Arial"/>
          <w:sz w:val="22"/>
          <w:szCs w:val="22"/>
          <w:lang w:val="es-MX"/>
        </w:rPr>
      </w:pPr>
      <w:r w:rsidRPr="00954F93">
        <w:rPr>
          <w:rFonts w:ascii="Verdana" w:hAnsi="Verdana" w:cs="Arial"/>
          <w:sz w:val="22"/>
          <w:szCs w:val="22"/>
          <w:lang w:val="es-ES"/>
        </w:rPr>
        <w:t xml:space="preserve">Sin embargo, </w:t>
      </w:r>
      <w:r w:rsidRPr="00954F93">
        <w:rPr>
          <w:rFonts w:ascii="Verdana" w:hAnsi="Verdana" w:cs="Arial"/>
          <w:sz w:val="22"/>
          <w:szCs w:val="22"/>
          <w:lang w:val="es-MX"/>
        </w:rPr>
        <w:t>conviene señalar que pueden presentarse eventos en los cuales proponente (</w:t>
      </w:r>
      <w:proofErr w:type="spellStart"/>
      <w:r w:rsidRPr="00954F93">
        <w:rPr>
          <w:rFonts w:ascii="Verdana" w:hAnsi="Verdana" w:cs="Arial"/>
          <w:sz w:val="22"/>
          <w:szCs w:val="22"/>
          <w:lang w:val="es-MX"/>
        </w:rPr>
        <w:t>Mipyme</w:t>
      </w:r>
      <w:proofErr w:type="spellEnd"/>
      <w:r w:rsidRPr="00954F93">
        <w:rPr>
          <w:rFonts w:ascii="Verdana" w:hAnsi="Verdana" w:cs="Arial"/>
          <w:sz w:val="22"/>
          <w:szCs w:val="22"/>
          <w:lang w:val="es-MX"/>
        </w:rPr>
        <w:t xml:space="preserve">), desde su creación, haya ejecutado un amplio número de contratos que permitan comprobar su experticia en la ejecución de una determinada actividad o en la prestación de un servicio. No obstante, los valores de dichos contratos, expresados en SMMLV pueden ser bajos, por lo cual con la presentación de los cinco (5) contratos que se establecen como regla general en el documento tipo no </w:t>
      </w:r>
      <w:r w:rsidR="5EA986EA" w:rsidRPr="00954F93">
        <w:rPr>
          <w:rFonts w:ascii="Verdana" w:hAnsi="Verdana" w:cs="Arial"/>
          <w:sz w:val="22"/>
          <w:szCs w:val="22"/>
          <w:lang w:val="es-MX"/>
        </w:rPr>
        <w:t>alcanzarían</w:t>
      </w:r>
      <w:r w:rsidRPr="00954F93">
        <w:rPr>
          <w:rFonts w:ascii="Verdana" w:hAnsi="Verdana" w:cs="Arial"/>
          <w:sz w:val="22"/>
          <w:szCs w:val="22"/>
          <w:lang w:val="es-MX"/>
        </w:rPr>
        <w:t xml:space="preserve"> a probar la experiencia exigida. Contrario sensu, si se les permite allegar un contrato adicional podrían lograr acreditar la experiencia mínima exigida para habilitarse en el proceso. Nótese que, en este caso el proponente si tiene la experiencia suficiente que exige la Entidad Estatal en el proceso de contratación, solo que requiere de un contrato adicional para lograr comprobar que cumple con tal requisito. </w:t>
      </w:r>
    </w:p>
    <w:p w14:paraId="4C248F69" w14:textId="77777777" w:rsidR="002B2C9F" w:rsidRPr="00954F93" w:rsidRDefault="002B2C9F" w:rsidP="006B7CFB">
      <w:pPr>
        <w:jc w:val="both"/>
        <w:rPr>
          <w:rFonts w:ascii="Verdana" w:hAnsi="Verdana" w:cs="Arial"/>
          <w:sz w:val="22"/>
          <w:szCs w:val="22"/>
          <w:lang w:val="es-MX"/>
        </w:rPr>
      </w:pPr>
    </w:p>
    <w:p w14:paraId="0CF4FD20" w14:textId="26227F00" w:rsidR="00BF516D" w:rsidRPr="00611315" w:rsidRDefault="006B7CFB" w:rsidP="006B7CFB">
      <w:pPr>
        <w:jc w:val="both"/>
        <w:rPr>
          <w:rFonts w:ascii="Verdana" w:hAnsi="Verdana" w:cs="Arial"/>
          <w:sz w:val="22"/>
          <w:szCs w:val="22"/>
        </w:rPr>
      </w:pPr>
      <w:r w:rsidRPr="00954F93">
        <w:rPr>
          <w:rFonts w:ascii="Verdana" w:hAnsi="Verdana" w:cs="Arial"/>
          <w:sz w:val="22"/>
          <w:szCs w:val="22"/>
        </w:rPr>
        <w:t>En consecuencia</w:t>
      </w:r>
      <w:r w:rsidR="2D03943B" w:rsidRPr="00954F93">
        <w:rPr>
          <w:rFonts w:ascii="Verdana" w:hAnsi="Verdana" w:cs="Arial"/>
          <w:sz w:val="22"/>
          <w:szCs w:val="22"/>
        </w:rPr>
        <w:t>,</w:t>
      </w:r>
      <w:r w:rsidRPr="00954F93">
        <w:rPr>
          <w:rFonts w:ascii="Verdana" w:hAnsi="Verdana" w:cs="Arial"/>
          <w:sz w:val="22"/>
          <w:szCs w:val="22"/>
        </w:rPr>
        <w:t xml:space="preserve"> se mantuvieron las consideraciones respecto al número de contratos que pudieran ser acreditados por </w:t>
      </w:r>
      <w:r w:rsidR="00600DF8" w:rsidRPr="00954F93">
        <w:rPr>
          <w:rFonts w:ascii="Verdana" w:hAnsi="Verdana" w:cs="Arial"/>
          <w:sz w:val="22"/>
          <w:szCs w:val="22"/>
        </w:rPr>
        <w:t>MiPymes</w:t>
      </w:r>
      <w:r w:rsidRPr="00954F93">
        <w:rPr>
          <w:rFonts w:ascii="Verdana" w:hAnsi="Verdana" w:cs="Arial"/>
          <w:sz w:val="22"/>
          <w:szCs w:val="22"/>
        </w:rPr>
        <w:t xml:space="preserve">, basados en lo </w:t>
      </w:r>
      <w:r w:rsidRPr="00954F93">
        <w:rPr>
          <w:rFonts w:ascii="Verdana" w:hAnsi="Verdana" w:cs="Arial"/>
          <w:sz w:val="22"/>
          <w:szCs w:val="22"/>
          <w:lang w:val="es-MX"/>
        </w:rPr>
        <w:t xml:space="preserve">previsto en el artículo 2.2.1.13.2.2 del Decreto 1074 de 2015 y los artículos 2.2.1.2.4.2.4. y 2.2.1.2.4.2.14 del Decreto 1082 de 2015, en donde se establece que se podrá probar la experiencia </w:t>
      </w:r>
      <w:r w:rsidRPr="00954F93">
        <w:rPr>
          <w:rFonts w:ascii="Verdana" w:hAnsi="Verdana" w:cs="Arial"/>
          <w:sz w:val="22"/>
          <w:szCs w:val="22"/>
          <w:lang w:val="es-MX"/>
        </w:rPr>
        <w:lastRenderedPageBreak/>
        <w:t>solicitada con un (1) contrato adicional a los cinco (5) inicialmente previstos, para un máximo de seis (6) contratos.</w:t>
      </w:r>
      <w:r w:rsidRPr="00954F93">
        <w:rPr>
          <w:rFonts w:ascii="Verdana" w:hAnsi="Verdana" w:cs="Arial"/>
          <w:sz w:val="22"/>
          <w:szCs w:val="22"/>
        </w:rPr>
        <w:t xml:space="preserve"> </w:t>
      </w:r>
    </w:p>
    <w:p w14:paraId="6BA97CF8" w14:textId="77777777" w:rsidR="00BF516D" w:rsidRPr="00611315" w:rsidRDefault="00BF516D" w:rsidP="006B7CFB">
      <w:pPr>
        <w:jc w:val="both"/>
        <w:rPr>
          <w:rFonts w:ascii="Verdana" w:hAnsi="Verdana" w:cs="Arial"/>
          <w:sz w:val="22"/>
          <w:szCs w:val="22"/>
        </w:rPr>
      </w:pPr>
    </w:p>
    <w:p w14:paraId="3E32EF88" w14:textId="556F8111" w:rsidR="006B7CFB" w:rsidRPr="00954F93" w:rsidRDefault="00C146FD" w:rsidP="006B7CFB">
      <w:pPr>
        <w:jc w:val="both"/>
        <w:rPr>
          <w:rFonts w:ascii="Verdana" w:hAnsi="Verdana" w:cs="Arial"/>
          <w:sz w:val="22"/>
          <w:szCs w:val="22"/>
        </w:rPr>
      </w:pPr>
      <w:r w:rsidRPr="00611315">
        <w:rPr>
          <w:rFonts w:ascii="Verdana" w:hAnsi="Verdana" w:cs="Arial"/>
          <w:sz w:val="22"/>
          <w:szCs w:val="22"/>
        </w:rPr>
        <w:t xml:space="preserve">Sin embargo, y considerando las determinaciones del decreto 287 de 2026 se establece en el </w:t>
      </w:r>
      <w:r w:rsidR="00BF516D" w:rsidRPr="00611315">
        <w:rPr>
          <w:rFonts w:ascii="Verdana" w:hAnsi="Verdana" w:cs="Arial"/>
          <w:sz w:val="22"/>
          <w:szCs w:val="22"/>
        </w:rPr>
        <w:t>literal</w:t>
      </w:r>
      <w:r w:rsidRPr="00611315">
        <w:rPr>
          <w:rFonts w:ascii="Verdana" w:hAnsi="Verdana" w:cs="Arial"/>
          <w:sz w:val="22"/>
          <w:szCs w:val="22"/>
        </w:rPr>
        <w:t xml:space="preserve"> C del numera </w:t>
      </w:r>
      <w:r w:rsidR="00BF516D" w:rsidRPr="00611315">
        <w:rPr>
          <w:rFonts w:ascii="Verdana" w:hAnsi="Verdana" w:cs="Arial"/>
          <w:sz w:val="22"/>
          <w:szCs w:val="22"/>
        </w:rPr>
        <w:t xml:space="preserve">3.5.3. Consideraciones para la </w:t>
      </w:r>
      <w:r w:rsidR="00CC202F" w:rsidRPr="00611315">
        <w:rPr>
          <w:rFonts w:ascii="Verdana" w:hAnsi="Verdana" w:cs="Arial"/>
          <w:sz w:val="22"/>
          <w:szCs w:val="22"/>
        </w:rPr>
        <w:t>validez</w:t>
      </w:r>
      <w:r w:rsidR="00BF516D" w:rsidRPr="00611315">
        <w:rPr>
          <w:rFonts w:ascii="Verdana" w:hAnsi="Verdana" w:cs="Arial"/>
          <w:sz w:val="22"/>
          <w:szCs w:val="22"/>
        </w:rPr>
        <w:t xml:space="preserve"> de la experiencia requerida </w:t>
      </w:r>
      <w:r w:rsidRPr="00611315">
        <w:rPr>
          <w:rFonts w:ascii="Verdana" w:hAnsi="Verdana" w:cs="Arial"/>
          <w:sz w:val="22"/>
          <w:szCs w:val="22"/>
        </w:rPr>
        <w:t xml:space="preserve">que: </w:t>
      </w:r>
      <w:r w:rsidR="008F13C6" w:rsidRPr="00611315">
        <w:rPr>
          <w:rFonts w:ascii="Verdana" w:hAnsi="Verdana" w:cs="Arial"/>
          <w:sz w:val="22"/>
          <w:szCs w:val="22"/>
        </w:rPr>
        <w:t>“</w:t>
      </w:r>
      <w:r w:rsidRPr="00611315">
        <w:rPr>
          <w:rFonts w:ascii="Verdana" w:hAnsi="Verdana" w:cs="Arial"/>
          <w:sz w:val="22"/>
          <w:szCs w:val="22"/>
        </w:rPr>
        <w:t xml:space="preserve">Tratándose de Proponentes que acrediten la calidad de </w:t>
      </w:r>
      <w:proofErr w:type="spellStart"/>
      <w:r w:rsidRPr="00611315">
        <w:rPr>
          <w:rFonts w:ascii="Verdana" w:hAnsi="Verdana" w:cs="Arial"/>
          <w:sz w:val="22"/>
          <w:szCs w:val="22"/>
        </w:rPr>
        <w:t>Mipyme</w:t>
      </w:r>
      <w:proofErr w:type="spellEnd"/>
      <w:r w:rsidRPr="00611315">
        <w:rPr>
          <w:rFonts w:ascii="Verdana" w:hAnsi="Verdana" w:cs="Arial"/>
          <w:sz w:val="22"/>
          <w:szCs w:val="22"/>
        </w:rPr>
        <w:t xml:space="preserve"> o emprendimiento y empresa de mujer con domicilio en el territorio nacional o emprendimiento y empresa de personas con discapacidad, se tendrá en cuenta como máximo los seis (6) contratos aportados de mayor valor. </w:t>
      </w:r>
      <w:r w:rsidR="008F13C6" w:rsidRPr="00611315">
        <w:rPr>
          <w:rFonts w:ascii="Verdana" w:hAnsi="Verdana" w:cs="Arial"/>
          <w:sz w:val="22"/>
          <w:szCs w:val="22"/>
        </w:rPr>
        <w:t>“</w:t>
      </w:r>
    </w:p>
    <w:p w14:paraId="431C18BC" w14:textId="77777777" w:rsidR="006B7CFB" w:rsidRPr="00954F93" w:rsidRDefault="006B7CFB" w:rsidP="006B7CFB">
      <w:pPr>
        <w:jc w:val="both"/>
        <w:rPr>
          <w:rFonts w:ascii="Verdana" w:hAnsi="Verdana" w:cs="Arial"/>
          <w:sz w:val="22"/>
          <w:szCs w:val="22"/>
        </w:rPr>
      </w:pPr>
    </w:p>
    <w:p w14:paraId="27EDC674" w14:textId="50AE8AA8" w:rsidR="006B7CFB" w:rsidRPr="00954F93" w:rsidRDefault="006B7CFB" w:rsidP="006B7CFB">
      <w:pPr>
        <w:jc w:val="both"/>
        <w:rPr>
          <w:rFonts w:ascii="Verdana" w:hAnsi="Verdana" w:cs="Arial"/>
          <w:sz w:val="22"/>
          <w:szCs w:val="22"/>
          <w:lang w:val="es-MX"/>
        </w:rPr>
      </w:pPr>
      <w:r w:rsidRPr="00954F93">
        <w:rPr>
          <w:rFonts w:ascii="Verdana" w:hAnsi="Verdana" w:cs="Arial"/>
          <w:sz w:val="22"/>
          <w:szCs w:val="22"/>
          <w:lang w:val="es-MX"/>
        </w:rPr>
        <w:t xml:space="preserve">En el mismo sentido, en </w:t>
      </w:r>
      <w:r w:rsidR="00CE230F" w:rsidRPr="00611315">
        <w:rPr>
          <w:rFonts w:ascii="Verdana" w:hAnsi="Verdana" w:cs="Arial"/>
          <w:sz w:val="22"/>
          <w:szCs w:val="22"/>
          <w:lang w:val="es-MX"/>
        </w:rPr>
        <w:t xml:space="preserve">el caso de estructuras plurales, en el </w:t>
      </w:r>
      <w:r w:rsidRPr="00954F93">
        <w:rPr>
          <w:rFonts w:ascii="Verdana" w:hAnsi="Verdana" w:cs="Arial"/>
          <w:sz w:val="22"/>
          <w:szCs w:val="22"/>
          <w:lang w:val="es-MX"/>
        </w:rPr>
        <w:t>cas</w:t>
      </w:r>
      <w:r w:rsidR="00CE230F" w:rsidRPr="00611315">
        <w:rPr>
          <w:rFonts w:ascii="Verdana" w:hAnsi="Verdana" w:cs="Arial"/>
          <w:sz w:val="22"/>
          <w:szCs w:val="22"/>
          <w:lang w:val="es-MX"/>
        </w:rPr>
        <w:t>o</w:t>
      </w:r>
      <w:r w:rsidRPr="00954F93">
        <w:rPr>
          <w:rFonts w:ascii="Verdana" w:hAnsi="Verdana" w:cs="Arial"/>
          <w:sz w:val="22"/>
          <w:szCs w:val="22"/>
          <w:lang w:val="es-MX"/>
        </w:rPr>
        <w:t xml:space="preserve"> que el mismo integrante u otro que haga parte del Proponente Plural tenga una participación igual o superior al diez por ciento (10 %) en el Consorcio o en la Unión Temporal y acredite la calidad de </w:t>
      </w:r>
      <w:proofErr w:type="spellStart"/>
      <w:r w:rsidRPr="00954F93">
        <w:rPr>
          <w:rFonts w:ascii="Verdana" w:hAnsi="Verdana" w:cs="Arial"/>
          <w:sz w:val="22"/>
          <w:szCs w:val="22"/>
          <w:lang w:val="es-MX"/>
        </w:rPr>
        <w:t>Mipyme</w:t>
      </w:r>
      <w:proofErr w:type="spellEnd"/>
      <w:r w:rsidRPr="00954F93">
        <w:rPr>
          <w:rFonts w:ascii="Verdana" w:hAnsi="Verdana" w:cs="Arial"/>
          <w:sz w:val="22"/>
          <w:szCs w:val="22"/>
          <w:lang w:val="es-MX"/>
        </w:rPr>
        <w:t xml:space="preserve"> y de emprendimiento y empresa de mujer con domicilio en el territorio nacional </w:t>
      </w:r>
      <w:r w:rsidR="00E100FB" w:rsidRPr="00611315">
        <w:rPr>
          <w:rFonts w:ascii="Verdana" w:hAnsi="Verdana" w:cs="Arial"/>
          <w:sz w:val="22"/>
          <w:szCs w:val="22"/>
          <w:lang w:val="es-MX"/>
        </w:rPr>
        <w:t xml:space="preserve">y empresa y emprendimiento de personas en discapacidad </w:t>
      </w:r>
      <w:r w:rsidRPr="00954F93">
        <w:rPr>
          <w:rFonts w:ascii="Verdana" w:hAnsi="Verdana" w:cs="Arial"/>
          <w:sz w:val="22"/>
          <w:szCs w:val="22"/>
          <w:lang w:val="es-MX"/>
        </w:rPr>
        <w:t xml:space="preserve">de manera conjunta o separada, podrá demostrar la experiencia solicitada con </w:t>
      </w:r>
      <w:r w:rsidR="00612D7A" w:rsidRPr="00611315">
        <w:rPr>
          <w:rFonts w:ascii="Verdana" w:hAnsi="Verdana" w:cs="Arial"/>
          <w:sz w:val="22"/>
          <w:szCs w:val="22"/>
          <w:lang w:val="es-MX"/>
        </w:rPr>
        <w:t>tres</w:t>
      </w:r>
      <w:r w:rsidR="00612D7A" w:rsidRPr="00954F93">
        <w:rPr>
          <w:rFonts w:ascii="Verdana" w:hAnsi="Verdana" w:cs="Arial"/>
          <w:sz w:val="22"/>
          <w:szCs w:val="22"/>
          <w:lang w:val="es-MX"/>
        </w:rPr>
        <w:t xml:space="preserve"> </w:t>
      </w:r>
      <w:r w:rsidRPr="00954F93">
        <w:rPr>
          <w:rFonts w:ascii="Verdana" w:hAnsi="Verdana" w:cs="Arial"/>
          <w:sz w:val="22"/>
          <w:szCs w:val="22"/>
          <w:lang w:val="es-MX"/>
        </w:rPr>
        <w:t>(</w:t>
      </w:r>
      <w:r w:rsidR="00612D7A" w:rsidRPr="00611315">
        <w:rPr>
          <w:rFonts w:ascii="Verdana" w:hAnsi="Verdana" w:cs="Arial"/>
          <w:sz w:val="22"/>
          <w:szCs w:val="22"/>
          <w:lang w:val="es-MX"/>
        </w:rPr>
        <w:t>3</w:t>
      </w:r>
      <w:r w:rsidRPr="00954F93">
        <w:rPr>
          <w:rFonts w:ascii="Verdana" w:hAnsi="Verdana" w:cs="Arial"/>
          <w:sz w:val="22"/>
          <w:szCs w:val="22"/>
          <w:lang w:val="es-MX"/>
        </w:rPr>
        <w:t xml:space="preserve">) contratos adicionales a los cinco (5) inicialmente previstos, para un máximo de </w:t>
      </w:r>
      <w:r w:rsidR="00385D58" w:rsidRPr="00611315">
        <w:rPr>
          <w:rFonts w:ascii="Verdana" w:hAnsi="Verdana" w:cs="Arial"/>
          <w:sz w:val="22"/>
          <w:szCs w:val="22"/>
          <w:lang w:val="es-MX"/>
        </w:rPr>
        <w:t>ocho</w:t>
      </w:r>
      <w:r w:rsidR="00385D58" w:rsidRPr="00954F93">
        <w:rPr>
          <w:rFonts w:ascii="Verdana" w:hAnsi="Verdana" w:cs="Arial"/>
          <w:sz w:val="22"/>
          <w:szCs w:val="22"/>
          <w:lang w:val="es-MX"/>
        </w:rPr>
        <w:t xml:space="preserve"> </w:t>
      </w:r>
      <w:r w:rsidRPr="00954F93">
        <w:rPr>
          <w:rFonts w:ascii="Verdana" w:hAnsi="Verdana" w:cs="Arial"/>
          <w:sz w:val="22"/>
          <w:szCs w:val="22"/>
          <w:lang w:val="es-MX"/>
        </w:rPr>
        <w:t>(</w:t>
      </w:r>
      <w:r w:rsidR="00385D58" w:rsidRPr="00611315">
        <w:rPr>
          <w:rFonts w:ascii="Verdana" w:hAnsi="Verdana" w:cs="Arial"/>
          <w:sz w:val="22"/>
          <w:szCs w:val="22"/>
          <w:lang w:val="es-MX"/>
        </w:rPr>
        <w:t>8</w:t>
      </w:r>
      <w:r w:rsidRPr="00954F93">
        <w:rPr>
          <w:rFonts w:ascii="Verdana" w:hAnsi="Verdana" w:cs="Arial"/>
          <w:sz w:val="22"/>
          <w:szCs w:val="22"/>
          <w:lang w:val="es-MX"/>
        </w:rPr>
        <w:t xml:space="preserve">) contratos y se aclara que para las convocatorias limitadas a </w:t>
      </w:r>
      <w:proofErr w:type="spellStart"/>
      <w:r w:rsidRPr="00954F93">
        <w:rPr>
          <w:rFonts w:ascii="Verdana" w:hAnsi="Verdana" w:cs="Arial"/>
          <w:sz w:val="22"/>
          <w:szCs w:val="22"/>
          <w:lang w:val="es-MX"/>
        </w:rPr>
        <w:t>Mipyme</w:t>
      </w:r>
      <w:proofErr w:type="spellEnd"/>
      <w:r w:rsidRPr="00954F93">
        <w:rPr>
          <w:rFonts w:ascii="Verdana" w:hAnsi="Verdana" w:cs="Arial"/>
          <w:sz w:val="22"/>
          <w:szCs w:val="22"/>
          <w:lang w:val="es-MX"/>
        </w:rPr>
        <w:t>, únicamente se aplicará este criterio diferencial respecto de los emprendimientos y empresas de mujeres.</w:t>
      </w:r>
    </w:p>
    <w:p w14:paraId="5E989164" w14:textId="77777777" w:rsidR="00A328F9" w:rsidRPr="00954F93" w:rsidRDefault="00A328F9" w:rsidP="00EB2FC8">
      <w:pPr>
        <w:jc w:val="both"/>
        <w:rPr>
          <w:rFonts w:ascii="Verdana" w:hAnsi="Verdana" w:cs="Arial"/>
          <w:sz w:val="22"/>
          <w:szCs w:val="22"/>
          <w:lang w:val="es-MX"/>
        </w:rPr>
      </w:pPr>
    </w:p>
    <w:p w14:paraId="5E1508F2" w14:textId="47A9665D" w:rsidR="006B7CFB" w:rsidRPr="00954F93" w:rsidRDefault="006B7CFB" w:rsidP="006B7CFB">
      <w:pPr>
        <w:jc w:val="both"/>
        <w:rPr>
          <w:rFonts w:ascii="Verdana" w:hAnsi="Verdana" w:cs="Arial"/>
          <w:sz w:val="22"/>
          <w:szCs w:val="22"/>
          <w:lang w:val="es-ES"/>
        </w:rPr>
      </w:pPr>
      <w:r w:rsidRPr="00954F93">
        <w:rPr>
          <w:rFonts w:ascii="Verdana" w:hAnsi="Verdana" w:cs="Arial"/>
          <w:sz w:val="22"/>
          <w:szCs w:val="22"/>
          <w:lang w:val="es-ES"/>
        </w:rPr>
        <w:t xml:space="preserve">La Agencia considera que es un criterio diferencial objetivo permitir que se demuestre la experiencia mediante un mayor número de contratos, proporcional y razonable para los proponentes que ostenten la calidad de </w:t>
      </w:r>
      <w:proofErr w:type="spellStart"/>
      <w:r w:rsidRPr="00954F93">
        <w:rPr>
          <w:rFonts w:ascii="Verdana" w:hAnsi="Verdana" w:cs="Arial"/>
          <w:sz w:val="22"/>
          <w:szCs w:val="22"/>
          <w:lang w:val="es-ES"/>
        </w:rPr>
        <w:t>Mipyme</w:t>
      </w:r>
      <w:proofErr w:type="spellEnd"/>
      <w:r w:rsidRPr="00954F93">
        <w:rPr>
          <w:rFonts w:ascii="Verdana" w:hAnsi="Verdana" w:cs="Arial"/>
          <w:sz w:val="22"/>
          <w:szCs w:val="22"/>
          <w:lang w:val="es-ES"/>
        </w:rPr>
        <w:t xml:space="preserve">, con el fin de que logren comprobar que cuentan con la experiencia mínima requerida y así puedan habilitarse en el proceso de contratación. De esta forma se evita que queden </w:t>
      </w:r>
      <w:r w:rsidR="00270C84" w:rsidRPr="00611315">
        <w:rPr>
          <w:rFonts w:ascii="Verdana" w:hAnsi="Verdana" w:cs="Arial"/>
          <w:sz w:val="22"/>
          <w:szCs w:val="22"/>
          <w:lang w:val="es-ES"/>
        </w:rPr>
        <w:t xml:space="preserve">ser </w:t>
      </w:r>
      <w:r w:rsidRPr="00954F93">
        <w:rPr>
          <w:rFonts w:ascii="Verdana" w:hAnsi="Verdana" w:cs="Arial"/>
          <w:sz w:val="22"/>
          <w:szCs w:val="22"/>
          <w:lang w:val="es-ES"/>
        </w:rPr>
        <w:t>excluidos aquellos proponentes que teniendo la experiencia necesaria no pueden participar en el proceso de selección, debido a que dicha experiencia solo es posible acreditarla mediante un número de contratos que sobrepasa el máximo permitido en los documentos tipo</w:t>
      </w:r>
      <w:r w:rsidR="00891E5D" w:rsidRPr="00611315">
        <w:rPr>
          <w:rFonts w:ascii="Verdana" w:hAnsi="Verdana" w:cs="Arial"/>
          <w:sz w:val="22"/>
          <w:szCs w:val="22"/>
          <w:lang w:val="es-ES"/>
        </w:rPr>
        <w:t xml:space="preserve"> </w:t>
      </w:r>
      <w:r w:rsidR="00D94EEA" w:rsidRPr="00954F93">
        <w:rPr>
          <w:rFonts w:ascii="Verdana" w:hAnsi="Verdana" w:cs="Arial"/>
          <w:i/>
          <w:iCs/>
          <w:sz w:val="22"/>
          <w:szCs w:val="22"/>
        </w:rPr>
        <w:t>de infraestructura de agua potable, saneamiento básico y estructuras hidráulicas</w:t>
      </w:r>
      <w:r w:rsidRPr="00954F93">
        <w:rPr>
          <w:rFonts w:ascii="Verdana" w:hAnsi="Verdana" w:cs="Arial"/>
          <w:sz w:val="22"/>
          <w:szCs w:val="22"/>
          <w:lang w:val="es-ES"/>
        </w:rPr>
        <w:t>.</w:t>
      </w:r>
    </w:p>
    <w:p w14:paraId="234D10CB" w14:textId="77777777" w:rsidR="006B7CFB" w:rsidRPr="00954F93" w:rsidRDefault="006B7CFB" w:rsidP="006B7CFB">
      <w:pPr>
        <w:jc w:val="both"/>
        <w:rPr>
          <w:rFonts w:ascii="Verdana" w:hAnsi="Verdana" w:cs="Arial"/>
          <w:sz w:val="22"/>
          <w:szCs w:val="22"/>
          <w:lang w:val="es-ES"/>
        </w:rPr>
      </w:pPr>
    </w:p>
    <w:p w14:paraId="69BC49C9" w14:textId="0DA819B9" w:rsidR="000518CA" w:rsidRDefault="006B7CFB" w:rsidP="006B7CFB">
      <w:pPr>
        <w:jc w:val="both"/>
        <w:rPr>
          <w:rFonts w:ascii="Verdana" w:hAnsi="Verdana" w:cs="Arial"/>
          <w:sz w:val="22"/>
          <w:szCs w:val="22"/>
          <w:lang w:val="es-ES"/>
        </w:rPr>
      </w:pPr>
      <w:r w:rsidRPr="00954F93">
        <w:rPr>
          <w:rFonts w:ascii="Verdana" w:hAnsi="Verdana" w:cs="Arial"/>
          <w:sz w:val="22"/>
          <w:szCs w:val="22"/>
          <w:lang w:val="es-MX"/>
        </w:rPr>
        <w:t xml:space="preserve">Manteniendo la consideración de permitir a las </w:t>
      </w:r>
      <w:r w:rsidR="00600DF8" w:rsidRPr="00954F93">
        <w:rPr>
          <w:rFonts w:ascii="Verdana" w:hAnsi="Verdana" w:cs="Arial"/>
          <w:sz w:val="22"/>
          <w:szCs w:val="22"/>
          <w:lang w:val="es-MX"/>
        </w:rPr>
        <w:t>MiPymes</w:t>
      </w:r>
      <w:r w:rsidRPr="00954F93">
        <w:rPr>
          <w:rFonts w:ascii="Verdana" w:hAnsi="Verdana" w:cs="Arial"/>
          <w:sz w:val="22"/>
          <w:szCs w:val="22"/>
          <w:lang w:val="es-MX"/>
        </w:rPr>
        <w:t xml:space="preserve"> presentar un número mayor de contratos, se busca reducir </w:t>
      </w:r>
      <w:r w:rsidRPr="00954F93">
        <w:rPr>
          <w:rFonts w:ascii="Verdana" w:hAnsi="Verdana" w:cs="Arial"/>
          <w:sz w:val="22"/>
          <w:szCs w:val="22"/>
          <w:lang w:val="es-ES"/>
        </w:rPr>
        <w:t xml:space="preserve">la desigualdad que puede representar para las </w:t>
      </w:r>
      <w:proofErr w:type="spellStart"/>
      <w:r w:rsidRPr="00954F93">
        <w:rPr>
          <w:rFonts w:ascii="Verdana" w:hAnsi="Verdana" w:cs="Arial"/>
          <w:sz w:val="22"/>
          <w:szCs w:val="22"/>
          <w:lang w:val="es-ES"/>
        </w:rPr>
        <w:t>Mipyme</w:t>
      </w:r>
      <w:proofErr w:type="spellEnd"/>
      <w:r w:rsidRPr="00954F93">
        <w:rPr>
          <w:rFonts w:ascii="Verdana" w:hAnsi="Verdana" w:cs="Arial"/>
          <w:sz w:val="22"/>
          <w:szCs w:val="22"/>
          <w:lang w:val="es-ES"/>
        </w:rPr>
        <w:t xml:space="preserve"> el hecho que se les exija probar la experiencia requerida en un proceso de contratación con el mismo número de contratos que a las grandes empresas, pues no están en igualdad de condiciones. Con esto se cumple con el objeto del Decreto 1860 de 2021 de incentivar la participación de las </w:t>
      </w:r>
      <w:proofErr w:type="spellStart"/>
      <w:r w:rsidRPr="00954F93">
        <w:rPr>
          <w:rFonts w:ascii="Verdana" w:hAnsi="Verdana" w:cs="Arial"/>
          <w:sz w:val="22"/>
          <w:szCs w:val="22"/>
          <w:lang w:val="es-ES"/>
        </w:rPr>
        <w:t>Mipyme</w:t>
      </w:r>
      <w:proofErr w:type="spellEnd"/>
      <w:r w:rsidRPr="00954F93">
        <w:rPr>
          <w:rFonts w:ascii="Verdana" w:hAnsi="Verdana" w:cs="Arial"/>
          <w:sz w:val="22"/>
          <w:szCs w:val="22"/>
          <w:lang w:val="es-ES"/>
        </w:rPr>
        <w:t xml:space="preserve"> en el sistema de compras públicas y contratación</w:t>
      </w:r>
      <w:r w:rsidR="00600DF8">
        <w:rPr>
          <w:rFonts w:ascii="Verdana" w:hAnsi="Verdana" w:cs="Arial"/>
          <w:sz w:val="22"/>
          <w:szCs w:val="22"/>
          <w:lang w:val="es-ES"/>
        </w:rPr>
        <w:t>.</w:t>
      </w:r>
    </w:p>
    <w:p w14:paraId="0330FC0B" w14:textId="77777777" w:rsidR="00E95A8A" w:rsidRDefault="00E95A8A" w:rsidP="006B7CFB">
      <w:pPr>
        <w:jc w:val="both"/>
        <w:rPr>
          <w:rFonts w:ascii="Verdana" w:hAnsi="Verdana" w:cs="Arial"/>
          <w:sz w:val="22"/>
          <w:szCs w:val="22"/>
          <w:lang w:val="es-ES"/>
        </w:rPr>
      </w:pPr>
    </w:p>
    <w:p w14:paraId="3E6697A4" w14:textId="77777777" w:rsidR="00E95A8A" w:rsidRDefault="00E95A8A" w:rsidP="006B7CFB">
      <w:pPr>
        <w:jc w:val="both"/>
        <w:rPr>
          <w:rFonts w:ascii="Verdana" w:hAnsi="Verdana" w:cs="Arial"/>
          <w:sz w:val="22"/>
          <w:szCs w:val="22"/>
          <w:lang w:val="es-ES"/>
        </w:rPr>
      </w:pPr>
    </w:p>
    <w:p w14:paraId="41634BD7" w14:textId="77777777" w:rsidR="00E95A8A" w:rsidRPr="00954F93" w:rsidRDefault="00E95A8A" w:rsidP="006B7CFB">
      <w:pPr>
        <w:jc w:val="both"/>
        <w:rPr>
          <w:rFonts w:ascii="Verdana" w:hAnsi="Verdana" w:cs="Arial"/>
          <w:sz w:val="22"/>
          <w:szCs w:val="22"/>
          <w:lang w:val="es-ES"/>
        </w:rPr>
      </w:pPr>
    </w:p>
    <w:p w14:paraId="5D65F13C" w14:textId="7DA01F91" w:rsidR="000518CA" w:rsidRPr="001A3B3A" w:rsidRDefault="000518CA" w:rsidP="006B7CFB">
      <w:pPr>
        <w:jc w:val="both"/>
        <w:rPr>
          <w:rFonts w:ascii="Verdana" w:hAnsi="Verdana" w:cs="Arial"/>
          <w:b/>
          <w:sz w:val="22"/>
          <w:szCs w:val="22"/>
        </w:rPr>
      </w:pPr>
      <w:r w:rsidRPr="001A3B3A">
        <w:rPr>
          <w:rFonts w:ascii="Verdana" w:hAnsi="Verdana" w:cs="Arial"/>
          <w:b/>
          <w:sz w:val="22"/>
          <w:szCs w:val="22"/>
        </w:rPr>
        <w:t>Financieros</w:t>
      </w:r>
    </w:p>
    <w:p w14:paraId="1272B34E" w14:textId="77777777" w:rsidR="007E41E5" w:rsidRPr="001A3B3A" w:rsidRDefault="007E41E5" w:rsidP="006B7CFB">
      <w:pPr>
        <w:jc w:val="both"/>
        <w:rPr>
          <w:rFonts w:ascii="Verdana" w:hAnsi="Verdana" w:cs="Arial"/>
          <w:b/>
          <w:sz w:val="22"/>
          <w:szCs w:val="22"/>
        </w:rPr>
      </w:pPr>
    </w:p>
    <w:p w14:paraId="3B5D8EB1" w14:textId="024102FF" w:rsidR="00500BEB" w:rsidRPr="00445A67" w:rsidRDefault="00FE1BD3" w:rsidP="00EB56A0">
      <w:pPr>
        <w:jc w:val="both"/>
        <w:rPr>
          <w:rFonts w:ascii="Verdana" w:hAnsi="Verdana" w:cs="Arial"/>
          <w:sz w:val="22"/>
          <w:szCs w:val="22"/>
          <w:lang w:val="es-MX"/>
        </w:rPr>
      </w:pPr>
      <w:r w:rsidRPr="001A3B3A">
        <w:rPr>
          <w:rFonts w:ascii="Verdana" w:hAnsi="Verdana" w:cs="Arial"/>
          <w:sz w:val="22"/>
          <w:szCs w:val="22"/>
          <w:lang w:val="es-MX"/>
        </w:rPr>
        <w:t xml:space="preserve">Teniendo en cuenta que de la muestra de empresas analizada </w:t>
      </w:r>
      <w:r w:rsidR="004B209D" w:rsidRPr="001A3B3A">
        <w:rPr>
          <w:rFonts w:ascii="Verdana" w:hAnsi="Verdana" w:cs="Arial"/>
          <w:sz w:val="22"/>
          <w:szCs w:val="22"/>
          <w:lang w:val="es-MX"/>
        </w:rPr>
        <w:t>(</w:t>
      </w:r>
      <w:r w:rsidR="001966E2" w:rsidRPr="001A3B3A">
        <w:rPr>
          <w:rFonts w:ascii="Verdana" w:hAnsi="Verdana" w:cs="Arial"/>
          <w:sz w:val="22"/>
          <w:szCs w:val="22"/>
          <w:lang w:val="es-MX"/>
        </w:rPr>
        <w:t>5</w:t>
      </w:r>
      <w:r w:rsidR="004B209D" w:rsidRPr="001A3B3A">
        <w:rPr>
          <w:rFonts w:ascii="Verdana" w:hAnsi="Verdana" w:cs="Arial"/>
          <w:sz w:val="22"/>
          <w:szCs w:val="22"/>
          <w:lang w:val="es-MX"/>
        </w:rPr>
        <w:t>89 empresas)</w:t>
      </w:r>
      <w:r w:rsidRPr="001A3B3A">
        <w:rPr>
          <w:rFonts w:ascii="Verdana" w:hAnsi="Verdana" w:cs="Arial"/>
          <w:sz w:val="22"/>
          <w:szCs w:val="22"/>
          <w:lang w:val="es-MX"/>
        </w:rPr>
        <w:t xml:space="preserve"> se logró identificar que el </w:t>
      </w:r>
      <w:r w:rsidR="008A44C4" w:rsidRPr="001A3B3A">
        <w:rPr>
          <w:rFonts w:ascii="Verdana" w:hAnsi="Verdana" w:cs="Arial"/>
          <w:b/>
          <w:bCs/>
          <w:sz w:val="22"/>
          <w:szCs w:val="22"/>
          <w:lang w:val="es-MX"/>
        </w:rPr>
        <w:t>8</w:t>
      </w:r>
      <w:r w:rsidR="00893310" w:rsidRPr="001A3B3A">
        <w:rPr>
          <w:rFonts w:ascii="Verdana" w:hAnsi="Verdana" w:cs="Arial"/>
          <w:b/>
          <w:bCs/>
          <w:sz w:val="22"/>
          <w:szCs w:val="22"/>
          <w:lang w:val="es-MX"/>
        </w:rPr>
        <w:t>2</w:t>
      </w:r>
      <w:r w:rsidRPr="001A3B3A">
        <w:rPr>
          <w:rFonts w:ascii="Verdana" w:hAnsi="Verdana" w:cs="Arial"/>
          <w:b/>
          <w:bCs/>
          <w:sz w:val="22"/>
          <w:szCs w:val="22"/>
          <w:lang w:val="es-MX"/>
        </w:rPr>
        <w:t>%</w:t>
      </w:r>
      <w:r w:rsidR="00893310" w:rsidRPr="001A3B3A">
        <w:rPr>
          <w:rFonts w:ascii="Verdana" w:hAnsi="Verdana" w:cs="Arial"/>
          <w:b/>
          <w:bCs/>
          <w:sz w:val="22"/>
          <w:szCs w:val="22"/>
          <w:lang w:val="es-MX"/>
        </w:rPr>
        <w:t xml:space="preserve"> (483)</w:t>
      </w:r>
      <w:r w:rsidRPr="001A3B3A">
        <w:rPr>
          <w:rFonts w:ascii="Verdana" w:hAnsi="Verdana" w:cs="Arial"/>
          <w:sz w:val="22"/>
          <w:szCs w:val="22"/>
          <w:lang w:val="es-MX"/>
        </w:rPr>
        <w:t xml:space="preserve"> de las empresas se clasifican como MiPymes, y en consonancia con lo definido en el artículo 2.2.1.2.4.2.18. del decreto 1860 de 2021, mediante el cual se busca establecer Criterios diferenciales para MiPymes en el sistema de compras públicas, se replicó el análisis financiero de las empresas del sector identificadas, limitando la muestra a aquellas empresas categorizadas como MiPymes, </w:t>
      </w:r>
      <w:r w:rsidRPr="00445A67">
        <w:rPr>
          <w:rFonts w:ascii="Verdana" w:hAnsi="Verdana" w:cs="Arial"/>
          <w:sz w:val="22"/>
          <w:szCs w:val="22"/>
          <w:lang w:val="es-MX"/>
        </w:rPr>
        <w:t>obteniendo los siguientes resultados:</w:t>
      </w:r>
    </w:p>
    <w:p w14:paraId="454206AE" w14:textId="77777777" w:rsidR="00CF739E" w:rsidRPr="00445A67" w:rsidRDefault="00CF739E" w:rsidP="00EB56A0">
      <w:pPr>
        <w:jc w:val="both"/>
        <w:rPr>
          <w:rFonts w:ascii="Verdana" w:hAnsi="Verdana" w:cs="Arial"/>
          <w:sz w:val="22"/>
          <w:szCs w:val="22"/>
          <w:lang w:val="es-MX"/>
        </w:rPr>
      </w:pPr>
    </w:p>
    <w:p w14:paraId="573E438F" w14:textId="6F34EBFC" w:rsidR="00CF739E" w:rsidRPr="00445A67" w:rsidRDefault="00CF739E" w:rsidP="00CF739E">
      <w:pPr>
        <w:pStyle w:val="Descripcin"/>
        <w:jc w:val="both"/>
        <w:rPr>
          <w:rFonts w:ascii="Verdana" w:hAnsi="Verdana" w:cs="Arial"/>
          <w:sz w:val="24"/>
          <w:szCs w:val="24"/>
          <w:lang w:val="es-MX"/>
        </w:rPr>
      </w:pPr>
      <w:bookmarkStart w:id="551" w:name="_Toc180136836"/>
      <w:bookmarkStart w:id="552" w:name="_Toc231368700"/>
      <w:r w:rsidRPr="00445A67">
        <w:rPr>
          <w:rFonts w:ascii="Verdana" w:hAnsi="Verdana"/>
          <w:sz w:val="22"/>
          <w:szCs w:val="22"/>
        </w:rPr>
        <w:t xml:space="preserve">Tabla </w:t>
      </w:r>
      <w:r w:rsidRPr="00445A67">
        <w:rPr>
          <w:rFonts w:ascii="Verdana" w:hAnsi="Verdana"/>
          <w:sz w:val="22"/>
          <w:szCs w:val="22"/>
        </w:rPr>
        <w:fldChar w:fldCharType="begin"/>
      </w:r>
      <w:r w:rsidRPr="00445A67">
        <w:rPr>
          <w:rFonts w:ascii="Verdana" w:hAnsi="Verdana"/>
          <w:sz w:val="22"/>
          <w:szCs w:val="22"/>
        </w:rPr>
        <w:instrText xml:space="preserve"> SEQ Tabla \* ARABIC </w:instrText>
      </w:r>
      <w:r w:rsidRPr="00445A67">
        <w:rPr>
          <w:rFonts w:ascii="Verdana" w:hAnsi="Verdana"/>
          <w:sz w:val="22"/>
          <w:szCs w:val="22"/>
        </w:rPr>
        <w:fldChar w:fldCharType="separate"/>
      </w:r>
      <w:r w:rsidR="00600DF8">
        <w:rPr>
          <w:rFonts w:ascii="Verdana" w:hAnsi="Verdana"/>
          <w:noProof/>
          <w:sz w:val="22"/>
          <w:szCs w:val="22"/>
        </w:rPr>
        <w:t>33</w:t>
      </w:r>
      <w:r w:rsidRPr="00445A67">
        <w:rPr>
          <w:rFonts w:ascii="Verdana" w:hAnsi="Verdana"/>
          <w:sz w:val="22"/>
          <w:szCs w:val="22"/>
        </w:rPr>
        <w:fldChar w:fldCharType="end"/>
      </w:r>
      <w:r w:rsidRPr="00445A67">
        <w:rPr>
          <w:rFonts w:ascii="Verdana" w:hAnsi="Verdana"/>
          <w:sz w:val="22"/>
          <w:szCs w:val="22"/>
        </w:rPr>
        <w:t>. Indicadores de capacidad financiera y organizacional promedio del sector (MiPymes). Promedio de la muestra normalizada utilizando el criterio del rango intercuartílico</w:t>
      </w:r>
      <w:bookmarkEnd w:id="551"/>
      <w:bookmarkEnd w:id="552"/>
    </w:p>
    <w:tbl>
      <w:tblPr>
        <w:tblW w:w="0" w:type="auto"/>
        <w:jc w:val="center"/>
        <w:tblCellMar>
          <w:left w:w="70" w:type="dxa"/>
          <w:right w:w="70" w:type="dxa"/>
        </w:tblCellMar>
        <w:tblLook w:val="04A0" w:firstRow="1" w:lastRow="0" w:firstColumn="1" w:lastColumn="0" w:noHBand="0" w:noVBand="1"/>
      </w:tblPr>
      <w:tblGrid>
        <w:gridCol w:w="556"/>
        <w:gridCol w:w="990"/>
        <w:gridCol w:w="1543"/>
        <w:gridCol w:w="1135"/>
        <w:gridCol w:w="1332"/>
        <w:gridCol w:w="1332"/>
        <w:gridCol w:w="1358"/>
        <w:gridCol w:w="1373"/>
      </w:tblGrid>
      <w:tr w:rsidR="00780165" w:rsidRPr="00445A67" w14:paraId="3BCDFDF4" w14:textId="77777777" w:rsidTr="00080264">
        <w:trPr>
          <w:trHeight w:val="765"/>
          <w:tblHeader/>
          <w:jc w:val="center"/>
        </w:trPr>
        <w:tc>
          <w:tcPr>
            <w:tcW w:w="556" w:type="dxa"/>
            <w:tcBorders>
              <w:top w:val="single" w:sz="8" w:space="0" w:color="auto"/>
              <w:left w:val="single" w:sz="8" w:space="0" w:color="auto"/>
              <w:bottom w:val="single" w:sz="8" w:space="0" w:color="auto"/>
              <w:right w:val="single" w:sz="8" w:space="0" w:color="auto"/>
            </w:tcBorders>
            <w:noWrap/>
            <w:vAlign w:val="center"/>
            <w:hideMark/>
          </w:tcPr>
          <w:p w14:paraId="34029F60" w14:textId="77777777" w:rsidR="00780165" w:rsidRPr="00445A67" w:rsidRDefault="00780165" w:rsidP="0044671B">
            <w:pPr>
              <w:rPr>
                <w:rFonts w:ascii="Verdana" w:hAnsi="Verdana" w:cs="Arial"/>
                <w:color w:val="000000"/>
                <w:sz w:val="14"/>
                <w:szCs w:val="14"/>
                <w:lang w:eastAsia="es-CO"/>
              </w:rPr>
            </w:pPr>
            <w:r w:rsidRPr="00445A67">
              <w:rPr>
                <w:rFonts w:ascii="Verdana" w:hAnsi="Verdana" w:cs="Arial"/>
                <w:color w:val="000000"/>
                <w:sz w:val="14"/>
                <w:szCs w:val="14"/>
                <w:lang w:eastAsia="es-CO"/>
              </w:rPr>
              <w:t> </w:t>
            </w:r>
          </w:p>
        </w:tc>
        <w:tc>
          <w:tcPr>
            <w:tcW w:w="990" w:type="dxa"/>
            <w:tcBorders>
              <w:top w:val="single" w:sz="8" w:space="0" w:color="auto"/>
              <w:left w:val="nil"/>
              <w:bottom w:val="single" w:sz="4" w:space="0" w:color="auto"/>
              <w:right w:val="single" w:sz="8" w:space="0" w:color="auto"/>
            </w:tcBorders>
            <w:shd w:val="clear" w:color="000000" w:fill="D9D9D9"/>
            <w:vAlign w:val="center"/>
            <w:hideMark/>
          </w:tcPr>
          <w:p w14:paraId="63A8FA51" w14:textId="7777777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ÍNDICE DE LIQUIDEZ</w:t>
            </w:r>
            <w:r w:rsidRPr="00445A67">
              <w:rPr>
                <w:rFonts w:ascii="Verdana" w:hAnsi="Verdana" w:cs="Arial"/>
                <w:b/>
                <w:bCs/>
                <w:color w:val="000000"/>
                <w:sz w:val="14"/>
                <w:szCs w:val="14"/>
                <w:lang w:eastAsia="es-CO"/>
              </w:rPr>
              <w:br/>
              <w:t>(Veces)</w:t>
            </w:r>
          </w:p>
        </w:tc>
        <w:tc>
          <w:tcPr>
            <w:tcW w:w="1543" w:type="dxa"/>
            <w:tcBorders>
              <w:top w:val="single" w:sz="8" w:space="0" w:color="auto"/>
              <w:left w:val="nil"/>
              <w:bottom w:val="single" w:sz="4" w:space="0" w:color="auto"/>
              <w:right w:val="single" w:sz="8" w:space="0" w:color="auto"/>
            </w:tcBorders>
            <w:shd w:val="clear" w:color="000000" w:fill="D9D9D9"/>
            <w:vAlign w:val="center"/>
            <w:hideMark/>
          </w:tcPr>
          <w:p w14:paraId="6497EA76" w14:textId="7777777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 xml:space="preserve">ÍNDICE DE ENDEUDAMIENTO </w:t>
            </w:r>
          </w:p>
        </w:tc>
        <w:tc>
          <w:tcPr>
            <w:tcW w:w="1135" w:type="dxa"/>
            <w:tcBorders>
              <w:top w:val="single" w:sz="8" w:space="0" w:color="auto"/>
              <w:left w:val="nil"/>
              <w:bottom w:val="single" w:sz="4" w:space="0" w:color="auto"/>
              <w:right w:val="single" w:sz="8" w:space="0" w:color="auto"/>
            </w:tcBorders>
            <w:shd w:val="clear" w:color="000000" w:fill="D9D9D9"/>
            <w:vAlign w:val="center"/>
            <w:hideMark/>
          </w:tcPr>
          <w:p w14:paraId="330AA66E" w14:textId="7777777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RAZÓN DE COBERTURA DE INTERESES (Veces)</w:t>
            </w:r>
          </w:p>
        </w:tc>
        <w:tc>
          <w:tcPr>
            <w:tcW w:w="1332" w:type="dxa"/>
            <w:tcBorders>
              <w:top w:val="single" w:sz="8" w:space="0" w:color="auto"/>
              <w:left w:val="nil"/>
              <w:bottom w:val="single" w:sz="4" w:space="0" w:color="auto"/>
              <w:right w:val="single" w:sz="8" w:space="0" w:color="auto"/>
            </w:tcBorders>
            <w:shd w:val="clear" w:color="000000" w:fill="D9D9D9"/>
            <w:vAlign w:val="center"/>
            <w:hideMark/>
          </w:tcPr>
          <w:p w14:paraId="3A9FA393" w14:textId="60806FDC"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 xml:space="preserve">CAPITAL DE TRABAJO </w:t>
            </w:r>
          </w:p>
        </w:tc>
        <w:tc>
          <w:tcPr>
            <w:tcW w:w="1332" w:type="dxa"/>
            <w:tcBorders>
              <w:top w:val="single" w:sz="8" w:space="0" w:color="auto"/>
              <w:left w:val="nil"/>
              <w:bottom w:val="single" w:sz="4" w:space="0" w:color="auto"/>
              <w:right w:val="single" w:sz="8" w:space="0" w:color="auto"/>
            </w:tcBorders>
            <w:shd w:val="clear" w:color="000000" w:fill="D9D9D9"/>
            <w:vAlign w:val="center"/>
            <w:hideMark/>
          </w:tcPr>
          <w:p w14:paraId="19532189" w14:textId="3A502F0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 xml:space="preserve">PATRIMONIO </w:t>
            </w:r>
          </w:p>
        </w:tc>
        <w:tc>
          <w:tcPr>
            <w:tcW w:w="1358" w:type="dxa"/>
            <w:tcBorders>
              <w:top w:val="single" w:sz="8" w:space="0" w:color="auto"/>
              <w:left w:val="nil"/>
              <w:bottom w:val="single" w:sz="4" w:space="0" w:color="auto"/>
              <w:right w:val="single" w:sz="8" w:space="0" w:color="auto"/>
            </w:tcBorders>
            <w:shd w:val="clear" w:color="000000" w:fill="D9D9D9"/>
            <w:vAlign w:val="center"/>
            <w:hideMark/>
          </w:tcPr>
          <w:p w14:paraId="253A4429" w14:textId="7777777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 xml:space="preserve">RENTABILIDAD DEL PATRIMONIO </w:t>
            </w:r>
          </w:p>
        </w:tc>
        <w:tc>
          <w:tcPr>
            <w:tcW w:w="0" w:type="auto"/>
            <w:tcBorders>
              <w:top w:val="single" w:sz="8" w:space="0" w:color="auto"/>
              <w:left w:val="nil"/>
              <w:bottom w:val="single" w:sz="4" w:space="0" w:color="auto"/>
              <w:right w:val="single" w:sz="8" w:space="0" w:color="auto"/>
            </w:tcBorders>
            <w:shd w:val="clear" w:color="000000" w:fill="D9D9D9"/>
            <w:vAlign w:val="center"/>
            <w:hideMark/>
          </w:tcPr>
          <w:p w14:paraId="4755A5FF" w14:textId="77777777" w:rsidR="00780165" w:rsidRPr="00445A67" w:rsidRDefault="00780165" w:rsidP="0044671B">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RENTABILIDAD DEL ACTIVO</w:t>
            </w:r>
          </w:p>
        </w:tc>
      </w:tr>
      <w:tr w:rsidR="00080264" w:rsidRPr="00445A67" w14:paraId="7645431A" w14:textId="77777777" w:rsidTr="00080264">
        <w:trPr>
          <w:trHeight w:val="315"/>
          <w:jc w:val="center"/>
        </w:trPr>
        <w:tc>
          <w:tcPr>
            <w:tcW w:w="556" w:type="dxa"/>
            <w:tcBorders>
              <w:top w:val="nil"/>
              <w:left w:val="single" w:sz="8" w:space="0" w:color="auto"/>
              <w:bottom w:val="single" w:sz="8" w:space="0" w:color="auto"/>
              <w:right w:val="single" w:sz="4" w:space="0" w:color="auto"/>
            </w:tcBorders>
            <w:vAlign w:val="center"/>
            <w:hideMark/>
          </w:tcPr>
          <w:p w14:paraId="68945D11" w14:textId="4315AAB5" w:rsidR="00080264" w:rsidRPr="00445A67" w:rsidRDefault="00080264" w:rsidP="00080264">
            <w:pPr>
              <w:jc w:val="center"/>
              <w:rPr>
                <w:rFonts w:ascii="Verdana" w:hAnsi="Verdana" w:cs="Arial"/>
                <w:b/>
                <w:bCs/>
                <w:color w:val="000000"/>
                <w:sz w:val="14"/>
                <w:szCs w:val="14"/>
                <w:lang w:eastAsia="es-CO"/>
              </w:rPr>
            </w:pPr>
            <w:r w:rsidRPr="00445A67">
              <w:rPr>
                <w:rFonts w:ascii="Verdana" w:hAnsi="Verdana" w:cs="Arial"/>
                <w:b/>
                <w:bCs/>
                <w:color w:val="000000"/>
                <w:sz w:val="14"/>
                <w:szCs w:val="14"/>
                <w:lang w:eastAsia="es-CO"/>
              </w:rPr>
              <w:t>202</w:t>
            </w:r>
            <w:r w:rsidR="00445A67">
              <w:rPr>
                <w:rFonts w:ascii="Verdana" w:hAnsi="Verdana" w:cs="Arial"/>
                <w:b/>
                <w:bCs/>
                <w:color w:val="000000"/>
                <w:sz w:val="14"/>
                <w:szCs w:val="14"/>
                <w:lang w:eastAsia="es-CO"/>
              </w:rPr>
              <w:t>5</w:t>
            </w:r>
          </w:p>
        </w:tc>
        <w:tc>
          <w:tcPr>
            <w:tcW w:w="990" w:type="dxa"/>
            <w:tcBorders>
              <w:top w:val="single" w:sz="4" w:space="0" w:color="auto"/>
              <w:left w:val="single" w:sz="4" w:space="0" w:color="auto"/>
              <w:bottom w:val="single" w:sz="4" w:space="0" w:color="auto"/>
              <w:right w:val="single" w:sz="4" w:space="0" w:color="auto"/>
            </w:tcBorders>
            <w:noWrap/>
            <w:vAlign w:val="center"/>
          </w:tcPr>
          <w:p w14:paraId="1EC356CE" w14:textId="5B6D969C"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16,76</w:t>
            </w:r>
          </w:p>
        </w:tc>
        <w:tc>
          <w:tcPr>
            <w:tcW w:w="1543" w:type="dxa"/>
            <w:tcBorders>
              <w:top w:val="single" w:sz="4" w:space="0" w:color="auto"/>
              <w:left w:val="single" w:sz="4" w:space="0" w:color="auto"/>
              <w:bottom w:val="single" w:sz="4" w:space="0" w:color="auto"/>
              <w:right w:val="single" w:sz="4" w:space="0" w:color="auto"/>
            </w:tcBorders>
            <w:noWrap/>
            <w:vAlign w:val="center"/>
          </w:tcPr>
          <w:p w14:paraId="46E5D974" w14:textId="76FE1999"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0,27</w:t>
            </w:r>
          </w:p>
        </w:tc>
        <w:tc>
          <w:tcPr>
            <w:tcW w:w="1135" w:type="dxa"/>
            <w:tcBorders>
              <w:top w:val="single" w:sz="4" w:space="0" w:color="auto"/>
              <w:left w:val="single" w:sz="4" w:space="0" w:color="auto"/>
              <w:bottom w:val="single" w:sz="4" w:space="0" w:color="auto"/>
              <w:right w:val="single" w:sz="4" w:space="0" w:color="auto"/>
            </w:tcBorders>
            <w:noWrap/>
            <w:vAlign w:val="center"/>
          </w:tcPr>
          <w:p w14:paraId="7AD40EF4" w14:textId="77DB7C18"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137,83</w:t>
            </w:r>
          </w:p>
        </w:tc>
        <w:tc>
          <w:tcPr>
            <w:tcW w:w="1332" w:type="dxa"/>
            <w:tcBorders>
              <w:top w:val="single" w:sz="4" w:space="0" w:color="auto"/>
              <w:left w:val="single" w:sz="4" w:space="0" w:color="auto"/>
              <w:bottom w:val="single" w:sz="4" w:space="0" w:color="auto"/>
              <w:right w:val="single" w:sz="4" w:space="0" w:color="auto"/>
            </w:tcBorders>
            <w:noWrap/>
            <w:vAlign w:val="center"/>
          </w:tcPr>
          <w:p w14:paraId="344EA259" w14:textId="0E26C040"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$ 1.821.445.551</w:t>
            </w:r>
          </w:p>
        </w:tc>
        <w:tc>
          <w:tcPr>
            <w:tcW w:w="1332" w:type="dxa"/>
            <w:tcBorders>
              <w:top w:val="single" w:sz="4" w:space="0" w:color="auto"/>
              <w:left w:val="single" w:sz="4" w:space="0" w:color="auto"/>
              <w:bottom w:val="single" w:sz="4" w:space="0" w:color="auto"/>
              <w:right w:val="single" w:sz="4" w:space="0" w:color="auto"/>
            </w:tcBorders>
            <w:noWrap/>
            <w:vAlign w:val="center"/>
          </w:tcPr>
          <w:p w14:paraId="47B705FA" w14:textId="3916F6FE"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$ 1.905.652.355</w:t>
            </w:r>
          </w:p>
        </w:tc>
        <w:tc>
          <w:tcPr>
            <w:tcW w:w="1358" w:type="dxa"/>
            <w:tcBorders>
              <w:top w:val="single" w:sz="4" w:space="0" w:color="auto"/>
              <w:left w:val="single" w:sz="4" w:space="0" w:color="auto"/>
              <w:bottom w:val="single" w:sz="4" w:space="0" w:color="auto"/>
              <w:right w:val="single" w:sz="4" w:space="0" w:color="auto"/>
            </w:tcBorders>
            <w:noWrap/>
            <w:vAlign w:val="center"/>
          </w:tcPr>
          <w:p w14:paraId="536D12E6" w14:textId="5C8C8B39"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0,26</w:t>
            </w:r>
          </w:p>
        </w:tc>
        <w:tc>
          <w:tcPr>
            <w:tcW w:w="0" w:type="auto"/>
            <w:tcBorders>
              <w:top w:val="single" w:sz="4" w:space="0" w:color="auto"/>
              <w:left w:val="single" w:sz="4" w:space="0" w:color="auto"/>
              <w:bottom w:val="single" w:sz="4" w:space="0" w:color="auto"/>
              <w:right w:val="single" w:sz="4" w:space="0" w:color="auto"/>
            </w:tcBorders>
            <w:noWrap/>
            <w:vAlign w:val="center"/>
          </w:tcPr>
          <w:p w14:paraId="1A7ADB8C" w14:textId="41CB371E" w:rsidR="00080264" w:rsidRPr="00D64E73" w:rsidRDefault="00080264" w:rsidP="00080264">
            <w:pPr>
              <w:jc w:val="center"/>
              <w:rPr>
                <w:rFonts w:ascii="Verdana" w:hAnsi="Verdana"/>
                <w:color w:val="000000"/>
                <w:sz w:val="14"/>
                <w:szCs w:val="14"/>
              </w:rPr>
            </w:pPr>
            <w:r w:rsidRPr="00D64E73">
              <w:rPr>
                <w:rFonts w:ascii="Verdana" w:hAnsi="Verdana"/>
                <w:color w:val="000000"/>
                <w:sz w:val="14"/>
                <w:szCs w:val="14"/>
              </w:rPr>
              <w:t>0,18</w:t>
            </w:r>
          </w:p>
        </w:tc>
      </w:tr>
    </w:tbl>
    <w:p w14:paraId="00E08E45" w14:textId="236388B1" w:rsidR="00780165" w:rsidRPr="00600DF8" w:rsidRDefault="0035048A" w:rsidP="00780165">
      <w:pPr>
        <w:jc w:val="center"/>
        <w:rPr>
          <w:rFonts w:ascii="Verdana" w:hAnsi="Verdana" w:cs="Arial"/>
          <w:sz w:val="22"/>
          <w:szCs w:val="22"/>
          <w:lang w:val="es-MX"/>
        </w:rPr>
      </w:pPr>
      <w:r w:rsidRPr="00600DF8">
        <w:rPr>
          <w:rFonts w:ascii="Verdana" w:hAnsi="Verdana" w:cs="Arial"/>
          <w:b/>
          <w:bCs/>
          <w:sz w:val="22"/>
          <w:szCs w:val="22"/>
          <w:lang w:val="es-MX"/>
        </w:rPr>
        <w:t>Fuente</w:t>
      </w:r>
      <w:r w:rsidRPr="00600DF8">
        <w:rPr>
          <w:rFonts w:ascii="Verdana" w:hAnsi="Verdana" w:cs="Arial"/>
          <w:sz w:val="22"/>
          <w:szCs w:val="22"/>
          <w:lang w:val="es-MX"/>
        </w:rPr>
        <w:t xml:space="preserve">: </w:t>
      </w:r>
      <w:r w:rsidR="00780165" w:rsidRPr="00600DF8">
        <w:rPr>
          <w:rFonts w:ascii="Verdana" w:hAnsi="Verdana" w:cs="Arial"/>
          <w:sz w:val="22"/>
          <w:szCs w:val="22"/>
          <w:lang w:val="es-MX"/>
        </w:rPr>
        <w:t>Elaboración propia</w:t>
      </w:r>
    </w:p>
    <w:p w14:paraId="2D8D0D3B" w14:textId="77777777" w:rsidR="00CF739E" w:rsidRPr="00611315" w:rsidRDefault="00CF739E" w:rsidP="00EB56A0">
      <w:pPr>
        <w:jc w:val="both"/>
        <w:rPr>
          <w:rFonts w:ascii="Verdana" w:hAnsi="Verdana" w:cs="Arial"/>
          <w:sz w:val="22"/>
          <w:szCs w:val="22"/>
          <w:highlight w:val="yellow"/>
          <w:lang w:val="es-MX"/>
        </w:rPr>
      </w:pPr>
    </w:p>
    <w:p w14:paraId="733028B7" w14:textId="77777777" w:rsidR="0035048A" w:rsidRPr="00611315" w:rsidRDefault="0035048A" w:rsidP="00BB4E77">
      <w:pPr>
        <w:jc w:val="both"/>
        <w:rPr>
          <w:rFonts w:ascii="Verdana" w:hAnsi="Verdana" w:cs="Arial"/>
          <w:sz w:val="22"/>
          <w:szCs w:val="22"/>
          <w:highlight w:val="yellow"/>
          <w:lang w:val="es-MX"/>
        </w:rPr>
      </w:pPr>
    </w:p>
    <w:p w14:paraId="64B429A4" w14:textId="24BFA920" w:rsidR="0035048A" w:rsidRPr="007409A3" w:rsidRDefault="0035048A" w:rsidP="0035048A">
      <w:pPr>
        <w:jc w:val="both"/>
        <w:rPr>
          <w:rFonts w:ascii="Verdana" w:hAnsi="Verdana" w:cs="Arial"/>
          <w:sz w:val="22"/>
          <w:szCs w:val="22"/>
          <w:lang w:val="es-MX"/>
        </w:rPr>
      </w:pPr>
      <w:r w:rsidRPr="00445A67">
        <w:rPr>
          <w:rFonts w:ascii="Verdana" w:hAnsi="Verdana" w:cs="Arial"/>
          <w:sz w:val="22"/>
          <w:szCs w:val="22"/>
          <w:lang w:val="es-MX"/>
        </w:rPr>
        <w:t xml:space="preserve">Por otro lado, a </w:t>
      </w:r>
      <w:proofErr w:type="gramStart"/>
      <w:r w:rsidRPr="00445A67">
        <w:rPr>
          <w:rFonts w:ascii="Verdana" w:hAnsi="Verdana" w:cs="Arial"/>
          <w:sz w:val="22"/>
          <w:szCs w:val="22"/>
          <w:lang w:val="es-MX"/>
        </w:rPr>
        <w:t>continuación</w:t>
      </w:r>
      <w:proofErr w:type="gramEnd"/>
      <w:r w:rsidRPr="00445A67">
        <w:rPr>
          <w:rFonts w:ascii="Verdana" w:hAnsi="Verdana" w:cs="Arial"/>
          <w:sz w:val="22"/>
          <w:szCs w:val="22"/>
          <w:lang w:val="es-MX"/>
        </w:rPr>
        <w:t xml:space="preserve"> se detalla los resultados promedio para cada segmento </w:t>
      </w:r>
      <w:r w:rsidRPr="007409A3">
        <w:rPr>
          <w:rFonts w:ascii="Verdana" w:hAnsi="Verdana" w:cs="Arial"/>
          <w:sz w:val="22"/>
          <w:szCs w:val="22"/>
          <w:lang w:val="es-MX"/>
        </w:rPr>
        <w:t xml:space="preserve">empresarial que integran las </w:t>
      </w:r>
      <w:r w:rsidR="00445A67" w:rsidRPr="007409A3">
        <w:rPr>
          <w:rFonts w:ascii="Verdana" w:hAnsi="Verdana" w:cs="Arial"/>
          <w:sz w:val="22"/>
          <w:szCs w:val="22"/>
          <w:lang w:val="es-MX"/>
        </w:rPr>
        <w:t>MiPymes</w:t>
      </w:r>
      <w:r w:rsidRPr="007409A3">
        <w:rPr>
          <w:rFonts w:ascii="Verdana" w:hAnsi="Verdana" w:cs="Arial"/>
          <w:sz w:val="22"/>
          <w:szCs w:val="22"/>
          <w:lang w:val="es-MX"/>
        </w:rPr>
        <w:t>, para cada uno de los indicadores analizados:</w:t>
      </w:r>
    </w:p>
    <w:p w14:paraId="6EAE63B9" w14:textId="77777777" w:rsidR="0035048A" w:rsidRPr="007409A3" w:rsidRDefault="0035048A" w:rsidP="0035048A">
      <w:pPr>
        <w:jc w:val="both"/>
        <w:rPr>
          <w:rFonts w:ascii="Verdana" w:hAnsi="Verdana" w:cs="Arial"/>
          <w:sz w:val="22"/>
          <w:szCs w:val="22"/>
          <w:lang w:val="es-MX"/>
        </w:rPr>
      </w:pPr>
    </w:p>
    <w:p w14:paraId="3334A6AB" w14:textId="27D6112F" w:rsidR="0035048A" w:rsidRPr="007409A3" w:rsidRDefault="0035048A" w:rsidP="00447A32">
      <w:pPr>
        <w:pStyle w:val="Descripcin"/>
        <w:jc w:val="center"/>
        <w:rPr>
          <w:rFonts w:ascii="Verdana" w:hAnsi="Verdana" w:cs="Arial"/>
          <w:sz w:val="24"/>
          <w:szCs w:val="24"/>
          <w:lang w:val="es-MX"/>
        </w:rPr>
      </w:pPr>
      <w:bookmarkStart w:id="553" w:name="_Toc231368701"/>
      <w:r w:rsidRPr="007409A3">
        <w:rPr>
          <w:rFonts w:ascii="Verdana" w:hAnsi="Verdana"/>
          <w:sz w:val="22"/>
          <w:szCs w:val="22"/>
        </w:rPr>
        <w:t xml:space="preserve">Tabla </w:t>
      </w:r>
      <w:r w:rsidRPr="007409A3">
        <w:rPr>
          <w:rFonts w:ascii="Verdana" w:hAnsi="Verdana"/>
          <w:sz w:val="22"/>
          <w:szCs w:val="22"/>
        </w:rPr>
        <w:fldChar w:fldCharType="begin"/>
      </w:r>
      <w:r w:rsidRPr="007409A3">
        <w:rPr>
          <w:rFonts w:ascii="Verdana" w:hAnsi="Verdana"/>
          <w:sz w:val="22"/>
          <w:szCs w:val="22"/>
        </w:rPr>
        <w:instrText xml:space="preserve"> SEQ Tabla \* ARABIC </w:instrText>
      </w:r>
      <w:r w:rsidRPr="007409A3">
        <w:rPr>
          <w:rFonts w:ascii="Verdana" w:hAnsi="Verdana"/>
          <w:sz w:val="22"/>
          <w:szCs w:val="22"/>
        </w:rPr>
        <w:fldChar w:fldCharType="separate"/>
      </w:r>
      <w:r w:rsidR="00D64E73">
        <w:rPr>
          <w:rFonts w:ascii="Verdana" w:hAnsi="Verdana"/>
          <w:noProof/>
          <w:sz w:val="22"/>
          <w:szCs w:val="22"/>
        </w:rPr>
        <w:t>34</w:t>
      </w:r>
      <w:r w:rsidRPr="007409A3">
        <w:rPr>
          <w:rFonts w:ascii="Verdana" w:hAnsi="Verdana"/>
          <w:sz w:val="22"/>
          <w:szCs w:val="22"/>
        </w:rPr>
        <w:fldChar w:fldCharType="end"/>
      </w:r>
      <w:r w:rsidRPr="007409A3">
        <w:rPr>
          <w:rFonts w:ascii="Verdana" w:hAnsi="Verdana"/>
          <w:sz w:val="22"/>
          <w:szCs w:val="22"/>
        </w:rPr>
        <w:t>. Indicadores de capacidad financiera y organizacional promedio segmentado (MiPymes).</w:t>
      </w:r>
      <w:bookmarkEnd w:id="553"/>
    </w:p>
    <w:tbl>
      <w:tblPr>
        <w:tblW w:w="11412" w:type="dxa"/>
        <w:jc w:val="center"/>
        <w:tblCellMar>
          <w:left w:w="70" w:type="dxa"/>
          <w:right w:w="70" w:type="dxa"/>
        </w:tblCellMar>
        <w:tblLook w:val="04A0" w:firstRow="1" w:lastRow="0" w:firstColumn="1" w:lastColumn="0" w:noHBand="0" w:noVBand="1"/>
      </w:tblPr>
      <w:tblGrid>
        <w:gridCol w:w="1430"/>
        <w:gridCol w:w="1036"/>
        <w:gridCol w:w="1743"/>
        <w:gridCol w:w="1237"/>
        <w:gridCol w:w="1451"/>
        <w:gridCol w:w="1451"/>
        <w:gridCol w:w="1532"/>
        <w:gridCol w:w="1532"/>
      </w:tblGrid>
      <w:tr w:rsidR="0035048A" w:rsidRPr="007409A3" w14:paraId="69D3EA94" w14:textId="77777777" w:rsidTr="007409A3">
        <w:trPr>
          <w:trHeight w:val="675"/>
          <w:tblHeader/>
          <w:jc w:val="center"/>
        </w:trPr>
        <w:tc>
          <w:tcPr>
            <w:tcW w:w="14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C08AE67" w14:textId="77777777" w:rsidR="0035048A" w:rsidRPr="007409A3" w:rsidRDefault="0035048A" w:rsidP="00DF1B13">
            <w:pPr>
              <w:jc w:val="center"/>
              <w:rPr>
                <w:rFonts w:ascii="Verdana" w:hAnsi="Verdana"/>
                <w:b/>
                <w:bCs/>
                <w:color w:val="000000"/>
                <w:sz w:val="16"/>
                <w:szCs w:val="16"/>
                <w:lang w:eastAsia="es-CO"/>
              </w:rPr>
            </w:pPr>
            <w:r w:rsidRPr="007409A3">
              <w:rPr>
                <w:rFonts w:ascii="Verdana" w:hAnsi="Verdana"/>
                <w:b/>
                <w:bCs/>
                <w:color w:val="000000"/>
                <w:sz w:val="16"/>
                <w:szCs w:val="16"/>
                <w:lang w:eastAsia="es-CO"/>
              </w:rPr>
              <w:t>TAMAÑO EMPRESARIAL</w:t>
            </w:r>
          </w:p>
        </w:tc>
        <w:tc>
          <w:tcPr>
            <w:tcW w:w="103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7652F"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INDICE DE LIQUIDEZ</w:t>
            </w:r>
          </w:p>
        </w:tc>
        <w:tc>
          <w:tcPr>
            <w:tcW w:w="17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9185A7"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INDICE DE ENDEUDAMIENTO</w:t>
            </w:r>
          </w:p>
        </w:tc>
        <w:tc>
          <w:tcPr>
            <w:tcW w:w="12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C13FBE"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RAZON COBERTURA INTERESES</w:t>
            </w:r>
          </w:p>
        </w:tc>
        <w:tc>
          <w:tcPr>
            <w:tcW w:w="1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B74154"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 xml:space="preserve">CAPITAL DE TRABAJO </w:t>
            </w:r>
          </w:p>
        </w:tc>
        <w:tc>
          <w:tcPr>
            <w:tcW w:w="14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51FD2C"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PATRIMONIO</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6A49AB"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RENTABILIDAD SOBRE PATRIMONIO</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98DFF1" w14:textId="77777777" w:rsidR="0035048A" w:rsidRPr="007409A3" w:rsidRDefault="0035048A" w:rsidP="00DF1B13">
            <w:pPr>
              <w:jc w:val="center"/>
              <w:rPr>
                <w:rFonts w:ascii="Verdana" w:hAnsi="Verdana"/>
                <w:b/>
                <w:bCs/>
                <w:color w:val="000000"/>
                <w:sz w:val="16"/>
                <w:szCs w:val="16"/>
              </w:rPr>
            </w:pPr>
            <w:r w:rsidRPr="007409A3">
              <w:rPr>
                <w:rFonts w:ascii="Verdana" w:hAnsi="Verdana"/>
                <w:b/>
                <w:bCs/>
                <w:color w:val="000000"/>
                <w:sz w:val="16"/>
                <w:szCs w:val="16"/>
                <w:lang w:eastAsia="es-CO"/>
              </w:rPr>
              <w:t>RENTABILIDAD SOBRE ACTIVOS</w:t>
            </w:r>
          </w:p>
        </w:tc>
      </w:tr>
      <w:tr w:rsidR="007409A3" w:rsidRPr="007409A3" w14:paraId="3B56155C" w14:textId="77777777">
        <w:trPr>
          <w:trHeight w:val="300"/>
          <w:jc w:val="center"/>
        </w:trPr>
        <w:tc>
          <w:tcPr>
            <w:tcW w:w="1430" w:type="dxa"/>
            <w:tcBorders>
              <w:top w:val="nil"/>
              <w:left w:val="single" w:sz="4" w:space="0" w:color="auto"/>
              <w:bottom w:val="single" w:sz="4" w:space="0" w:color="auto"/>
              <w:right w:val="single" w:sz="4" w:space="0" w:color="auto"/>
            </w:tcBorders>
            <w:noWrap/>
            <w:vAlign w:val="bottom"/>
            <w:hideMark/>
          </w:tcPr>
          <w:p w14:paraId="01DB1B4B" w14:textId="77777777" w:rsidR="007409A3" w:rsidRPr="007409A3" w:rsidRDefault="007409A3" w:rsidP="007409A3">
            <w:pPr>
              <w:rPr>
                <w:rFonts w:ascii="Verdana" w:hAnsi="Verdana"/>
                <w:color w:val="000000"/>
                <w:sz w:val="16"/>
                <w:szCs w:val="16"/>
              </w:rPr>
            </w:pPr>
            <w:r w:rsidRPr="007409A3">
              <w:rPr>
                <w:rFonts w:ascii="Verdana" w:hAnsi="Verdana"/>
                <w:color w:val="000000"/>
                <w:sz w:val="16"/>
                <w:szCs w:val="16"/>
              </w:rPr>
              <w:t>Microempresa</w:t>
            </w:r>
          </w:p>
        </w:tc>
        <w:tc>
          <w:tcPr>
            <w:tcW w:w="1036" w:type="dxa"/>
            <w:tcBorders>
              <w:top w:val="single" w:sz="4" w:space="0" w:color="auto"/>
              <w:left w:val="single" w:sz="4" w:space="0" w:color="auto"/>
              <w:bottom w:val="single" w:sz="4" w:space="0" w:color="auto"/>
              <w:right w:val="single" w:sz="4" w:space="0" w:color="auto"/>
            </w:tcBorders>
            <w:vAlign w:val="center"/>
          </w:tcPr>
          <w:p w14:paraId="4DB2B276" w14:textId="0236FF36"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20,67</w:t>
            </w:r>
          </w:p>
        </w:tc>
        <w:tc>
          <w:tcPr>
            <w:tcW w:w="1743" w:type="dxa"/>
            <w:tcBorders>
              <w:top w:val="single" w:sz="4" w:space="0" w:color="auto"/>
              <w:left w:val="nil"/>
              <w:bottom w:val="single" w:sz="4" w:space="0" w:color="auto"/>
              <w:right w:val="single" w:sz="4" w:space="0" w:color="auto"/>
            </w:tcBorders>
            <w:vAlign w:val="center"/>
          </w:tcPr>
          <w:p w14:paraId="5B7524C5" w14:textId="12E95931"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0,21</w:t>
            </w:r>
          </w:p>
        </w:tc>
        <w:tc>
          <w:tcPr>
            <w:tcW w:w="1237" w:type="dxa"/>
            <w:tcBorders>
              <w:top w:val="single" w:sz="4" w:space="0" w:color="auto"/>
              <w:left w:val="nil"/>
              <w:bottom w:val="single" w:sz="4" w:space="0" w:color="auto"/>
              <w:right w:val="single" w:sz="4" w:space="0" w:color="auto"/>
            </w:tcBorders>
            <w:vAlign w:val="center"/>
          </w:tcPr>
          <w:p w14:paraId="38108A7C" w14:textId="1D0F647A"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163,68</w:t>
            </w:r>
          </w:p>
        </w:tc>
        <w:tc>
          <w:tcPr>
            <w:tcW w:w="1451" w:type="dxa"/>
            <w:tcBorders>
              <w:top w:val="single" w:sz="4" w:space="0" w:color="auto"/>
              <w:left w:val="nil"/>
              <w:bottom w:val="single" w:sz="4" w:space="0" w:color="auto"/>
              <w:right w:val="single" w:sz="4" w:space="0" w:color="auto"/>
            </w:tcBorders>
            <w:vAlign w:val="center"/>
          </w:tcPr>
          <w:p w14:paraId="6D9D869E" w14:textId="728E6539"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$ 918.350.266</w:t>
            </w:r>
          </w:p>
        </w:tc>
        <w:tc>
          <w:tcPr>
            <w:tcW w:w="1451" w:type="dxa"/>
            <w:tcBorders>
              <w:top w:val="single" w:sz="4" w:space="0" w:color="auto"/>
              <w:left w:val="nil"/>
              <w:bottom w:val="single" w:sz="4" w:space="0" w:color="auto"/>
              <w:right w:val="single" w:sz="4" w:space="0" w:color="auto"/>
            </w:tcBorders>
            <w:vAlign w:val="center"/>
          </w:tcPr>
          <w:p w14:paraId="4F4257DB" w14:textId="5BCE31CB"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$ 1.015.149.787</w:t>
            </w:r>
          </w:p>
        </w:tc>
        <w:tc>
          <w:tcPr>
            <w:tcW w:w="0" w:type="auto"/>
            <w:tcBorders>
              <w:top w:val="single" w:sz="4" w:space="0" w:color="auto"/>
              <w:left w:val="nil"/>
              <w:bottom w:val="single" w:sz="4" w:space="0" w:color="auto"/>
              <w:right w:val="single" w:sz="4" w:space="0" w:color="auto"/>
            </w:tcBorders>
            <w:vAlign w:val="center"/>
          </w:tcPr>
          <w:p w14:paraId="3F313B29" w14:textId="10591CC7"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0,25</w:t>
            </w:r>
          </w:p>
        </w:tc>
        <w:tc>
          <w:tcPr>
            <w:tcW w:w="0" w:type="auto"/>
            <w:tcBorders>
              <w:top w:val="single" w:sz="4" w:space="0" w:color="auto"/>
              <w:left w:val="nil"/>
              <w:bottom w:val="single" w:sz="4" w:space="0" w:color="auto"/>
              <w:right w:val="single" w:sz="4" w:space="0" w:color="auto"/>
            </w:tcBorders>
            <w:vAlign w:val="center"/>
          </w:tcPr>
          <w:p w14:paraId="5EB75C20" w14:textId="45B1C493"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0,17</w:t>
            </w:r>
          </w:p>
        </w:tc>
      </w:tr>
      <w:tr w:rsidR="007409A3" w:rsidRPr="007409A3" w14:paraId="5D9ACCA8" w14:textId="77777777">
        <w:trPr>
          <w:trHeight w:val="300"/>
          <w:jc w:val="center"/>
        </w:trPr>
        <w:tc>
          <w:tcPr>
            <w:tcW w:w="1430" w:type="dxa"/>
            <w:tcBorders>
              <w:top w:val="nil"/>
              <w:left w:val="single" w:sz="4" w:space="0" w:color="auto"/>
              <w:bottom w:val="single" w:sz="4" w:space="0" w:color="auto"/>
              <w:right w:val="single" w:sz="4" w:space="0" w:color="auto"/>
            </w:tcBorders>
            <w:noWrap/>
            <w:vAlign w:val="bottom"/>
            <w:hideMark/>
          </w:tcPr>
          <w:p w14:paraId="707E4D2D" w14:textId="77777777" w:rsidR="007409A3" w:rsidRPr="007409A3" w:rsidRDefault="007409A3" w:rsidP="007409A3">
            <w:pPr>
              <w:rPr>
                <w:rFonts w:ascii="Verdana" w:hAnsi="Verdana"/>
                <w:color w:val="000000"/>
                <w:sz w:val="16"/>
                <w:szCs w:val="16"/>
              </w:rPr>
            </w:pPr>
            <w:r w:rsidRPr="007409A3">
              <w:rPr>
                <w:rFonts w:ascii="Verdana" w:hAnsi="Verdana"/>
                <w:color w:val="000000"/>
                <w:sz w:val="16"/>
                <w:szCs w:val="16"/>
              </w:rPr>
              <w:t>Pequeña empresa</w:t>
            </w:r>
          </w:p>
        </w:tc>
        <w:tc>
          <w:tcPr>
            <w:tcW w:w="1036" w:type="dxa"/>
            <w:tcBorders>
              <w:top w:val="nil"/>
              <w:left w:val="single" w:sz="4" w:space="0" w:color="auto"/>
              <w:bottom w:val="single" w:sz="4" w:space="0" w:color="auto"/>
              <w:right w:val="single" w:sz="4" w:space="0" w:color="auto"/>
            </w:tcBorders>
            <w:vAlign w:val="center"/>
          </w:tcPr>
          <w:p w14:paraId="3863A09F" w14:textId="4FCF23C7"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14,32</w:t>
            </w:r>
          </w:p>
        </w:tc>
        <w:tc>
          <w:tcPr>
            <w:tcW w:w="1743" w:type="dxa"/>
            <w:tcBorders>
              <w:top w:val="nil"/>
              <w:left w:val="nil"/>
              <w:bottom w:val="single" w:sz="4" w:space="0" w:color="auto"/>
              <w:right w:val="single" w:sz="4" w:space="0" w:color="auto"/>
            </w:tcBorders>
            <w:vAlign w:val="center"/>
          </w:tcPr>
          <w:p w14:paraId="6115D58B" w14:textId="589C641B"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0,29</w:t>
            </w:r>
          </w:p>
        </w:tc>
        <w:tc>
          <w:tcPr>
            <w:tcW w:w="1237" w:type="dxa"/>
            <w:tcBorders>
              <w:top w:val="nil"/>
              <w:left w:val="nil"/>
              <w:bottom w:val="single" w:sz="4" w:space="0" w:color="auto"/>
              <w:right w:val="single" w:sz="4" w:space="0" w:color="auto"/>
            </w:tcBorders>
            <w:vAlign w:val="center"/>
          </w:tcPr>
          <w:p w14:paraId="1DAE10E9" w14:textId="02B93F59"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116,20</w:t>
            </w:r>
          </w:p>
        </w:tc>
        <w:tc>
          <w:tcPr>
            <w:tcW w:w="1451" w:type="dxa"/>
            <w:tcBorders>
              <w:top w:val="nil"/>
              <w:left w:val="nil"/>
              <w:bottom w:val="single" w:sz="4" w:space="0" w:color="auto"/>
              <w:right w:val="single" w:sz="4" w:space="0" w:color="auto"/>
            </w:tcBorders>
            <w:vAlign w:val="center"/>
          </w:tcPr>
          <w:p w14:paraId="39CB8533" w14:textId="17BFDD27"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$ 2.153.813.225</w:t>
            </w:r>
          </w:p>
        </w:tc>
        <w:tc>
          <w:tcPr>
            <w:tcW w:w="1451" w:type="dxa"/>
            <w:tcBorders>
              <w:top w:val="nil"/>
              <w:left w:val="nil"/>
              <w:bottom w:val="single" w:sz="4" w:space="0" w:color="auto"/>
              <w:right w:val="single" w:sz="4" w:space="0" w:color="auto"/>
            </w:tcBorders>
            <w:vAlign w:val="center"/>
          </w:tcPr>
          <w:p w14:paraId="4FC1C51A" w14:textId="3693CDE7"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$ 2.158.841.124</w:t>
            </w:r>
          </w:p>
        </w:tc>
        <w:tc>
          <w:tcPr>
            <w:tcW w:w="0" w:type="auto"/>
            <w:tcBorders>
              <w:top w:val="nil"/>
              <w:left w:val="nil"/>
              <w:bottom w:val="single" w:sz="4" w:space="0" w:color="auto"/>
              <w:right w:val="single" w:sz="4" w:space="0" w:color="auto"/>
            </w:tcBorders>
            <w:vAlign w:val="center"/>
          </w:tcPr>
          <w:p w14:paraId="57B34C89" w14:textId="5F4EF241"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0,25</w:t>
            </w:r>
          </w:p>
        </w:tc>
        <w:tc>
          <w:tcPr>
            <w:tcW w:w="0" w:type="auto"/>
            <w:tcBorders>
              <w:top w:val="nil"/>
              <w:left w:val="nil"/>
              <w:bottom w:val="single" w:sz="4" w:space="0" w:color="auto"/>
              <w:right w:val="single" w:sz="4" w:space="0" w:color="auto"/>
            </w:tcBorders>
            <w:vAlign w:val="center"/>
          </w:tcPr>
          <w:p w14:paraId="148C18A9" w14:textId="72B0918F"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0,17</w:t>
            </w:r>
          </w:p>
        </w:tc>
      </w:tr>
      <w:tr w:rsidR="007409A3" w:rsidRPr="007409A3" w14:paraId="0BD1E70B" w14:textId="77777777">
        <w:trPr>
          <w:trHeight w:val="300"/>
          <w:jc w:val="center"/>
        </w:trPr>
        <w:tc>
          <w:tcPr>
            <w:tcW w:w="1430" w:type="dxa"/>
            <w:tcBorders>
              <w:top w:val="nil"/>
              <w:left w:val="single" w:sz="4" w:space="0" w:color="auto"/>
              <w:bottom w:val="single" w:sz="4" w:space="0" w:color="auto"/>
              <w:right w:val="single" w:sz="4" w:space="0" w:color="auto"/>
            </w:tcBorders>
            <w:noWrap/>
            <w:vAlign w:val="bottom"/>
            <w:hideMark/>
          </w:tcPr>
          <w:p w14:paraId="16AA2AE4" w14:textId="77777777" w:rsidR="007409A3" w:rsidRPr="007409A3" w:rsidRDefault="007409A3" w:rsidP="007409A3">
            <w:pPr>
              <w:rPr>
                <w:rFonts w:ascii="Verdana" w:hAnsi="Verdana"/>
                <w:color w:val="000000"/>
                <w:sz w:val="16"/>
                <w:szCs w:val="16"/>
              </w:rPr>
            </w:pPr>
            <w:r w:rsidRPr="007409A3">
              <w:rPr>
                <w:rFonts w:ascii="Verdana" w:hAnsi="Verdana"/>
                <w:color w:val="000000"/>
                <w:sz w:val="16"/>
                <w:szCs w:val="16"/>
              </w:rPr>
              <w:t>Mediana empresa</w:t>
            </w:r>
          </w:p>
        </w:tc>
        <w:tc>
          <w:tcPr>
            <w:tcW w:w="1036" w:type="dxa"/>
            <w:tcBorders>
              <w:top w:val="nil"/>
              <w:left w:val="single" w:sz="4" w:space="0" w:color="auto"/>
              <w:bottom w:val="single" w:sz="4" w:space="0" w:color="auto"/>
              <w:right w:val="single" w:sz="4" w:space="0" w:color="auto"/>
            </w:tcBorders>
            <w:vAlign w:val="center"/>
          </w:tcPr>
          <w:p w14:paraId="193C28D9" w14:textId="7ACD1501"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14,78</w:t>
            </w:r>
          </w:p>
        </w:tc>
        <w:tc>
          <w:tcPr>
            <w:tcW w:w="1743" w:type="dxa"/>
            <w:tcBorders>
              <w:top w:val="nil"/>
              <w:left w:val="nil"/>
              <w:bottom w:val="single" w:sz="4" w:space="0" w:color="auto"/>
              <w:right w:val="single" w:sz="4" w:space="0" w:color="auto"/>
            </w:tcBorders>
            <w:vAlign w:val="center"/>
          </w:tcPr>
          <w:p w14:paraId="33F7D344" w14:textId="28ABC385"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0,34</w:t>
            </w:r>
          </w:p>
        </w:tc>
        <w:tc>
          <w:tcPr>
            <w:tcW w:w="1237" w:type="dxa"/>
            <w:tcBorders>
              <w:top w:val="nil"/>
              <w:left w:val="nil"/>
              <w:bottom w:val="single" w:sz="4" w:space="0" w:color="auto"/>
              <w:right w:val="single" w:sz="4" w:space="0" w:color="auto"/>
            </w:tcBorders>
            <w:vAlign w:val="center"/>
          </w:tcPr>
          <w:p w14:paraId="4570A7A7" w14:textId="60789E68"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138,33</w:t>
            </w:r>
          </w:p>
        </w:tc>
        <w:tc>
          <w:tcPr>
            <w:tcW w:w="1451" w:type="dxa"/>
            <w:tcBorders>
              <w:top w:val="nil"/>
              <w:left w:val="nil"/>
              <w:bottom w:val="single" w:sz="4" w:space="0" w:color="auto"/>
              <w:right w:val="single" w:sz="4" w:space="0" w:color="auto"/>
            </w:tcBorders>
            <w:vAlign w:val="center"/>
          </w:tcPr>
          <w:p w14:paraId="0DDC843E" w14:textId="0E61D480"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$ 3.142.128.484</w:t>
            </w:r>
          </w:p>
        </w:tc>
        <w:tc>
          <w:tcPr>
            <w:tcW w:w="1451" w:type="dxa"/>
            <w:tcBorders>
              <w:top w:val="nil"/>
              <w:left w:val="nil"/>
              <w:bottom w:val="single" w:sz="4" w:space="0" w:color="auto"/>
              <w:right w:val="single" w:sz="4" w:space="0" w:color="auto"/>
            </w:tcBorders>
            <w:vAlign w:val="center"/>
          </w:tcPr>
          <w:p w14:paraId="5FC9F871" w14:textId="5A21E85F"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$ 3.265.819.621</w:t>
            </w:r>
          </w:p>
        </w:tc>
        <w:tc>
          <w:tcPr>
            <w:tcW w:w="0" w:type="auto"/>
            <w:tcBorders>
              <w:top w:val="nil"/>
              <w:left w:val="nil"/>
              <w:bottom w:val="single" w:sz="4" w:space="0" w:color="auto"/>
              <w:right w:val="single" w:sz="4" w:space="0" w:color="auto"/>
            </w:tcBorders>
            <w:vAlign w:val="center"/>
          </w:tcPr>
          <w:p w14:paraId="624CF08C" w14:textId="61DC755A"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0,30</w:t>
            </w:r>
          </w:p>
        </w:tc>
        <w:tc>
          <w:tcPr>
            <w:tcW w:w="0" w:type="auto"/>
            <w:tcBorders>
              <w:top w:val="nil"/>
              <w:left w:val="nil"/>
              <w:bottom w:val="single" w:sz="4" w:space="0" w:color="auto"/>
              <w:right w:val="single" w:sz="4" w:space="0" w:color="auto"/>
            </w:tcBorders>
            <w:vAlign w:val="center"/>
          </w:tcPr>
          <w:p w14:paraId="3CB52179" w14:textId="618EECAA" w:rsidR="007409A3" w:rsidRPr="00D64E73" w:rsidRDefault="007409A3" w:rsidP="007409A3">
            <w:pPr>
              <w:jc w:val="center"/>
              <w:rPr>
                <w:rFonts w:ascii="Verdana" w:hAnsi="Verdana"/>
                <w:color w:val="000000"/>
                <w:sz w:val="14"/>
                <w:szCs w:val="14"/>
              </w:rPr>
            </w:pPr>
            <w:r w:rsidRPr="00D64E73">
              <w:rPr>
                <w:rFonts w:ascii="Verdana" w:hAnsi="Verdana"/>
                <w:color w:val="000000"/>
                <w:sz w:val="14"/>
                <w:szCs w:val="14"/>
              </w:rPr>
              <w:t>0,20</w:t>
            </w:r>
          </w:p>
        </w:tc>
      </w:tr>
    </w:tbl>
    <w:p w14:paraId="481ACCD7" w14:textId="77777777" w:rsidR="00D64E73" w:rsidRPr="00600DF8" w:rsidRDefault="00D64E73" w:rsidP="00D64E73">
      <w:pPr>
        <w:jc w:val="center"/>
        <w:rPr>
          <w:rFonts w:ascii="Verdana" w:hAnsi="Verdana" w:cs="Arial"/>
          <w:sz w:val="22"/>
          <w:szCs w:val="22"/>
          <w:lang w:val="es-MX"/>
        </w:rPr>
      </w:pPr>
      <w:r w:rsidRPr="00600DF8">
        <w:rPr>
          <w:rFonts w:ascii="Verdana" w:hAnsi="Verdana" w:cs="Arial"/>
          <w:b/>
          <w:bCs/>
          <w:sz w:val="22"/>
          <w:szCs w:val="22"/>
          <w:lang w:val="es-MX"/>
        </w:rPr>
        <w:t>Fuente</w:t>
      </w:r>
      <w:r w:rsidRPr="00600DF8">
        <w:rPr>
          <w:rFonts w:ascii="Verdana" w:hAnsi="Verdana" w:cs="Arial"/>
          <w:sz w:val="22"/>
          <w:szCs w:val="22"/>
          <w:lang w:val="es-MX"/>
        </w:rPr>
        <w:t>: Elaboración propia</w:t>
      </w:r>
    </w:p>
    <w:p w14:paraId="7776A4A4" w14:textId="77777777" w:rsidR="0035048A" w:rsidRPr="007409A3" w:rsidRDefault="0035048A" w:rsidP="0035048A">
      <w:pPr>
        <w:jc w:val="both"/>
        <w:rPr>
          <w:rFonts w:ascii="Verdana" w:hAnsi="Verdana" w:cs="Arial"/>
          <w:sz w:val="22"/>
          <w:szCs w:val="22"/>
          <w:lang w:val="es-MX"/>
        </w:rPr>
      </w:pPr>
    </w:p>
    <w:p w14:paraId="0F377E8A" w14:textId="4214C827" w:rsidR="00BB4E77" w:rsidRPr="00FD0CC3" w:rsidRDefault="00BB4E77" w:rsidP="00BB4E77">
      <w:pPr>
        <w:jc w:val="both"/>
        <w:rPr>
          <w:rFonts w:ascii="Verdana" w:hAnsi="Verdana" w:cs="Arial"/>
          <w:sz w:val="22"/>
          <w:szCs w:val="22"/>
          <w:lang w:val="es-MX"/>
        </w:rPr>
      </w:pPr>
      <w:r w:rsidRPr="00FD0CC3">
        <w:rPr>
          <w:rFonts w:ascii="Verdana" w:hAnsi="Verdana" w:cs="Arial"/>
          <w:sz w:val="22"/>
          <w:szCs w:val="22"/>
          <w:lang w:val="es-MX"/>
        </w:rPr>
        <w:t xml:space="preserve">Realizando un análisis comparativo de los anteriores resultados frente a los obtenidos en el análisis del promedio de la muestra completa con las </w:t>
      </w:r>
      <w:r w:rsidR="00E56FDB" w:rsidRPr="00FD0CC3">
        <w:rPr>
          <w:rFonts w:ascii="Verdana" w:hAnsi="Verdana" w:cs="Arial"/>
          <w:sz w:val="22"/>
          <w:szCs w:val="22"/>
          <w:lang w:val="es-MX"/>
        </w:rPr>
        <w:t>5</w:t>
      </w:r>
      <w:r w:rsidR="00FD0CC3" w:rsidRPr="00FD0CC3">
        <w:rPr>
          <w:rFonts w:ascii="Verdana" w:hAnsi="Verdana" w:cs="Arial"/>
          <w:sz w:val="22"/>
          <w:szCs w:val="22"/>
          <w:lang w:val="es-MX"/>
        </w:rPr>
        <w:t>89</w:t>
      </w:r>
      <w:r w:rsidRPr="00FD0CC3">
        <w:rPr>
          <w:rFonts w:ascii="Verdana" w:hAnsi="Verdana" w:cs="Arial"/>
          <w:sz w:val="22"/>
          <w:szCs w:val="22"/>
          <w:lang w:val="es-MX"/>
        </w:rPr>
        <w:t xml:space="preserve"> empresas (incluyendo a </w:t>
      </w:r>
      <w:r w:rsidRPr="00FD0CC3">
        <w:rPr>
          <w:rFonts w:ascii="Verdana" w:hAnsi="Verdana" w:cs="Arial"/>
          <w:sz w:val="22"/>
          <w:szCs w:val="22"/>
          <w:lang w:val="es-MX"/>
        </w:rPr>
        <w:lastRenderedPageBreak/>
        <w:t>las categorizadas como grandes empresas), se evidencian las siguientes variaciones en los indicadores:</w:t>
      </w:r>
    </w:p>
    <w:p w14:paraId="705A321B" w14:textId="77777777" w:rsidR="00BB4E77" w:rsidRPr="00611315" w:rsidRDefault="00BB4E77" w:rsidP="00EB56A0">
      <w:pPr>
        <w:jc w:val="both"/>
        <w:rPr>
          <w:rFonts w:ascii="Verdana" w:hAnsi="Verdana" w:cs="Arial"/>
          <w:sz w:val="22"/>
          <w:szCs w:val="22"/>
          <w:highlight w:val="yellow"/>
          <w:lang w:val="es-MX"/>
        </w:rPr>
      </w:pPr>
    </w:p>
    <w:p w14:paraId="01DED87D" w14:textId="471FC0DA" w:rsidR="000B6C34" w:rsidRPr="00FD0CC3" w:rsidRDefault="007841BC" w:rsidP="005C7E10">
      <w:pPr>
        <w:pStyle w:val="Descripcin"/>
        <w:spacing w:after="0"/>
        <w:jc w:val="center"/>
        <w:rPr>
          <w:rFonts w:ascii="Verdana" w:hAnsi="Verdana" w:cs="Arial"/>
          <w:sz w:val="22"/>
          <w:szCs w:val="22"/>
          <w:lang w:val="es-MX"/>
        </w:rPr>
      </w:pPr>
      <w:bookmarkStart w:id="554" w:name="_Toc180136837"/>
      <w:bookmarkStart w:id="555" w:name="_Toc231368702"/>
      <w:r w:rsidRPr="00FD0CC3">
        <w:rPr>
          <w:rFonts w:ascii="Verdana" w:hAnsi="Verdana"/>
          <w:sz w:val="22"/>
          <w:szCs w:val="22"/>
        </w:rPr>
        <w:t xml:space="preserve">Tabla </w:t>
      </w:r>
      <w:r w:rsidRPr="00FD0CC3">
        <w:rPr>
          <w:rFonts w:ascii="Verdana" w:hAnsi="Verdana"/>
          <w:sz w:val="22"/>
          <w:szCs w:val="22"/>
        </w:rPr>
        <w:fldChar w:fldCharType="begin"/>
      </w:r>
      <w:r w:rsidRPr="00FD0CC3">
        <w:rPr>
          <w:rFonts w:ascii="Verdana" w:hAnsi="Verdana"/>
          <w:sz w:val="22"/>
          <w:szCs w:val="22"/>
        </w:rPr>
        <w:instrText xml:space="preserve"> SEQ Tabla \* ARABIC </w:instrText>
      </w:r>
      <w:r w:rsidRPr="00FD0CC3">
        <w:rPr>
          <w:rFonts w:ascii="Verdana" w:hAnsi="Verdana"/>
          <w:sz w:val="22"/>
          <w:szCs w:val="22"/>
        </w:rPr>
        <w:fldChar w:fldCharType="separate"/>
      </w:r>
      <w:r w:rsidR="00D64E73">
        <w:rPr>
          <w:rFonts w:ascii="Verdana" w:hAnsi="Verdana"/>
          <w:noProof/>
          <w:sz w:val="22"/>
          <w:szCs w:val="22"/>
        </w:rPr>
        <w:t>35</w:t>
      </w:r>
      <w:r w:rsidRPr="00FD0CC3">
        <w:rPr>
          <w:rFonts w:ascii="Verdana" w:hAnsi="Verdana"/>
          <w:sz w:val="22"/>
          <w:szCs w:val="22"/>
        </w:rPr>
        <w:fldChar w:fldCharType="end"/>
      </w:r>
      <w:r w:rsidRPr="00FD0CC3">
        <w:rPr>
          <w:rFonts w:ascii="Verdana" w:hAnsi="Verdana"/>
          <w:sz w:val="22"/>
          <w:szCs w:val="22"/>
        </w:rPr>
        <w:t xml:space="preserve">. </w:t>
      </w:r>
      <w:proofErr w:type="gramStart"/>
      <w:r w:rsidRPr="00FD0CC3">
        <w:rPr>
          <w:rFonts w:ascii="Verdana" w:hAnsi="Verdana"/>
          <w:sz w:val="22"/>
          <w:szCs w:val="22"/>
        </w:rPr>
        <w:t>Variaciones indicadores</w:t>
      </w:r>
      <w:bookmarkEnd w:id="554"/>
      <w:bookmarkEnd w:id="555"/>
      <w:proofErr w:type="gramEnd"/>
    </w:p>
    <w:p w14:paraId="0928FAF5" w14:textId="77777777" w:rsidR="0082783F" w:rsidRPr="00FD0CC3" w:rsidRDefault="0082783F" w:rsidP="005C7E10">
      <w:pPr>
        <w:jc w:val="center"/>
        <w:rPr>
          <w:rFonts w:ascii="Verdana" w:hAnsi="Verdana" w:cs="Arial"/>
          <w:sz w:val="16"/>
          <w:szCs w:val="16"/>
          <w:lang w:val="es-MX"/>
        </w:rPr>
      </w:pPr>
    </w:p>
    <w:tbl>
      <w:tblPr>
        <w:tblW w:w="11264" w:type="dxa"/>
        <w:jc w:val="center"/>
        <w:tblCellMar>
          <w:left w:w="70" w:type="dxa"/>
          <w:right w:w="70" w:type="dxa"/>
        </w:tblCellMar>
        <w:tblLook w:val="04A0" w:firstRow="1" w:lastRow="0" w:firstColumn="1" w:lastColumn="0" w:noHBand="0" w:noVBand="1"/>
      </w:tblPr>
      <w:tblGrid>
        <w:gridCol w:w="1430"/>
        <w:gridCol w:w="1103"/>
        <w:gridCol w:w="1743"/>
        <w:gridCol w:w="1237"/>
        <w:gridCol w:w="1332"/>
        <w:gridCol w:w="1350"/>
        <w:gridCol w:w="1532"/>
        <w:gridCol w:w="1537"/>
      </w:tblGrid>
      <w:tr w:rsidR="0082783F" w:rsidRPr="00FD0CC3" w14:paraId="13ED1037" w14:textId="77777777" w:rsidTr="0051628A">
        <w:trPr>
          <w:trHeight w:val="255"/>
          <w:tblHeader/>
          <w:jc w:val="center"/>
        </w:trPr>
        <w:tc>
          <w:tcPr>
            <w:tcW w:w="11264" w:type="dxa"/>
            <w:gridSpan w:val="8"/>
            <w:tcBorders>
              <w:top w:val="single" w:sz="4" w:space="0" w:color="auto"/>
              <w:left w:val="single" w:sz="4" w:space="0" w:color="auto"/>
              <w:bottom w:val="single" w:sz="4" w:space="0" w:color="auto"/>
              <w:right w:val="single" w:sz="4" w:space="0" w:color="auto"/>
            </w:tcBorders>
            <w:shd w:val="clear" w:color="000000" w:fill="D9D9D9"/>
            <w:vAlign w:val="center"/>
            <w:hideMark/>
          </w:tcPr>
          <w:p w14:paraId="4E39A147" w14:textId="0D33CC33" w:rsidR="0082783F" w:rsidRPr="00FD0CC3" w:rsidRDefault="0082783F" w:rsidP="0044671B">
            <w:pPr>
              <w:jc w:val="center"/>
              <w:rPr>
                <w:rFonts w:ascii="Verdana" w:hAnsi="Verdana"/>
                <w:b/>
                <w:bCs/>
                <w:color w:val="000000"/>
                <w:sz w:val="20"/>
                <w:szCs w:val="20"/>
                <w:lang w:eastAsia="es-CO"/>
              </w:rPr>
            </w:pPr>
            <w:r w:rsidRPr="00FD0CC3">
              <w:rPr>
                <w:rFonts w:ascii="Verdana" w:hAnsi="Verdana"/>
                <w:b/>
                <w:bCs/>
                <w:color w:val="000000"/>
                <w:sz w:val="20"/>
                <w:szCs w:val="20"/>
                <w:lang w:eastAsia="es-CO"/>
              </w:rPr>
              <w:t>Promedio rango intercuartílico (RIC) - Variaciones</w:t>
            </w:r>
          </w:p>
        </w:tc>
      </w:tr>
      <w:tr w:rsidR="0082783F" w:rsidRPr="00FD0CC3" w14:paraId="4560EEB2" w14:textId="77777777" w:rsidTr="0051628A">
        <w:trPr>
          <w:trHeight w:val="105"/>
          <w:tblHeader/>
          <w:jc w:val="center"/>
        </w:trPr>
        <w:tc>
          <w:tcPr>
            <w:tcW w:w="1430" w:type="dxa"/>
            <w:tcBorders>
              <w:top w:val="nil"/>
              <w:left w:val="nil"/>
              <w:bottom w:val="nil"/>
              <w:right w:val="nil"/>
            </w:tcBorders>
            <w:vAlign w:val="center"/>
            <w:hideMark/>
          </w:tcPr>
          <w:p w14:paraId="0893C548" w14:textId="77777777" w:rsidR="0082783F" w:rsidRPr="00FD0CC3" w:rsidRDefault="0082783F" w:rsidP="0044671B">
            <w:pPr>
              <w:jc w:val="center"/>
              <w:rPr>
                <w:rFonts w:ascii="Verdana" w:hAnsi="Verdana"/>
                <w:b/>
                <w:bCs/>
                <w:color w:val="000000"/>
                <w:sz w:val="20"/>
                <w:szCs w:val="20"/>
                <w:lang w:eastAsia="es-CO"/>
              </w:rPr>
            </w:pPr>
          </w:p>
        </w:tc>
        <w:tc>
          <w:tcPr>
            <w:tcW w:w="1103" w:type="dxa"/>
            <w:tcBorders>
              <w:top w:val="nil"/>
              <w:left w:val="nil"/>
              <w:bottom w:val="nil"/>
              <w:right w:val="nil"/>
            </w:tcBorders>
            <w:vAlign w:val="center"/>
            <w:hideMark/>
          </w:tcPr>
          <w:p w14:paraId="28041095" w14:textId="77777777" w:rsidR="0082783F" w:rsidRPr="00FD0CC3" w:rsidRDefault="0082783F" w:rsidP="0044671B">
            <w:pPr>
              <w:jc w:val="center"/>
              <w:rPr>
                <w:rFonts w:ascii="Verdana" w:hAnsi="Verdana"/>
                <w:sz w:val="20"/>
                <w:szCs w:val="20"/>
                <w:lang w:eastAsia="es-CO"/>
              </w:rPr>
            </w:pPr>
          </w:p>
        </w:tc>
        <w:tc>
          <w:tcPr>
            <w:tcW w:w="1743" w:type="dxa"/>
            <w:tcBorders>
              <w:top w:val="nil"/>
              <w:left w:val="nil"/>
              <w:bottom w:val="nil"/>
              <w:right w:val="nil"/>
            </w:tcBorders>
            <w:vAlign w:val="center"/>
            <w:hideMark/>
          </w:tcPr>
          <w:p w14:paraId="3EFCEB29" w14:textId="77777777" w:rsidR="0082783F" w:rsidRPr="00FD0CC3" w:rsidRDefault="0082783F" w:rsidP="0044671B">
            <w:pPr>
              <w:jc w:val="center"/>
              <w:rPr>
                <w:rFonts w:ascii="Verdana" w:hAnsi="Verdana"/>
                <w:sz w:val="20"/>
                <w:szCs w:val="20"/>
                <w:lang w:eastAsia="es-CO"/>
              </w:rPr>
            </w:pPr>
          </w:p>
        </w:tc>
        <w:tc>
          <w:tcPr>
            <w:tcW w:w="1237" w:type="dxa"/>
            <w:tcBorders>
              <w:top w:val="nil"/>
              <w:left w:val="nil"/>
              <w:bottom w:val="nil"/>
              <w:right w:val="nil"/>
            </w:tcBorders>
            <w:vAlign w:val="center"/>
            <w:hideMark/>
          </w:tcPr>
          <w:p w14:paraId="07D6653B" w14:textId="77777777" w:rsidR="0082783F" w:rsidRPr="00FD0CC3" w:rsidRDefault="0082783F" w:rsidP="0044671B">
            <w:pPr>
              <w:jc w:val="center"/>
              <w:rPr>
                <w:rFonts w:ascii="Verdana" w:hAnsi="Verdana"/>
                <w:sz w:val="20"/>
                <w:szCs w:val="20"/>
                <w:lang w:eastAsia="es-CO"/>
              </w:rPr>
            </w:pPr>
          </w:p>
        </w:tc>
        <w:tc>
          <w:tcPr>
            <w:tcW w:w="1332" w:type="dxa"/>
            <w:tcBorders>
              <w:top w:val="nil"/>
              <w:left w:val="nil"/>
              <w:bottom w:val="nil"/>
              <w:right w:val="nil"/>
            </w:tcBorders>
            <w:vAlign w:val="center"/>
            <w:hideMark/>
          </w:tcPr>
          <w:p w14:paraId="46F63A09" w14:textId="77777777" w:rsidR="0082783F" w:rsidRPr="00FD0CC3" w:rsidRDefault="0082783F" w:rsidP="0044671B">
            <w:pPr>
              <w:jc w:val="center"/>
              <w:rPr>
                <w:rFonts w:ascii="Verdana" w:hAnsi="Verdana"/>
                <w:sz w:val="20"/>
                <w:szCs w:val="20"/>
                <w:lang w:eastAsia="es-CO"/>
              </w:rPr>
            </w:pPr>
          </w:p>
        </w:tc>
        <w:tc>
          <w:tcPr>
            <w:tcW w:w="1350" w:type="dxa"/>
            <w:tcBorders>
              <w:top w:val="nil"/>
              <w:left w:val="nil"/>
              <w:bottom w:val="nil"/>
              <w:right w:val="nil"/>
            </w:tcBorders>
            <w:vAlign w:val="center"/>
            <w:hideMark/>
          </w:tcPr>
          <w:p w14:paraId="6F1D4E8C" w14:textId="77777777" w:rsidR="0082783F" w:rsidRPr="00FD0CC3" w:rsidRDefault="0082783F" w:rsidP="0044671B">
            <w:pPr>
              <w:jc w:val="center"/>
              <w:rPr>
                <w:rFonts w:ascii="Verdana" w:hAnsi="Verdana"/>
                <w:sz w:val="20"/>
                <w:szCs w:val="20"/>
                <w:lang w:eastAsia="es-CO"/>
              </w:rPr>
            </w:pPr>
          </w:p>
        </w:tc>
        <w:tc>
          <w:tcPr>
            <w:tcW w:w="1532" w:type="dxa"/>
            <w:tcBorders>
              <w:top w:val="nil"/>
              <w:left w:val="nil"/>
              <w:bottom w:val="nil"/>
              <w:right w:val="nil"/>
            </w:tcBorders>
            <w:vAlign w:val="center"/>
            <w:hideMark/>
          </w:tcPr>
          <w:p w14:paraId="525B448C" w14:textId="77777777" w:rsidR="0082783F" w:rsidRPr="00FD0CC3" w:rsidRDefault="0082783F" w:rsidP="0044671B">
            <w:pPr>
              <w:jc w:val="center"/>
              <w:rPr>
                <w:rFonts w:ascii="Verdana" w:hAnsi="Verdana"/>
                <w:sz w:val="20"/>
                <w:szCs w:val="20"/>
                <w:lang w:eastAsia="es-CO"/>
              </w:rPr>
            </w:pPr>
          </w:p>
        </w:tc>
        <w:tc>
          <w:tcPr>
            <w:tcW w:w="1537" w:type="dxa"/>
            <w:tcBorders>
              <w:top w:val="nil"/>
              <w:left w:val="nil"/>
              <w:bottom w:val="nil"/>
              <w:right w:val="nil"/>
            </w:tcBorders>
            <w:vAlign w:val="center"/>
            <w:hideMark/>
          </w:tcPr>
          <w:p w14:paraId="12619A16" w14:textId="77777777" w:rsidR="0082783F" w:rsidRPr="00FD0CC3" w:rsidRDefault="0082783F" w:rsidP="0044671B">
            <w:pPr>
              <w:jc w:val="center"/>
              <w:rPr>
                <w:rFonts w:ascii="Verdana" w:hAnsi="Verdana"/>
                <w:sz w:val="20"/>
                <w:szCs w:val="20"/>
                <w:lang w:eastAsia="es-CO"/>
              </w:rPr>
            </w:pPr>
          </w:p>
        </w:tc>
      </w:tr>
      <w:tr w:rsidR="0082783F" w:rsidRPr="00FD0CC3" w14:paraId="703B91BB" w14:textId="77777777" w:rsidTr="0051628A">
        <w:trPr>
          <w:trHeight w:val="510"/>
          <w:tblHeader/>
          <w:jc w:val="center"/>
        </w:trPr>
        <w:tc>
          <w:tcPr>
            <w:tcW w:w="14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2B1FF0D"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TAMAÑO EMPRESARIAL</w:t>
            </w:r>
          </w:p>
        </w:tc>
        <w:tc>
          <w:tcPr>
            <w:tcW w:w="1103" w:type="dxa"/>
            <w:tcBorders>
              <w:top w:val="single" w:sz="4" w:space="0" w:color="auto"/>
              <w:left w:val="nil"/>
              <w:bottom w:val="single" w:sz="4" w:space="0" w:color="auto"/>
              <w:right w:val="single" w:sz="4" w:space="0" w:color="auto"/>
            </w:tcBorders>
            <w:shd w:val="clear" w:color="000000" w:fill="F2F2F2"/>
            <w:vAlign w:val="center"/>
            <w:hideMark/>
          </w:tcPr>
          <w:p w14:paraId="71926E23"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INDICE DE LIQUIDEZ</w:t>
            </w:r>
          </w:p>
        </w:tc>
        <w:tc>
          <w:tcPr>
            <w:tcW w:w="1743" w:type="dxa"/>
            <w:tcBorders>
              <w:top w:val="single" w:sz="4" w:space="0" w:color="auto"/>
              <w:left w:val="nil"/>
              <w:bottom w:val="single" w:sz="4" w:space="0" w:color="auto"/>
              <w:right w:val="single" w:sz="4" w:space="0" w:color="auto"/>
            </w:tcBorders>
            <w:shd w:val="clear" w:color="000000" w:fill="F2F2F2"/>
            <w:vAlign w:val="center"/>
            <w:hideMark/>
          </w:tcPr>
          <w:p w14:paraId="19981B72"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INDICE DE ENDEUDAMIENTO</w:t>
            </w:r>
          </w:p>
        </w:tc>
        <w:tc>
          <w:tcPr>
            <w:tcW w:w="1237" w:type="dxa"/>
            <w:tcBorders>
              <w:top w:val="single" w:sz="4" w:space="0" w:color="auto"/>
              <w:left w:val="nil"/>
              <w:bottom w:val="single" w:sz="4" w:space="0" w:color="auto"/>
              <w:right w:val="single" w:sz="4" w:space="0" w:color="auto"/>
            </w:tcBorders>
            <w:shd w:val="clear" w:color="000000" w:fill="F2F2F2"/>
            <w:vAlign w:val="center"/>
            <w:hideMark/>
          </w:tcPr>
          <w:p w14:paraId="7B619916"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RAZON COBERTURA INTERESES</w:t>
            </w:r>
          </w:p>
        </w:tc>
        <w:tc>
          <w:tcPr>
            <w:tcW w:w="1332" w:type="dxa"/>
            <w:tcBorders>
              <w:top w:val="single" w:sz="4" w:space="0" w:color="auto"/>
              <w:left w:val="nil"/>
              <w:bottom w:val="single" w:sz="4" w:space="0" w:color="auto"/>
              <w:right w:val="single" w:sz="4" w:space="0" w:color="auto"/>
            </w:tcBorders>
            <w:shd w:val="clear" w:color="000000" w:fill="F2F2F2"/>
            <w:vAlign w:val="center"/>
            <w:hideMark/>
          </w:tcPr>
          <w:p w14:paraId="6A3AD56E" w14:textId="172D7D86"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CAPITAL DE TRABAJO</w:t>
            </w:r>
          </w:p>
        </w:tc>
        <w:tc>
          <w:tcPr>
            <w:tcW w:w="1350" w:type="dxa"/>
            <w:tcBorders>
              <w:top w:val="single" w:sz="4" w:space="0" w:color="auto"/>
              <w:left w:val="nil"/>
              <w:bottom w:val="single" w:sz="4" w:space="0" w:color="auto"/>
              <w:right w:val="single" w:sz="4" w:space="0" w:color="auto"/>
            </w:tcBorders>
            <w:shd w:val="clear" w:color="000000" w:fill="F2F2F2"/>
            <w:vAlign w:val="center"/>
            <w:hideMark/>
          </w:tcPr>
          <w:p w14:paraId="6E1AC14A" w14:textId="47352B9C"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 xml:space="preserve">PATRIMONIO </w:t>
            </w:r>
          </w:p>
        </w:tc>
        <w:tc>
          <w:tcPr>
            <w:tcW w:w="1532" w:type="dxa"/>
            <w:tcBorders>
              <w:top w:val="single" w:sz="4" w:space="0" w:color="auto"/>
              <w:left w:val="nil"/>
              <w:bottom w:val="single" w:sz="4" w:space="0" w:color="auto"/>
              <w:right w:val="single" w:sz="4" w:space="0" w:color="auto"/>
            </w:tcBorders>
            <w:shd w:val="clear" w:color="000000" w:fill="F2F2F2"/>
            <w:vAlign w:val="center"/>
            <w:hideMark/>
          </w:tcPr>
          <w:p w14:paraId="1376160B"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RENTABILIDAD SOBRE PATRIMONIO</w:t>
            </w:r>
          </w:p>
        </w:tc>
        <w:tc>
          <w:tcPr>
            <w:tcW w:w="1537" w:type="dxa"/>
            <w:tcBorders>
              <w:top w:val="single" w:sz="4" w:space="0" w:color="auto"/>
              <w:left w:val="nil"/>
              <w:bottom w:val="single" w:sz="4" w:space="0" w:color="auto"/>
              <w:right w:val="single" w:sz="4" w:space="0" w:color="auto"/>
            </w:tcBorders>
            <w:shd w:val="clear" w:color="000000" w:fill="F2F2F2"/>
            <w:vAlign w:val="center"/>
            <w:hideMark/>
          </w:tcPr>
          <w:p w14:paraId="343855AD" w14:textId="77777777" w:rsidR="0082783F" w:rsidRPr="00FD0CC3" w:rsidRDefault="0082783F" w:rsidP="0044671B">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RENTABILIDAD SOBRE ACTIVOS</w:t>
            </w:r>
          </w:p>
        </w:tc>
      </w:tr>
      <w:tr w:rsidR="0051628A" w:rsidRPr="00FD0CC3" w14:paraId="4FDE5B3E" w14:textId="77777777" w:rsidTr="0051628A">
        <w:trPr>
          <w:trHeight w:val="270"/>
          <w:jc w:val="center"/>
        </w:trPr>
        <w:tc>
          <w:tcPr>
            <w:tcW w:w="1430" w:type="dxa"/>
            <w:tcBorders>
              <w:top w:val="nil"/>
              <w:left w:val="single" w:sz="4" w:space="0" w:color="auto"/>
              <w:bottom w:val="single" w:sz="4" w:space="0" w:color="auto"/>
              <w:right w:val="single" w:sz="4" w:space="0" w:color="auto"/>
            </w:tcBorders>
            <w:noWrap/>
            <w:vAlign w:val="bottom"/>
            <w:hideMark/>
          </w:tcPr>
          <w:p w14:paraId="3852A281" w14:textId="0D470EBC" w:rsidR="0051628A" w:rsidRPr="00FD0CC3" w:rsidRDefault="0051628A" w:rsidP="0051628A">
            <w:pPr>
              <w:jc w:val="center"/>
              <w:rPr>
                <w:rFonts w:ascii="Verdana" w:hAnsi="Verdana"/>
                <w:color w:val="000000"/>
                <w:sz w:val="20"/>
                <w:szCs w:val="20"/>
                <w:lang w:eastAsia="es-CO"/>
              </w:rPr>
            </w:pPr>
            <w:r w:rsidRPr="00FD0CC3">
              <w:rPr>
                <w:rFonts w:ascii="Verdana" w:hAnsi="Verdana"/>
                <w:color w:val="000000"/>
                <w:sz w:val="20"/>
                <w:szCs w:val="20"/>
                <w:lang w:eastAsia="es-CO"/>
              </w:rPr>
              <w:t>Muestra completa</w:t>
            </w:r>
          </w:p>
        </w:tc>
        <w:tc>
          <w:tcPr>
            <w:tcW w:w="1103" w:type="dxa"/>
            <w:tcBorders>
              <w:top w:val="single" w:sz="4" w:space="0" w:color="auto"/>
              <w:left w:val="single" w:sz="4" w:space="0" w:color="auto"/>
              <w:bottom w:val="single" w:sz="4" w:space="0" w:color="auto"/>
              <w:right w:val="single" w:sz="4" w:space="0" w:color="auto"/>
            </w:tcBorders>
            <w:noWrap/>
            <w:vAlign w:val="center"/>
          </w:tcPr>
          <w:p w14:paraId="5530F42C" w14:textId="1EF1CCD7"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13,77</w:t>
            </w:r>
          </w:p>
        </w:tc>
        <w:tc>
          <w:tcPr>
            <w:tcW w:w="1743" w:type="dxa"/>
            <w:tcBorders>
              <w:top w:val="single" w:sz="4" w:space="0" w:color="auto"/>
              <w:left w:val="nil"/>
              <w:bottom w:val="single" w:sz="4" w:space="0" w:color="auto"/>
              <w:right w:val="single" w:sz="4" w:space="0" w:color="auto"/>
            </w:tcBorders>
            <w:noWrap/>
            <w:vAlign w:val="center"/>
          </w:tcPr>
          <w:p w14:paraId="5214167F" w14:textId="2BB70F2D"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0,29</w:t>
            </w:r>
          </w:p>
        </w:tc>
        <w:tc>
          <w:tcPr>
            <w:tcW w:w="1237" w:type="dxa"/>
            <w:tcBorders>
              <w:top w:val="single" w:sz="4" w:space="0" w:color="auto"/>
              <w:left w:val="nil"/>
              <w:bottom w:val="single" w:sz="4" w:space="0" w:color="auto"/>
              <w:right w:val="single" w:sz="4" w:space="0" w:color="auto"/>
            </w:tcBorders>
            <w:noWrap/>
            <w:vAlign w:val="center"/>
          </w:tcPr>
          <w:p w14:paraId="67AFF028" w14:textId="03E63E3C"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96,89</w:t>
            </w:r>
          </w:p>
        </w:tc>
        <w:tc>
          <w:tcPr>
            <w:tcW w:w="1332" w:type="dxa"/>
            <w:tcBorders>
              <w:top w:val="single" w:sz="4" w:space="0" w:color="auto"/>
              <w:left w:val="nil"/>
              <w:bottom w:val="single" w:sz="4" w:space="0" w:color="auto"/>
              <w:right w:val="single" w:sz="4" w:space="0" w:color="auto"/>
            </w:tcBorders>
            <w:noWrap/>
            <w:vAlign w:val="center"/>
          </w:tcPr>
          <w:p w14:paraId="639D2F8E" w14:textId="7672599E"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$ 3.289.731.406</w:t>
            </w:r>
          </w:p>
        </w:tc>
        <w:tc>
          <w:tcPr>
            <w:tcW w:w="1350" w:type="dxa"/>
            <w:tcBorders>
              <w:top w:val="single" w:sz="4" w:space="0" w:color="auto"/>
              <w:left w:val="nil"/>
              <w:bottom w:val="single" w:sz="4" w:space="0" w:color="auto"/>
              <w:right w:val="single" w:sz="4" w:space="0" w:color="auto"/>
            </w:tcBorders>
            <w:noWrap/>
            <w:vAlign w:val="center"/>
          </w:tcPr>
          <w:p w14:paraId="2036528C" w14:textId="3AEF67B6"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$ 3.087.394.066</w:t>
            </w:r>
          </w:p>
        </w:tc>
        <w:tc>
          <w:tcPr>
            <w:tcW w:w="1532" w:type="dxa"/>
            <w:tcBorders>
              <w:top w:val="single" w:sz="4" w:space="0" w:color="auto"/>
              <w:left w:val="nil"/>
              <w:bottom w:val="single" w:sz="4" w:space="0" w:color="auto"/>
              <w:right w:val="single" w:sz="4" w:space="0" w:color="auto"/>
            </w:tcBorders>
            <w:noWrap/>
            <w:vAlign w:val="center"/>
          </w:tcPr>
          <w:p w14:paraId="5F099747" w14:textId="4A6795ED"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0,26</w:t>
            </w:r>
          </w:p>
        </w:tc>
        <w:tc>
          <w:tcPr>
            <w:tcW w:w="1537" w:type="dxa"/>
            <w:tcBorders>
              <w:top w:val="single" w:sz="4" w:space="0" w:color="auto"/>
              <w:left w:val="nil"/>
              <w:bottom w:val="single" w:sz="4" w:space="0" w:color="auto"/>
              <w:right w:val="single" w:sz="4" w:space="0" w:color="auto"/>
            </w:tcBorders>
            <w:noWrap/>
            <w:vAlign w:val="center"/>
          </w:tcPr>
          <w:p w14:paraId="0DFD7781" w14:textId="3AD118BF"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0,18</w:t>
            </w:r>
          </w:p>
        </w:tc>
      </w:tr>
      <w:tr w:rsidR="0051628A" w:rsidRPr="00FD0CC3" w14:paraId="61E7ECB8" w14:textId="77777777" w:rsidTr="0051628A">
        <w:trPr>
          <w:trHeight w:val="270"/>
          <w:jc w:val="center"/>
        </w:trPr>
        <w:tc>
          <w:tcPr>
            <w:tcW w:w="1430" w:type="dxa"/>
            <w:tcBorders>
              <w:top w:val="nil"/>
              <w:left w:val="single" w:sz="4" w:space="0" w:color="auto"/>
              <w:bottom w:val="single" w:sz="4" w:space="0" w:color="auto"/>
              <w:right w:val="single" w:sz="4" w:space="0" w:color="auto"/>
            </w:tcBorders>
            <w:noWrap/>
            <w:vAlign w:val="bottom"/>
            <w:hideMark/>
          </w:tcPr>
          <w:p w14:paraId="205F2906" w14:textId="77777777" w:rsidR="0051628A" w:rsidRPr="00FD0CC3" w:rsidRDefault="0051628A" w:rsidP="0051628A">
            <w:pPr>
              <w:jc w:val="center"/>
              <w:rPr>
                <w:rFonts w:ascii="Verdana" w:hAnsi="Verdana"/>
                <w:color w:val="000000"/>
                <w:sz w:val="20"/>
                <w:szCs w:val="20"/>
                <w:lang w:eastAsia="es-CO"/>
              </w:rPr>
            </w:pPr>
            <w:r w:rsidRPr="00FD0CC3">
              <w:rPr>
                <w:rFonts w:ascii="Verdana" w:hAnsi="Verdana"/>
                <w:color w:val="000000"/>
                <w:sz w:val="20"/>
                <w:szCs w:val="20"/>
                <w:lang w:eastAsia="es-CO"/>
              </w:rPr>
              <w:t>MiPymes</w:t>
            </w:r>
          </w:p>
        </w:tc>
        <w:tc>
          <w:tcPr>
            <w:tcW w:w="1103" w:type="dxa"/>
            <w:tcBorders>
              <w:top w:val="single" w:sz="4" w:space="0" w:color="auto"/>
              <w:left w:val="nil"/>
              <w:bottom w:val="single" w:sz="4" w:space="0" w:color="auto"/>
              <w:right w:val="single" w:sz="4" w:space="0" w:color="auto"/>
            </w:tcBorders>
            <w:noWrap/>
            <w:vAlign w:val="center"/>
          </w:tcPr>
          <w:p w14:paraId="7DB59A4D" w14:textId="32373860"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16,76</w:t>
            </w:r>
          </w:p>
        </w:tc>
        <w:tc>
          <w:tcPr>
            <w:tcW w:w="1743" w:type="dxa"/>
            <w:tcBorders>
              <w:top w:val="single" w:sz="4" w:space="0" w:color="auto"/>
              <w:left w:val="single" w:sz="4" w:space="0" w:color="auto"/>
              <w:bottom w:val="single" w:sz="4" w:space="0" w:color="auto"/>
              <w:right w:val="single" w:sz="4" w:space="0" w:color="auto"/>
            </w:tcBorders>
            <w:noWrap/>
            <w:vAlign w:val="center"/>
          </w:tcPr>
          <w:p w14:paraId="3AED74FC" w14:textId="0B7A8F8C"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0,27</w:t>
            </w:r>
          </w:p>
        </w:tc>
        <w:tc>
          <w:tcPr>
            <w:tcW w:w="1237" w:type="dxa"/>
            <w:tcBorders>
              <w:top w:val="single" w:sz="4" w:space="0" w:color="auto"/>
              <w:left w:val="single" w:sz="4" w:space="0" w:color="auto"/>
              <w:bottom w:val="single" w:sz="4" w:space="0" w:color="auto"/>
              <w:right w:val="single" w:sz="4" w:space="0" w:color="auto"/>
            </w:tcBorders>
            <w:noWrap/>
            <w:vAlign w:val="center"/>
          </w:tcPr>
          <w:p w14:paraId="42ADA883" w14:textId="77E1AB13"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137,83</w:t>
            </w:r>
          </w:p>
        </w:tc>
        <w:tc>
          <w:tcPr>
            <w:tcW w:w="1332" w:type="dxa"/>
            <w:tcBorders>
              <w:top w:val="single" w:sz="4" w:space="0" w:color="auto"/>
              <w:left w:val="single" w:sz="4" w:space="0" w:color="auto"/>
              <w:bottom w:val="single" w:sz="4" w:space="0" w:color="auto"/>
              <w:right w:val="single" w:sz="4" w:space="0" w:color="auto"/>
            </w:tcBorders>
            <w:noWrap/>
            <w:vAlign w:val="center"/>
          </w:tcPr>
          <w:p w14:paraId="1B266F93" w14:textId="276CE11A"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$ 1.821.445.551</w:t>
            </w:r>
          </w:p>
        </w:tc>
        <w:tc>
          <w:tcPr>
            <w:tcW w:w="1350" w:type="dxa"/>
            <w:tcBorders>
              <w:top w:val="single" w:sz="4" w:space="0" w:color="auto"/>
              <w:left w:val="single" w:sz="4" w:space="0" w:color="auto"/>
              <w:bottom w:val="single" w:sz="4" w:space="0" w:color="auto"/>
              <w:right w:val="single" w:sz="4" w:space="0" w:color="auto"/>
            </w:tcBorders>
            <w:noWrap/>
            <w:vAlign w:val="center"/>
          </w:tcPr>
          <w:p w14:paraId="2C9326E8" w14:textId="17047D30"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$ 1.905.652.355</w:t>
            </w:r>
          </w:p>
        </w:tc>
        <w:tc>
          <w:tcPr>
            <w:tcW w:w="1532" w:type="dxa"/>
            <w:tcBorders>
              <w:top w:val="single" w:sz="4" w:space="0" w:color="auto"/>
              <w:left w:val="single" w:sz="4" w:space="0" w:color="auto"/>
              <w:bottom w:val="single" w:sz="4" w:space="0" w:color="auto"/>
              <w:right w:val="single" w:sz="4" w:space="0" w:color="auto"/>
            </w:tcBorders>
            <w:noWrap/>
            <w:vAlign w:val="center"/>
          </w:tcPr>
          <w:p w14:paraId="24485738" w14:textId="22434CA4"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0,26</w:t>
            </w:r>
          </w:p>
        </w:tc>
        <w:tc>
          <w:tcPr>
            <w:tcW w:w="1537" w:type="dxa"/>
            <w:tcBorders>
              <w:top w:val="single" w:sz="4" w:space="0" w:color="auto"/>
              <w:left w:val="single" w:sz="4" w:space="0" w:color="auto"/>
              <w:bottom w:val="single" w:sz="4" w:space="0" w:color="auto"/>
              <w:right w:val="single" w:sz="4" w:space="0" w:color="auto"/>
            </w:tcBorders>
            <w:noWrap/>
            <w:vAlign w:val="center"/>
          </w:tcPr>
          <w:p w14:paraId="0646B705" w14:textId="0ADFFDE2" w:rsidR="0051628A" w:rsidRPr="0051628A" w:rsidRDefault="0051628A" w:rsidP="0051628A">
            <w:pPr>
              <w:jc w:val="center"/>
              <w:rPr>
                <w:rFonts w:ascii="Verdana" w:hAnsi="Verdana"/>
                <w:color w:val="000000"/>
                <w:sz w:val="14"/>
                <w:szCs w:val="14"/>
                <w:lang w:eastAsia="es-CO"/>
              </w:rPr>
            </w:pPr>
            <w:r w:rsidRPr="0051628A">
              <w:rPr>
                <w:rFonts w:ascii="Verdana" w:hAnsi="Verdana"/>
                <w:i/>
                <w:iCs/>
                <w:color w:val="000000"/>
                <w:sz w:val="14"/>
                <w:szCs w:val="14"/>
              </w:rPr>
              <w:t>0,18</w:t>
            </w:r>
          </w:p>
        </w:tc>
      </w:tr>
      <w:tr w:rsidR="0051628A" w:rsidRPr="00FD0CC3" w14:paraId="694B7176" w14:textId="77777777" w:rsidTr="0051628A">
        <w:trPr>
          <w:trHeight w:val="90"/>
          <w:jc w:val="center"/>
        </w:trPr>
        <w:tc>
          <w:tcPr>
            <w:tcW w:w="1430" w:type="dxa"/>
            <w:tcBorders>
              <w:top w:val="nil"/>
              <w:left w:val="nil"/>
              <w:bottom w:val="nil"/>
              <w:right w:val="nil"/>
            </w:tcBorders>
            <w:noWrap/>
            <w:vAlign w:val="bottom"/>
            <w:hideMark/>
          </w:tcPr>
          <w:p w14:paraId="197127A3" w14:textId="77777777" w:rsidR="0051628A" w:rsidRPr="00FD0CC3" w:rsidRDefault="0051628A" w:rsidP="0051628A">
            <w:pPr>
              <w:jc w:val="center"/>
              <w:rPr>
                <w:rFonts w:ascii="Verdana" w:hAnsi="Verdana"/>
                <w:color w:val="000000"/>
                <w:sz w:val="16"/>
                <w:szCs w:val="16"/>
                <w:lang w:eastAsia="es-CO"/>
              </w:rPr>
            </w:pPr>
          </w:p>
        </w:tc>
        <w:tc>
          <w:tcPr>
            <w:tcW w:w="1103" w:type="dxa"/>
            <w:tcBorders>
              <w:top w:val="single" w:sz="4" w:space="0" w:color="auto"/>
              <w:left w:val="nil"/>
              <w:bottom w:val="nil"/>
              <w:right w:val="nil"/>
            </w:tcBorders>
            <w:noWrap/>
            <w:vAlign w:val="bottom"/>
            <w:hideMark/>
          </w:tcPr>
          <w:p w14:paraId="250A550F" w14:textId="77777777" w:rsidR="0051628A" w:rsidRPr="00FD0CC3" w:rsidRDefault="0051628A" w:rsidP="0051628A">
            <w:pPr>
              <w:rPr>
                <w:rFonts w:ascii="Verdana" w:hAnsi="Verdana"/>
                <w:sz w:val="20"/>
                <w:szCs w:val="20"/>
                <w:lang w:eastAsia="es-CO"/>
              </w:rPr>
            </w:pPr>
          </w:p>
        </w:tc>
        <w:tc>
          <w:tcPr>
            <w:tcW w:w="1743" w:type="dxa"/>
            <w:tcBorders>
              <w:top w:val="single" w:sz="4" w:space="0" w:color="auto"/>
              <w:left w:val="nil"/>
              <w:bottom w:val="nil"/>
              <w:right w:val="nil"/>
            </w:tcBorders>
            <w:noWrap/>
            <w:vAlign w:val="bottom"/>
            <w:hideMark/>
          </w:tcPr>
          <w:p w14:paraId="186DE6CF" w14:textId="77777777" w:rsidR="0051628A" w:rsidRPr="00FD0CC3" w:rsidRDefault="0051628A" w:rsidP="0051628A">
            <w:pPr>
              <w:rPr>
                <w:rFonts w:ascii="Verdana" w:hAnsi="Verdana"/>
                <w:sz w:val="20"/>
                <w:szCs w:val="20"/>
                <w:lang w:eastAsia="es-CO"/>
              </w:rPr>
            </w:pPr>
          </w:p>
        </w:tc>
        <w:tc>
          <w:tcPr>
            <w:tcW w:w="1237" w:type="dxa"/>
            <w:tcBorders>
              <w:top w:val="single" w:sz="4" w:space="0" w:color="auto"/>
              <w:left w:val="nil"/>
              <w:bottom w:val="nil"/>
              <w:right w:val="nil"/>
            </w:tcBorders>
            <w:noWrap/>
            <w:vAlign w:val="bottom"/>
            <w:hideMark/>
          </w:tcPr>
          <w:p w14:paraId="4B3C5C2E" w14:textId="77777777" w:rsidR="0051628A" w:rsidRPr="00FD0CC3" w:rsidRDefault="0051628A" w:rsidP="0051628A">
            <w:pPr>
              <w:rPr>
                <w:rFonts w:ascii="Verdana" w:hAnsi="Verdana"/>
                <w:sz w:val="20"/>
                <w:szCs w:val="20"/>
                <w:lang w:eastAsia="es-CO"/>
              </w:rPr>
            </w:pPr>
          </w:p>
        </w:tc>
        <w:tc>
          <w:tcPr>
            <w:tcW w:w="1332" w:type="dxa"/>
            <w:tcBorders>
              <w:top w:val="single" w:sz="4" w:space="0" w:color="auto"/>
              <w:left w:val="nil"/>
              <w:bottom w:val="nil"/>
              <w:right w:val="nil"/>
            </w:tcBorders>
            <w:noWrap/>
            <w:vAlign w:val="bottom"/>
            <w:hideMark/>
          </w:tcPr>
          <w:p w14:paraId="65A92767" w14:textId="77777777" w:rsidR="0051628A" w:rsidRPr="00FD0CC3" w:rsidRDefault="0051628A" w:rsidP="0051628A">
            <w:pPr>
              <w:rPr>
                <w:rFonts w:ascii="Verdana" w:hAnsi="Verdana"/>
                <w:sz w:val="20"/>
                <w:szCs w:val="20"/>
                <w:lang w:eastAsia="es-CO"/>
              </w:rPr>
            </w:pPr>
          </w:p>
        </w:tc>
        <w:tc>
          <w:tcPr>
            <w:tcW w:w="1350" w:type="dxa"/>
            <w:tcBorders>
              <w:top w:val="single" w:sz="4" w:space="0" w:color="auto"/>
              <w:left w:val="nil"/>
              <w:bottom w:val="nil"/>
              <w:right w:val="nil"/>
            </w:tcBorders>
            <w:noWrap/>
            <w:vAlign w:val="bottom"/>
            <w:hideMark/>
          </w:tcPr>
          <w:p w14:paraId="25597A54" w14:textId="77777777" w:rsidR="0051628A" w:rsidRPr="00FD0CC3" w:rsidRDefault="0051628A" w:rsidP="0051628A">
            <w:pPr>
              <w:rPr>
                <w:rFonts w:ascii="Verdana" w:hAnsi="Verdana"/>
                <w:sz w:val="20"/>
                <w:szCs w:val="20"/>
                <w:lang w:eastAsia="es-CO"/>
              </w:rPr>
            </w:pPr>
          </w:p>
        </w:tc>
        <w:tc>
          <w:tcPr>
            <w:tcW w:w="1532" w:type="dxa"/>
            <w:tcBorders>
              <w:top w:val="single" w:sz="4" w:space="0" w:color="auto"/>
              <w:left w:val="nil"/>
              <w:bottom w:val="nil"/>
              <w:right w:val="nil"/>
            </w:tcBorders>
            <w:noWrap/>
            <w:vAlign w:val="bottom"/>
            <w:hideMark/>
          </w:tcPr>
          <w:p w14:paraId="74B6AF2C" w14:textId="77777777" w:rsidR="0051628A" w:rsidRPr="00FD0CC3" w:rsidRDefault="0051628A" w:rsidP="0051628A">
            <w:pPr>
              <w:rPr>
                <w:rFonts w:ascii="Verdana" w:hAnsi="Verdana"/>
                <w:sz w:val="20"/>
                <w:szCs w:val="20"/>
                <w:lang w:eastAsia="es-CO"/>
              </w:rPr>
            </w:pPr>
          </w:p>
        </w:tc>
        <w:tc>
          <w:tcPr>
            <w:tcW w:w="1537" w:type="dxa"/>
            <w:tcBorders>
              <w:top w:val="single" w:sz="4" w:space="0" w:color="auto"/>
              <w:left w:val="nil"/>
              <w:bottom w:val="nil"/>
              <w:right w:val="nil"/>
            </w:tcBorders>
            <w:noWrap/>
            <w:vAlign w:val="bottom"/>
            <w:hideMark/>
          </w:tcPr>
          <w:p w14:paraId="1F6B0FD7" w14:textId="77777777" w:rsidR="0051628A" w:rsidRPr="00FD0CC3" w:rsidRDefault="0051628A" w:rsidP="0051628A">
            <w:pPr>
              <w:rPr>
                <w:rFonts w:ascii="Verdana" w:hAnsi="Verdana"/>
                <w:sz w:val="20"/>
                <w:szCs w:val="20"/>
                <w:lang w:eastAsia="es-CO"/>
              </w:rPr>
            </w:pPr>
          </w:p>
        </w:tc>
      </w:tr>
      <w:tr w:rsidR="00B82235" w:rsidRPr="00FD0CC3" w14:paraId="58391A9A" w14:textId="77777777" w:rsidTr="00B82235">
        <w:trPr>
          <w:trHeight w:val="255"/>
          <w:jc w:val="center"/>
        </w:trPr>
        <w:tc>
          <w:tcPr>
            <w:tcW w:w="143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E4CAB37" w14:textId="590ABA25" w:rsidR="00B82235" w:rsidRPr="00FD0CC3" w:rsidRDefault="00B82235" w:rsidP="00B82235">
            <w:pPr>
              <w:jc w:val="center"/>
              <w:rPr>
                <w:rFonts w:ascii="Verdana" w:hAnsi="Verdana"/>
                <w:b/>
                <w:bCs/>
                <w:color w:val="000000"/>
                <w:sz w:val="16"/>
                <w:szCs w:val="16"/>
                <w:lang w:eastAsia="es-CO"/>
              </w:rPr>
            </w:pPr>
            <w:r w:rsidRPr="00FD0CC3">
              <w:rPr>
                <w:rFonts w:ascii="Verdana" w:hAnsi="Verdana"/>
                <w:b/>
                <w:bCs/>
                <w:color w:val="000000"/>
                <w:sz w:val="16"/>
                <w:szCs w:val="16"/>
                <w:lang w:eastAsia="es-CO"/>
              </w:rPr>
              <w:t>VARIACIÓN MiPymes vs Muestra Completa</w:t>
            </w:r>
          </w:p>
        </w:tc>
        <w:tc>
          <w:tcPr>
            <w:tcW w:w="1103" w:type="dxa"/>
            <w:tcBorders>
              <w:top w:val="single" w:sz="4" w:space="0" w:color="auto"/>
              <w:left w:val="single" w:sz="4" w:space="0" w:color="auto"/>
              <w:bottom w:val="single" w:sz="4" w:space="0" w:color="auto"/>
              <w:right w:val="single" w:sz="4" w:space="0" w:color="auto"/>
            </w:tcBorders>
            <w:vAlign w:val="center"/>
          </w:tcPr>
          <w:p w14:paraId="2E510D50" w14:textId="43C842EA"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0,22</w:t>
            </w:r>
          </w:p>
        </w:tc>
        <w:tc>
          <w:tcPr>
            <w:tcW w:w="1743" w:type="dxa"/>
            <w:tcBorders>
              <w:top w:val="single" w:sz="4" w:space="0" w:color="auto"/>
              <w:left w:val="nil"/>
              <w:bottom w:val="single" w:sz="4" w:space="0" w:color="auto"/>
              <w:right w:val="single" w:sz="4" w:space="0" w:color="auto"/>
            </w:tcBorders>
            <w:vAlign w:val="center"/>
          </w:tcPr>
          <w:p w14:paraId="76786F9B" w14:textId="74BBDDBA"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-0,07</w:t>
            </w:r>
          </w:p>
        </w:tc>
        <w:tc>
          <w:tcPr>
            <w:tcW w:w="1237" w:type="dxa"/>
            <w:tcBorders>
              <w:top w:val="single" w:sz="4" w:space="0" w:color="auto"/>
              <w:left w:val="nil"/>
              <w:bottom w:val="single" w:sz="4" w:space="0" w:color="auto"/>
              <w:right w:val="single" w:sz="4" w:space="0" w:color="auto"/>
            </w:tcBorders>
            <w:vAlign w:val="center"/>
          </w:tcPr>
          <w:p w14:paraId="055E7A55" w14:textId="663616CA"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0,42</w:t>
            </w:r>
          </w:p>
        </w:tc>
        <w:tc>
          <w:tcPr>
            <w:tcW w:w="1332" w:type="dxa"/>
            <w:tcBorders>
              <w:top w:val="single" w:sz="4" w:space="0" w:color="auto"/>
              <w:left w:val="nil"/>
              <w:bottom w:val="single" w:sz="4" w:space="0" w:color="auto"/>
              <w:right w:val="single" w:sz="4" w:space="0" w:color="auto"/>
            </w:tcBorders>
            <w:vAlign w:val="center"/>
          </w:tcPr>
          <w:p w14:paraId="1487CD72" w14:textId="441524B7"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-0,45</w:t>
            </w:r>
          </w:p>
        </w:tc>
        <w:tc>
          <w:tcPr>
            <w:tcW w:w="1350" w:type="dxa"/>
            <w:tcBorders>
              <w:top w:val="single" w:sz="4" w:space="0" w:color="auto"/>
              <w:left w:val="nil"/>
              <w:bottom w:val="single" w:sz="4" w:space="0" w:color="auto"/>
              <w:right w:val="single" w:sz="4" w:space="0" w:color="auto"/>
            </w:tcBorders>
            <w:vAlign w:val="center"/>
          </w:tcPr>
          <w:p w14:paraId="38E15B97" w14:textId="7A2E5871"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-0,38</w:t>
            </w:r>
          </w:p>
        </w:tc>
        <w:tc>
          <w:tcPr>
            <w:tcW w:w="1532" w:type="dxa"/>
            <w:tcBorders>
              <w:top w:val="single" w:sz="4" w:space="0" w:color="auto"/>
              <w:left w:val="nil"/>
              <w:bottom w:val="single" w:sz="4" w:space="0" w:color="auto"/>
              <w:right w:val="single" w:sz="4" w:space="0" w:color="auto"/>
            </w:tcBorders>
            <w:vAlign w:val="center"/>
          </w:tcPr>
          <w:p w14:paraId="38838D24" w14:textId="5F03F0B1"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0,00</w:t>
            </w:r>
          </w:p>
        </w:tc>
        <w:tc>
          <w:tcPr>
            <w:tcW w:w="1537" w:type="dxa"/>
            <w:tcBorders>
              <w:top w:val="single" w:sz="4" w:space="0" w:color="auto"/>
              <w:left w:val="nil"/>
              <w:bottom w:val="single" w:sz="4" w:space="0" w:color="auto"/>
              <w:right w:val="single" w:sz="4" w:space="0" w:color="auto"/>
            </w:tcBorders>
            <w:vAlign w:val="center"/>
          </w:tcPr>
          <w:p w14:paraId="29CA7D63" w14:textId="3535AA11" w:rsidR="00B82235" w:rsidRPr="00B82235" w:rsidRDefault="00B82235" w:rsidP="00B82235">
            <w:pPr>
              <w:jc w:val="center"/>
              <w:rPr>
                <w:rFonts w:ascii="Verdana" w:hAnsi="Verdana"/>
                <w:b/>
                <w:bCs/>
                <w:color w:val="000000"/>
                <w:sz w:val="16"/>
                <w:szCs w:val="16"/>
                <w:lang w:eastAsia="es-CO"/>
              </w:rPr>
            </w:pPr>
            <w:r w:rsidRPr="00B82235">
              <w:rPr>
                <w:rFonts w:ascii="Verdana" w:hAnsi="Verdana"/>
                <w:color w:val="000000"/>
                <w:sz w:val="18"/>
                <w:szCs w:val="18"/>
              </w:rPr>
              <w:t>0,00</w:t>
            </w:r>
          </w:p>
        </w:tc>
      </w:tr>
    </w:tbl>
    <w:p w14:paraId="7D2D4EEC" w14:textId="77777777" w:rsidR="0082783F" w:rsidRPr="00FD0CC3" w:rsidRDefault="0082783F" w:rsidP="005C7E10">
      <w:pPr>
        <w:jc w:val="center"/>
        <w:rPr>
          <w:rFonts w:ascii="Verdana" w:hAnsi="Verdana" w:cs="Arial"/>
          <w:sz w:val="16"/>
          <w:szCs w:val="16"/>
          <w:lang w:val="es-MX"/>
        </w:rPr>
      </w:pPr>
    </w:p>
    <w:p w14:paraId="02C82559" w14:textId="77777777" w:rsidR="00D64E73" w:rsidRPr="00600DF8" w:rsidRDefault="00D64E73" w:rsidP="00D64E73">
      <w:pPr>
        <w:jc w:val="center"/>
        <w:rPr>
          <w:rFonts w:ascii="Verdana" w:hAnsi="Verdana" w:cs="Arial"/>
          <w:sz w:val="22"/>
          <w:szCs w:val="22"/>
          <w:lang w:val="es-MX"/>
        </w:rPr>
      </w:pPr>
      <w:r w:rsidRPr="00600DF8">
        <w:rPr>
          <w:rFonts w:ascii="Verdana" w:hAnsi="Verdana" w:cs="Arial"/>
          <w:b/>
          <w:bCs/>
          <w:sz w:val="22"/>
          <w:szCs w:val="22"/>
          <w:lang w:val="es-MX"/>
        </w:rPr>
        <w:t>Fuente</w:t>
      </w:r>
      <w:r w:rsidRPr="00600DF8">
        <w:rPr>
          <w:rFonts w:ascii="Verdana" w:hAnsi="Verdana" w:cs="Arial"/>
          <w:sz w:val="22"/>
          <w:szCs w:val="22"/>
          <w:lang w:val="es-MX"/>
        </w:rPr>
        <w:t>: Elaboración propia</w:t>
      </w:r>
    </w:p>
    <w:p w14:paraId="31811D40" w14:textId="77777777" w:rsidR="007841BC" w:rsidRPr="00611315" w:rsidRDefault="007841BC" w:rsidP="00EB56A0">
      <w:pPr>
        <w:jc w:val="both"/>
        <w:rPr>
          <w:rFonts w:ascii="Verdana" w:hAnsi="Verdana" w:cs="Arial"/>
          <w:sz w:val="22"/>
          <w:szCs w:val="22"/>
          <w:highlight w:val="yellow"/>
          <w:lang w:val="es-MX"/>
        </w:rPr>
      </w:pPr>
    </w:p>
    <w:p w14:paraId="093451D4" w14:textId="77777777" w:rsidR="003F5B6D" w:rsidRPr="00611315" w:rsidRDefault="003F5B6D" w:rsidP="001216E2">
      <w:pPr>
        <w:jc w:val="both"/>
        <w:rPr>
          <w:rFonts w:ascii="Verdana" w:hAnsi="Verdana" w:cs="Arial"/>
          <w:sz w:val="22"/>
          <w:szCs w:val="22"/>
          <w:highlight w:val="yellow"/>
          <w:lang w:val="es-MX"/>
        </w:rPr>
      </w:pPr>
    </w:p>
    <w:p w14:paraId="2DF1C4C6" w14:textId="1ADA0AE8" w:rsidR="001216E2" w:rsidRPr="00A20595" w:rsidRDefault="001216E2" w:rsidP="001216E2">
      <w:pPr>
        <w:jc w:val="both"/>
        <w:rPr>
          <w:rFonts w:ascii="Verdana" w:hAnsi="Verdana" w:cs="Arial"/>
          <w:sz w:val="22"/>
          <w:szCs w:val="22"/>
          <w:lang w:val="es-MX"/>
        </w:rPr>
      </w:pPr>
      <w:r w:rsidRPr="00A20595">
        <w:rPr>
          <w:rFonts w:ascii="Verdana" w:hAnsi="Verdana" w:cs="Arial"/>
          <w:sz w:val="22"/>
          <w:szCs w:val="22"/>
          <w:lang w:val="es-MX"/>
        </w:rPr>
        <w:t xml:space="preserve">Como se puede observar, en algunos indicadores se presentan variaciones que podrían ser considerados para establecer criterios diferenciales a favor de las MiPymes en el marco de los documentos tipo de infraestructura </w:t>
      </w:r>
      <w:r w:rsidR="00B82235" w:rsidRPr="00A20595">
        <w:rPr>
          <w:rFonts w:ascii="Verdana" w:hAnsi="Verdana" w:cs="Arial"/>
          <w:sz w:val="22"/>
          <w:szCs w:val="22"/>
          <w:lang w:val="es-MX"/>
        </w:rPr>
        <w:t>de agua potable y saneamiento básico</w:t>
      </w:r>
      <w:r w:rsidRPr="00A20595">
        <w:rPr>
          <w:rFonts w:ascii="Verdana" w:hAnsi="Verdana" w:cs="Arial"/>
          <w:sz w:val="22"/>
          <w:szCs w:val="22"/>
          <w:lang w:val="es-MX"/>
        </w:rPr>
        <w:t>, tales como, Capital de trabajo, Patrimonio, sin embargo la consideración de flexibilización se hará soportada en las anteriores variaciones</w:t>
      </w:r>
      <w:r w:rsidR="00B82235" w:rsidRPr="00A20595">
        <w:rPr>
          <w:rFonts w:ascii="Verdana" w:hAnsi="Verdana" w:cs="Arial"/>
          <w:sz w:val="22"/>
          <w:szCs w:val="22"/>
          <w:lang w:val="es-MX"/>
        </w:rPr>
        <w:t xml:space="preserve"> de los documentos tipo</w:t>
      </w:r>
      <w:r w:rsidR="00A6132E" w:rsidRPr="00A20595">
        <w:rPr>
          <w:rFonts w:ascii="Verdana" w:hAnsi="Verdana" w:cs="Arial"/>
          <w:sz w:val="22"/>
          <w:szCs w:val="22"/>
          <w:lang w:val="es-MX"/>
        </w:rPr>
        <w:t xml:space="preserve">, </w:t>
      </w:r>
      <w:r w:rsidR="00A20595" w:rsidRPr="00A20595">
        <w:rPr>
          <w:rFonts w:ascii="Verdana" w:hAnsi="Verdana" w:cs="Arial"/>
          <w:sz w:val="22"/>
          <w:szCs w:val="22"/>
          <w:lang w:val="es-MX"/>
        </w:rPr>
        <w:t xml:space="preserve">el comportamiento de las variaciones previamente identificadas, </w:t>
      </w:r>
      <w:r w:rsidRPr="00A20595">
        <w:rPr>
          <w:rFonts w:ascii="Verdana" w:hAnsi="Verdana" w:cs="Arial"/>
          <w:sz w:val="22"/>
          <w:szCs w:val="22"/>
          <w:lang w:val="es-MX"/>
        </w:rPr>
        <w:t>y la</w:t>
      </w:r>
      <w:r w:rsidR="00A6132E" w:rsidRPr="00A20595">
        <w:rPr>
          <w:rFonts w:ascii="Verdana" w:hAnsi="Verdana" w:cs="Arial"/>
          <w:sz w:val="22"/>
          <w:szCs w:val="22"/>
          <w:lang w:val="es-MX"/>
        </w:rPr>
        <w:t>s particularidades de la</w:t>
      </w:r>
      <w:r w:rsidRPr="00A20595">
        <w:rPr>
          <w:rFonts w:ascii="Verdana" w:hAnsi="Verdana" w:cs="Arial"/>
          <w:sz w:val="22"/>
          <w:szCs w:val="22"/>
          <w:lang w:val="es-MX"/>
        </w:rPr>
        <w:t xml:space="preserve"> propuesta de indicadores, en función de promover la participación de las MiPymes</w:t>
      </w:r>
      <w:r w:rsidR="002924AC" w:rsidRPr="00A20595">
        <w:rPr>
          <w:rFonts w:ascii="Verdana" w:hAnsi="Verdana" w:cs="Arial"/>
          <w:sz w:val="22"/>
          <w:szCs w:val="22"/>
          <w:lang w:val="es-MX"/>
        </w:rPr>
        <w:t xml:space="preserve"> sin poner en riesgo </w:t>
      </w:r>
      <w:r w:rsidR="00B0741C" w:rsidRPr="00A20595">
        <w:rPr>
          <w:rFonts w:ascii="Verdana" w:hAnsi="Verdana" w:cs="Arial"/>
          <w:sz w:val="22"/>
          <w:szCs w:val="22"/>
          <w:lang w:val="es-MX"/>
        </w:rPr>
        <w:t>la ejecución de los contratos.</w:t>
      </w:r>
    </w:p>
    <w:p w14:paraId="2DD4D26D" w14:textId="77777777" w:rsidR="001C0F82" w:rsidRPr="00611315" w:rsidRDefault="001C0F82" w:rsidP="001216E2">
      <w:pPr>
        <w:jc w:val="both"/>
        <w:rPr>
          <w:rFonts w:ascii="Verdana" w:hAnsi="Verdana" w:cs="Arial"/>
          <w:sz w:val="22"/>
          <w:szCs w:val="22"/>
          <w:highlight w:val="yellow"/>
          <w:lang w:val="es-MX"/>
        </w:rPr>
      </w:pPr>
    </w:p>
    <w:p w14:paraId="46C4D956" w14:textId="05015588" w:rsidR="000B6C34" w:rsidRDefault="001216E2" w:rsidP="177792B3">
      <w:pPr>
        <w:jc w:val="both"/>
        <w:rPr>
          <w:rFonts w:ascii="Verdana" w:hAnsi="Verdana" w:cs="Arial"/>
          <w:sz w:val="22"/>
          <w:szCs w:val="22"/>
        </w:rPr>
      </w:pPr>
      <w:r w:rsidRPr="00A20595">
        <w:rPr>
          <w:rFonts w:ascii="Verdana" w:hAnsi="Verdana" w:cs="Arial"/>
          <w:sz w:val="22"/>
          <w:szCs w:val="22"/>
        </w:rPr>
        <w:t>Conforme lo anterior, y teniendo en cuenta lo definido en el artículo 2.2.1.2.4.2.18. del decreto 1860 de 2021 en donde se establece que “los Documentos del Proceso deberán incorporar requisitos habilitantes diferenciales relacionados con alguno o algunos de los siguientes aspectos: 1. Tiempo de experiencia. 2. Número de contratos para la acreditación de la experiencia. 3. Índices de capacidad financiera. 4. Índices de capacidad organizacional. 5. Valor de la garantía de seriedad de la oferta”, se considera que para todas aquellas empresas que certifiquen su condición de MiPymes se flexibilizarán los siguientes indicadores de capacidad financiera y organizacional:</w:t>
      </w:r>
    </w:p>
    <w:p w14:paraId="0F8B6C47" w14:textId="77777777" w:rsidR="00A20595" w:rsidRDefault="00A20595" w:rsidP="177792B3">
      <w:pPr>
        <w:jc w:val="both"/>
        <w:rPr>
          <w:rFonts w:ascii="Verdana" w:hAnsi="Verdana" w:cs="Arial"/>
          <w:sz w:val="22"/>
          <w:szCs w:val="22"/>
        </w:rPr>
      </w:pPr>
    </w:p>
    <w:p w14:paraId="1F0902C0" w14:textId="77777777" w:rsidR="00A20595" w:rsidRDefault="00A20595" w:rsidP="177792B3">
      <w:pPr>
        <w:jc w:val="both"/>
        <w:rPr>
          <w:rFonts w:ascii="Verdana" w:hAnsi="Verdana" w:cs="Arial"/>
          <w:sz w:val="22"/>
          <w:szCs w:val="22"/>
        </w:rPr>
      </w:pPr>
    </w:p>
    <w:p w14:paraId="2826D603" w14:textId="77777777" w:rsidR="00A20595" w:rsidRPr="00A20595" w:rsidRDefault="00A20595" w:rsidP="177792B3">
      <w:pPr>
        <w:jc w:val="both"/>
        <w:rPr>
          <w:rFonts w:ascii="Verdana" w:hAnsi="Verdana" w:cs="Arial"/>
          <w:sz w:val="22"/>
          <w:szCs w:val="22"/>
        </w:rPr>
      </w:pPr>
    </w:p>
    <w:p w14:paraId="42B65743" w14:textId="77777777" w:rsidR="001216E2" w:rsidRPr="00611315" w:rsidRDefault="001216E2" w:rsidP="001216E2">
      <w:pPr>
        <w:jc w:val="both"/>
        <w:rPr>
          <w:rFonts w:ascii="Verdana" w:hAnsi="Verdana" w:cs="Arial"/>
          <w:sz w:val="22"/>
          <w:szCs w:val="22"/>
          <w:highlight w:val="yellow"/>
          <w:lang w:val="es-MX"/>
        </w:rPr>
      </w:pPr>
    </w:p>
    <w:p w14:paraId="42BD78F1" w14:textId="6A556BD7" w:rsidR="003372A7" w:rsidRPr="00A20595"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A20595">
        <w:rPr>
          <w:rFonts w:ascii="Verdana" w:hAnsi="Verdana" w:cs="Arial"/>
          <w:b/>
          <w:bCs/>
          <w:u w:val="single"/>
          <w:lang w:val="es-MX"/>
        </w:rPr>
        <w:lastRenderedPageBreak/>
        <w:t>Indicadores de Capacidad Financiera</w:t>
      </w:r>
    </w:p>
    <w:p w14:paraId="16CD865A" w14:textId="61867E48" w:rsidR="007841BC" w:rsidRPr="00A20595" w:rsidRDefault="007841BC" w:rsidP="007841BC">
      <w:pPr>
        <w:pStyle w:val="Descripcin"/>
        <w:spacing w:after="0"/>
        <w:jc w:val="center"/>
        <w:rPr>
          <w:rFonts w:ascii="Verdana" w:eastAsia="Times New Roman" w:hAnsi="Verdana" w:cs="Arial"/>
          <w:b w:val="0"/>
          <w:bCs w:val="0"/>
          <w:lang w:val="es-MX" w:eastAsia="es-MX"/>
        </w:rPr>
      </w:pPr>
      <w:bookmarkStart w:id="556" w:name="_Toc180136838"/>
      <w:bookmarkStart w:id="557" w:name="_Toc231368703"/>
      <w:r w:rsidRPr="00A20595">
        <w:rPr>
          <w:rFonts w:ascii="Verdana" w:hAnsi="Verdana"/>
          <w:sz w:val="22"/>
          <w:szCs w:val="22"/>
        </w:rPr>
        <w:t xml:space="preserve">Tabla </w:t>
      </w:r>
      <w:r w:rsidRPr="00A20595">
        <w:rPr>
          <w:rFonts w:ascii="Verdana" w:hAnsi="Verdana"/>
          <w:sz w:val="22"/>
          <w:szCs w:val="22"/>
        </w:rPr>
        <w:fldChar w:fldCharType="begin"/>
      </w:r>
      <w:r w:rsidRPr="00A20595">
        <w:rPr>
          <w:rFonts w:ascii="Verdana" w:hAnsi="Verdana"/>
          <w:sz w:val="22"/>
          <w:szCs w:val="22"/>
        </w:rPr>
        <w:instrText xml:space="preserve"> SEQ Tabla \* ARABIC </w:instrText>
      </w:r>
      <w:r w:rsidRPr="00A20595">
        <w:rPr>
          <w:rFonts w:ascii="Verdana" w:hAnsi="Verdana"/>
          <w:sz w:val="22"/>
          <w:szCs w:val="22"/>
        </w:rPr>
        <w:fldChar w:fldCharType="separate"/>
      </w:r>
      <w:r w:rsidR="00D64E73">
        <w:rPr>
          <w:rFonts w:ascii="Verdana" w:hAnsi="Verdana"/>
          <w:noProof/>
          <w:sz w:val="22"/>
          <w:szCs w:val="22"/>
        </w:rPr>
        <w:t>36</w:t>
      </w:r>
      <w:r w:rsidRPr="00A20595">
        <w:rPr>
          <w:rFonts w:ascii="Verdana" w:hAnsi="Verdana"/>
          <w:sz w:val="22"/>
          <w:szCs w:val="22"/>
        </w:rPr>
        <w:fldChar w:fldCharType="end"/>
      </w:r>
      <w:r w:rsidRPr="00A20595">
        <w:rPr>
          <w:rFonts w:ascii="Verdana" w:hAnsi="Verdana"/>
          <w:sz w:val="22"/>
          <w:szCs w:val="22"/>
        </w:rPr>
        <w:t>. Indicadores MiPymes Capacidad Financiera</w:t>
      </w:r>
      <w:bookmarkEnd w:id="556"/>
      <w:bookmarkEnd w:id="557"/>
    </w:p>
    <w:p w14:paraId="603D6E40" w14:textId="77777777" w:rsidR="000F7F91" w:rsidRPr="00A20595" w:rsidRDefault="000F7F91" w:rsidP="007841BC">
      <w:pPr>
        <w:jc w:val="center"/>
        <w:rPr>
          <w:rFonts w:ascii="Verdana" w:hAnsi="Verdana" w:cs="Arial"/>
          <w:sz w:val="16"/>
          <w:szCs w:val="16"/>
          <w:lang w:val="es-MX"/>
        </w:rPr>
      </w:pPr>
    </w:p>
    <w:tbl>
      <w:tblPr>
        <w:tblW w:w="2982" w:type="dxa"/>
        <w:jc w:val="center"/>
        <w:tblCellMar>
          <w:left w:w="70" w:type="dxa"/>
          <w:right w:w="70" w:type="dxa"/>
        </w:tblCellMar>
        <w:tblLook w:val="04A0" w:firstRow="1" w:lastRow="0" w:firstColumn="1" w:lastColumn="0" w:noHBand="0" w:noVBand="1"/>
      </w:tblPr>
      <w:tblGrid>
        <w:gridCol w:w="147"/>
        <w:gridCol w:w="739"/>
        <w:gridCol w:w="166"/>
        <w:gridCol w:w="1930"/>
      </w:tblGrid>
      <w:tr w:rsidR="00D81136" w:rsidRPr="00A20595" w14:paraId="0EA6CF1B" w14:textId="77777777" w:rsidTr="00D81136">
        <w:trPr>
          <w:trHeight w:val="22"/>
          <w:tblHeader/>
          <w:jc w:val="center"/>
        </w:trPr>
        <w:tc>
          <w:tcPr>
            <w:tcW w:w="886" w:type="dxa"/>
            <w:gridSpan w:val="2"/>
            <w:tcBorders>
              <w:top w:val="nil"/>
              <w:left w:val="nil"/>
              <w:bottom w:val="nil"/>
              <w:right w:val="nil"/>
            </w:tcBorders>
            <w:vAlign w:val="center"/>
            <w:hideMark/>
          </w:tcPr>
          <w:p w14:paraId="52F05463" w14:textId="77777777" w:rsidR="00D81136" w:rsidRPr="00A20595" w:rsidRDefault="00D81136" w:rsidP="0044671B">
            <w:pPr>
              <w:rPr>
                <w:rFonts w:ascii="Verdana" w:hAnsi="Verdana" w:cs="Arial"/>
                <w:sz w:val="18"/>
                <w:szCs w:val="18"/>
                <w:lang w:eastAsia="es-CO"/>
              </w:rPr>
            </w:pPr>
          </w:p>
        </w:tc>
        <w:tc>
          <w:tcPr>
            <w:tcW w:w="166" w:type="dxa"/>
            <w:tcBorders>
              <w:top w:val="nil"/>
              <w:left w:val="nil"/>
              <w:bottom w:val="nil"/>
              <w:right w:val="nil"/>
            </w:tcBorders>
            <w:noWrap/>
            <w:vAlign w:val="center"/>
            <w:hideMark/>
          </w:tcPr>
          <w:p w14:paraId="68E24BA1" w14:textId="77777777" w:rsidR="00D81136" w:rsidRPr="00A20595" w:rsidRDefault="00D81136" w:rsidP="0044671B">
            <w:pPr>
              <w:jc w:val="center"/>
              <w:rPr>
                <w:rFonts w:ascii="Verdana" w:hAnsi="Verdana" w:cs="Arial"/>
                <w:sz w:val="18"/>
                <w:szCs w:val="18"/>
                <w:lang w:eastAsia="es-CO"/>
              </w:rPr>
            </w:pPr>
          </w:p>
        </w:tc>
        <w:tc>
          <w:tcPr>
            <w:tcW w:w="193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4C7C4E62" w14:textId="77777777" w:rsidR="00D81136" w:rsidRPr="00A20595" w:rsidRDefault="00D81136" w:rsidP="0044671B">
            <w:pPr>
              <w:jc w:val="center"/>
              <w:rPr>
                <w:rFonts w:ascii="Verdana" w:hAnsi="Verdana" w:cs="Arial"/>
                <w:b/>
                <w:bCs/>
                <w:color w:val="000000"/>
                <w:sz w:val="18"/>
                <w:szCs w:val="18"/>
                <w:lang w:eastAsia="es-CO"/>
              </w:rPr>
            </w:pPr>
            <w:r w:rsidRPr="00A20595">
              <w:rPr>
                <w:rFonts w:ascii="Verdana" w:hAnsi="Verdana" w:cs="Arial"/>
                <w:b/>
                <w:bCs/>
                <w:color w:val="000000"/>
                <w:sz w:val="18"/>
                <w:szCs w:val="18"/>
                <w:lang w:eastAsia="es-CO"/>
              </w:rPr>
              <w:t>INDICE DE LIQUIDEZ</w:t>
            </w:r>
          </w:p>
        </w:tc>
      </w:tr>
      <w:tr w:rsidR="00D81136" w:rsidRPr="00A20595" w14:paraId="30B5EF72" w14:textId="77777777" w:rsidTr="00D64E73">
        <w:trPr>
          <w:trHeight w:val="22"/>
          <w:tblHeader/>
          <w:jc w:val="center"/>
        </w:trPr>
        <w:tc>
          <w:tcPr>
            <w:tcW w:w="0" w:type="auto"/>
            <w:tcBorders>
              <w:top w:val="nil"/>
              <w:left w:val="nil"/>
              <w:bottom w:val="nil"/>
              <w:right w:val="nil"/>
            </w:tcBorders>
            <w:noWrap/>
            <w:vAlign w:val="bottom"/>
            <w:hideMark/>
          </w:tcPr>
          <w:p w14:paraId="30640338" w14:textId="77777777" w:rsidR="00D81136" w:rsidRPr="00A20595" w:rsidRDefault="00D81136" w:rsidP="0044671B">
            <w:pPr>
              <w:jc w:val="center"/>
              <w:rPr>
                <w:rFonts w:ascii="Verdana" w:hAnsi="Verdana" w:cs="Arial"/>
                <w:b/>
                <w:bCs/>
                <w:color w:val="000000"/>
                <w:sz w:val="18"/>
                <w:szCs w:val="18"/>
                <w:lang w:eastAsia="es-CO"/>
              </w:rPr>
            </w:pPr>
          </w:p>
        </w:tc>
        <w:tc>
          <w:tcPr>
            <w:tcW w:w="739" w:type="dxa"/>
            <w:tcBorders>
              <w:top w:val="nil"/>
              <w:left w:val="nil"/>
              <w:bottom w:val="nil"/>
              <w:right w:val="nil"/>
            </w:tcBorders>
            <w:noWrap/>
            <w:vAlign w:val="bottom"/>
            <w:hideMark/>
          </w:tcPr>
          <w:p w14:paraId="07DC4EF8" w14:textId="77777777" w:rsidR="00D81136" w:rsidRPr="00A20595" w:rsidRDefault="00D81136" w:rsidP="0044671B">
            <w:pPr>
              <w:rPr>
                <w:rFonts w:ascii="Verdana" w:hAnsi="Verdana" w:cs="Arial"/>
                <w:sz w:val="18"/>
                <w:szCs w:val="18"/>
                <w:lang w:eastAsia="es-CO"/>
              </w:rPr>
            </w:pPr>
          </w:p>
        </w:tc>
        <w:tc>
          <w:tcPr>
            <w:tcW w:w="166" w:type="dxa"/>
            <w:tcBorders>
              <w:top w:val="nil"/>
              <w:left w:val="nil"/>
              <w:bottom w:val="nil"/>
              <w:right w:val="nil"/>
            </w:tcBorders>
            <w:noWrap/>
            <w:vAlign w:val="bottom"/>
            <w:hideMark/>
          </w:tcPr>
          <w:p w14:paraId="29CE287B" w14:textId="77777777" w:rsidR="00D81136" w:rsidRPr="00A20595" w:rsidRDefault="00D81136" w:rsidP="0044671B">
            <w:pPr>
              <w:rPr>
                <w:rFonts w:ascii="Verdana" w:hAnsi="Verdana" w:cs="Arial"/>
                <w:sz w:val="18"/>
                <w:szCs w:val="18"/>
                <w:lang w:eastAsia="es-CO"/>
              </w:rPr>
            </w:pPr>
          </w:p>
        </w:tc>
        <w:tc>
          <w:tcPr>
            <w:tcW w:w="1930" w:type="dxa"/>
            <w:tcBorders>
              <w:top w:val="nil"/>
              <w:left w:val="nil"/>
              <w:bottom w:val="nil"/>
              <w:right w:val="nil"/>
            </w:tcBorders>
            <w:noWrap/>
            <w:vAlign w:val="bottom"/>
            <w:hideMark/>
          </w:tcPr>
          <w:p w14:paraId="64F3CCD9" w14:textId="77777777" w:rsidR="00D81136" w:rsidRPr="00A20595" w:rsidRDefault="00D81136" w:rsidP="0044671B">
            <w:pPr>
              <w:rPr>
                <w:rFonts w:ascii="Verdana" w:hAnsi="Verdana" w:cs="Arial"/>
                <w:sz w:val="18"/>
                <w:szCs w:val="18"/>
                <w:lang w:eastAsia="es-CO"/>
              </w:rPr>
            </w:pPr>
          </w:p>
        </w:tc>
      </w:tr>
      <w:tr w:rsidR="00D81136" w:rsidRPr="00A20595" w14:paraId="3A49892B" w14:textId="77777777" w:rsidTr="00D81136">
        <w:trPr>
          <w:trHeight w:val="22"/>
          <w:tblHeader/>
          <w:jc w:val="center"/>
        </w:trPr>
        <w:tc>
          <w:tcPr>
            <w:tcW w:w="886" w:type="dxa"/>
            <w:gridSpan w:val="2"/>
            <w:tcBorders>
              <w:top w:val="single" w:sz="4" w:space="0" w:color="auto"/>
              <w:left w:val="single" w:sz="4" w:space="0" w:color="auto"/>
              <w:bottom w:val="single" w:sz="4" w:space="0" w:color="auto"/>
              <w:right w:val="single" w:sz="4" w:space="0" w:color="000000"/>
            </w:tcBorders>
            <w:noWrap/>
            <w:vAlign w:val="center"/>
            <w:hideMark/>
          </w:tcPr>
          <w:p w14:paraId="4EAFA448" w14:textId="77777777" w:rsidR="00D81136" w:rsidRPr="00A20595" w:rsidRDefault="00D81136" w:rsidP="0044671B">
            <w:pPr>
              <w:jc w:val="center"/>
              <w:rPr>
                <w:rFonts w:ascii="Verdana" w:hAnsi="Verdana" w:cs="Arial"/>
                <w:b/>
                <w:bCs/>
                <w:color w:val="000000"/>
                <w:sz w:val="18"/>
                <w:szCs w:val="18"/>
                <w:lang w:eastAsia="es-CO"/>
              </w:rPr>
            </w:pPr>
            <w:r w:rsidRPr="00A20595">
              <w:rPr>
                <w:rFonts w:ascii="Verdana" w:hAnsi="Verdana" w:cs="Arial"/>
                <w:b/>
                <w:bCs/>
                <w:color w:val="000000"/>
                <w:sz w:val="18"/>
                <w:szCs w:val="18"/>
                <w:lang w:eastAsia="es-CO"/>
              </w:rPr>
              <w:t>Rangos</w:t>
            </w:r>
          </w:p>
        </w:tc>
        <w:tc>
          <w:tcPr>
            <w:tcW w:w="166" w:type="dxa"/>
            <w:tcBorders>
              <w:top w:val="nil"/>
              <w:left w:val="nil"/>
              <w:bottom w:val="nil"/>
              <w:right w:val="nil"/>
            </w:tcBorders>
            <w:noWrap/>
            <w:vAlign w:val="bottom"/>
            <w:hideMark/>
          </w:tcPr>
          <w:p w14:paraId="433E3D04" w14:textId="77777777" w:rsidR="00D81136" w:rsidRPr="00A20595" w:rsidRDefault="00D81136" w:rsidP="0044671B">
            <w:pPr>
              <w:jc w:val="center"/>
              <w:rPr>
                <w:rFonts w:ascii="Verdana" w:hAnsi="Verdana" w:cs="Arial"/>
                <w:b/>
                <w:bCs/>
                <w:color w:val="000000"/>
                <w:sz w:val="18"/>
                <w:szCs w:val="18"/>
                <w:lang w:eastAsia="es-CO"/>
              </w:rPr>
            </w:pPr>
          </w:p>
        </w:tc>
        <w:tc>
          <w:tcPr>
            <w:tcW w:w="1930" w:type="dxa"/>
            <w:tcBorders>
              <w:top w:val="single" w:sz="4" w:space="0" w:color="auto"/>
              <w:left w:val="single" w:sz="4" w:space="0" w:color="auto"/>
              <w:bottom w:val="single" w:sz="4" w:space="0" w:color="auto"/>
              <w:right w:val="single" w:sz="4" w:space="0" w:color="auto"/>
            </w:tcBorders>
            <w:noWrap/>
            <w:vAlign w:val="center"/>
            <w:hideMark/>
          </w:tcPr>
          <w:p w14:paraId="45B79AA5" w14:textId="77777777" w:rsidR="00D81136" w:rsidRPr="00A20595" w:rsidRDefault="00D81136" w:rsidP="0044671B">
            <w:pPr>
              <w:jc w:val="center"/>
              <w:rPr>
                <w:rFonts w:ascii="Verdana" w:hAnsi="Verdana" w:cs="Arial"/>
                <w:color w:val="000000"/>
                <w:sz w:val="18"/>
                <w:szCs w:val="18"/>
                <w:lang w:eastAsia="es-CO"/>
              </w:rPr>
            </w:pPr>
            <w:r w:rsidRPr="00A20595">
              <w:rPr>
                <w:rFonts w:ascii="Verdana" w:hAnsi="Verdana" w:cs="Arial"/>
                <w:color w:val="000000"/>
                <w:sz w:val="18"/>
                <w:szCs w:val="18"/>
                <w:lang w:eastAsia="es-CO"/>
              </w:rPr>
              <w:t>Mayor o igual</w:t>
            </w:r>
          </w:p>
        </w:tc>
      </w:tr>
      <w:tr w:rsidR="00D81136" w:rsidRPr="00A20595" w14:paraId="057A980B" w14:textId="77777777" w:rsidTr="00D64E73">
        <w:trPr>
          <w:trHeight w:val="22"/>
          <w:jc w:val="center"/>
        </w:trPr>
        <w:tc>
          <w:tcPr>
            <w:tcW w:w="0" w:type="auto"/>
            <w:tcBorders>
              <w:top w:val="nil"/>
              <w:left w:val="nil"/>
              <w:bottom w:val="nil"/>
              <w:right w:val="nil"/>
            </w:tcBorders>
            <w:noWrap/>
            <w:vAlign w:val="bottom"/>
            <w:hideMark/>
          </w:tcPr>
          <w:p w14:paraId="321FFC9B" w14:textId="77777777" w:rsidR="00D81136" w:rsidRPr="00A20595" w:rsidRDefault="00D81136" w:rsidP="0044671B">
            <w:pPr>
              <w:jc w:val="center"/>
              <w:rPr>
                <w:rFonts w:ascii="Verdana" w:hAnsi="Verdana" w:cs="Arial"/>
                <w:color w:val="000000"/>
                <w:sz w:val="18"/>
                <w:szCs w:val="18"/>
                <w:lang w:eastAsia="es-CO"/>
              </w:rPr>
            </w:pPr>
          </w:p>
        </w:tc>
        <w:tc>
          <w:tcPr>
            <w:tcW w:w="739" w:type="dxa"/>
            <w:tcBorders>
              <w:top w:val="nil"/>
              <w:left w:val="nil"/>
              <w:bottom w:val="nil"/>
              <w:right w:val="nil"/>
            </w:tcBorders>
            <w:noWrap/>
            <w:vAlign w:val="bottom"/>
            <w:hideMark/>
          </w:tcPr>
          <w:p w14:paraId="102A92D0" w14:textId="77777777" w:rsidR="00D81136" w:rsidRPr="00A20595" w:rsidRDefault="00D81136" w:rsidP="0044671B">
            <w:pPr>
              <w:rPr>
                <w:rFonts w:ascii="Verdana" w:hAnsi="Verdana" w:cs="Arial"/>
                <w:sz w:val="18"/>
                <w:szCs w:val="18"/>
                <w:lang w:eastAsia="es-CO"/>
              </w:rPr>
            </w:pPr>
          </w:p>
        </w:tc>
        <w:tc>
          <w:tcPr>
            <w:tcW w:w="166" w:type="dxa"/>
            <w:tcBorders>
              <w:top w:val="nil"/>
              <w:left w:val="nil"/>
              <w:bottom w:val="nil"/>
              <w:right w:val="nil"/>
            </w:tcBorders>
            <w:noWrap/>
            <w:vAlign w:val="bottom"/>
            <w:hideMark/>
          </w:tcPr>
          <w:p w14:paraId="4C4EFA7F" w14:textId="77777777" w:rsidR="00D81136" w:rsidRPr="00A20595" w:rsidRDefault="00D81136" w:rsidP="0044671B">
            <w:pPr>
              <w:rPr>
                <w:rFonts w:ascii="Verdana" w:hAnsi="Verdana" w:cs="Arial"/>
                <w:sz w:val="18"/>
                <w:szCs w:val="18"/>
                <w:lang w:eastAsia="es-CO"/>
              </w:rPr>
            </w:pPr>
          </w:p>
        </w:tc>
        <w:tc>
          <w:tcPr>
            <w:tcW w:w="1930" w:type="dxa"/>
            <w:tcBorders>
              <w:top w:val="nil"/>
              <w:left w:val="nil"/>
              <w:bottom w:val="nil"/>
              <w:right w:val="nil"/>
            </w:tcBorders>
            <w:noWrap/>
            <w:vAlign w:val="bottom"/>
            <w:hideMark/>
          </w:tcPr>
          <w:p w14:paraId="0CECB82D" w14:textId="77777777" w:rsidR="00D81136" w:rsidRPr="00A20595" w:rsidRDefault="00D81136" w:rsidP="0044671B">
            <w:pPr>
              <w:rPr>
                <w:rFonts w:ascii="Verdana" w:hAnsi="Verdana" w:cs="Arial"/>
                <w:sz w:val="18"/>
                <w:szCs w:val="18"/>
                <w:lang w:eastAsia="es-CO"/>
              </w:rPr>
            </w:pPr>
          </w:p>
        </w:tc>
      </w:tr>
      <w:tr w:rsidR="00D81136" w:rsidRPr="00A20595" w14:paraId="6DF3C1F9" w14:textId="77777777" w:rsidTr="00D81136">
        <w:trPr>
          <w:trHeight w:val="22"/>
          <w:jc w:val="center"/>
        </w:trPr>
        <w:tc>
          <w:tcPr>
            <w:tcW w:w="886" w:type="dxa"/>
            <w:gridSpan w:val="2"/>
            <w:tcBorders>
              <w:top w:val="single" w:sz="4" w:space="0" w:color="auto"/>
              <w:left w:val="single" w:sz="4" w:space="0" w:color="auto"/>
              <w:bottom w:val="single" w:sz="4" w:space="0" w:color="auto"/>
              <w:right w:val="single" w:sz="4" w:space="0" w:color="000000"/>
            </w:tcBorders>
            <w:noWrap/>
            <w:vAlign w:val="center"/>
            <w:hideMark/>
          </w:tcPr>
          <w:p w14:paraId="4B279AEA" w14:textId="77777777" w:rsidR="00D81136" w:rsidRPr="00A20595" w:rsidRDefault="00D81136" w:rsidP="0044671B">
            <w:pPr>
              <w:jc w:val="center"/>
              <w:rPr>
                <w:rFonts w:ascii="Verdana" w:hAnsi="Verdana" w:cs="Arial"/>
                <w:color w:val="000000"/>
                <w:sz w:val="18"/>
                <w:szCs w:val="18"/>
                <w:lang w:eastAsia="es-CO"/>
              </w:rPr>
            </w:pPr>
            <w:r w:rsidRPr="00A20595">
              <w:rPr>
                <w:rFonts w:ascii="Verdana" w:hAnsi="Verdana" w:cs="Arial"/>
                <w:color w:val="000000"/>
                <w:sz w:val="18"/>
                <w:szCs w:val="18"/>
                <w:lang w:eastAsia="es-CO"/>
              </w:rPr>
              <w:t>Rango 1</w:t>
            </w:r>
          </w:p>
        </w:tc>
        <w:tc>
          <w:tcPr>
            <w:tcW w:w="166" w:type="dxa"/>
            <w:tcBorders>
              <w:top w:val="nil"/>
              <w:left w:val="nil"/>
              <w:bottom w:val="nil"/>
              <w:right w:val="nil"/>
            </w:tcBorders>
            <w:noWrap/>
            <w:vAlign w:val="bottom"/>
            <w:hideMark/>
          </w:tcPr>
          <w:p w14:paraId="496ED055" w14:textId="77777777" w:rsidR="00D81136" w:rsidRPr="00A20595" w:rsidRDefault="00D81136" w:rsidP="0044671B">
            <w:pPr>
              <w:jc w:val="center"/>
              <w:rPr>
                <w:rFonts w:ascii="Verdana" w:hAnsi="Verdana" w:cs="Arial"/>
                <w:color w:val="000000"/>
                <w:sz w:val="18"/>
                <w:szCs w:val="18"/>
                <w:lang w:eastAsia="es-CO"/>
              </w:rPr>
            </w:pPr>
          </w:p>
        </w:tc>
        <w:tc>
          <w:tcPr>
            <w:tcW w:w="1930" w:type="dxa"/>
            <w:tcBorders>
              <w:top w:val="single" w:sz="4" w:space="0" w:color="auto"/>
              <w:left w:val="single" w:sz="4" w:space="0" w:color="auto"/>
              <w:bottom w:val="single" w:sz="4" w:space="0" w:color="auto"/>
              <w:right w:val="single" w:sz="4" w:space="0" w:color="auto"/>
            </w:tcBorders>
            <w:noWrap/>
            <w:vAlign w:val="center"/>
            <w:hideMark/>
          </w:tcPr>
          <w:p w14:paraId="3B3B381A" w14:textId="256370C7" w:rsidR="00D81136" w:rsidRPr="00A20595" w:rsidRDefault="00D81136" w:rsidP="0044671B">
            <w:pPr>
              <w:jc w:val="center"/>
              <w:rPr>
                <w:rFonts w:ascii="Verdana" w:hAnsi="Verdana" w:cs="Arial"/>
                <w:color w:val="000000"/>
                <w:sz w:val="18"/>
                <w:szCs w:val="18"/>
                <w:lang w:eastAsia="es-CO"/>
              </w:rPr>
            </w:pPr>
            <w:r w:rsidRPr="00A20595">
              <w:rPr>
                <w:rFonts w:ascii="Verdana" w:hAnsi="Verdana" w:cs="Arial"/>
                <w:color w:val="000000"/>
                <w:sz w:val="18"/>
                <w:szCs w:val="18"/>
                <w:lang w:eastAsia="es-CO"/>
              </w:rPr>
              <w:t>1,</w:t>
            </w:r>
            <w:r>
              <w:rPr>
                <w:rFonts w:ascii="Verdana" w:hAnsi="Verdana" w:cs="Arial"/>
                <w:color w:val="000000"/>
                <w:sz w:val="18"/>
                <w:szCs w:val="18"/>
                <w:lang w:eastAsia="es-CO"/>
              </w:rPr>
              <w:t>2</w:t>
            </w:r>
          </w:p>
        </w:tc>
      </w:tr>
      <w:tr w:rsidR="00D81136" w:rsidRPr="00A20595" w14:paraId="69119F3D" w14:textId="77777777" w:rsidTr="00D64E73">
        <w:trPr>
          <w:trHeight w:val="22"/>
          <w:jc w:val="center"/>
        </w:trPr>
        <w:tc>
          <w:tcPr>
            <w:tcW w:w="0" w:type="auto"/>
            <w:tcBorders>
              <w:top w:val="nil"/>
              <w:left w:val="nil"/>
              <w:bottom w:val="nil"/>
              <w:right w:val="nil"/>
            </w:tcBorders>
            <w:noWrap/>
            <w:vAlign w:val="bottom"/>
            <w:hideMark/>
          </w:tcPr>
          <w:p w14:paraId="3B656C3C" w14:textId="77777777" w:rsidR="00D81136" w:rsidRPr="00A20595" w:rsidRDefault="00D81136" w:rsidP="0044671B">
            <w:pPr>
              <w:jc w:val="center"/>
              <w:rPr>
                <w:rFonts w:ascii="Verdana" w:hAnsi="Verdana" w:cs="Arial"/>
                <w:color w:val="000000"/>
                <w:sz w:val="18"/>
                <w:szCs w:val="18"/>
                <w:lang w:eastAsia="es-CO"/>
              </w:rPr>
            </w:pPr>
          </w:p>
        </w:tc>
        <w:tc>
          <w:tcPr>
            <w:tcW w:w="739" w:type="dxa"/>
            <w:tcBorders>
              <w:top w:val="nil"/>
              <w:left w:val="nil"/>
              <w:bottom w:val="nil"/>
              <w:right w:val="nil"/>
            </w:tcBorders>
            <w:noWrap/>
            <w:vAlign w:val="bottom"/>
            <w:hideMark/>
          </w:tcPr>
          <w:p w14:paraId="3CF62086" w14:textId="77777777" w:rsidR="00D81136" w:rsidRPr="00A20595" w:rsidRDefault="00D81136" w:rsidP="0044671B">
            <w:pPr>
              <w:rPr>
                <w:rFonts w:ascii="Verdana" w:hAnsi="Verdana" w:cs="Arial"/>
                <w:sz w:val="18"/>
                <w:szCs w:val="18"/>
                <w:lang w:eastAsia="es-CO"/>
              </w:rPr>
            </w:pPr>
          </w:p>
        </w:tc>
        <w:tc>
          <w:tcPr>
            <w:tcW w:w="166" w:type="dxa"/>
            <w:tcBorders>
              <w:top w:val="nil"/>
              <w:left w:val="nil"/>
              <w:bottom w:val="nil"/>
              <w:right w:val="nil"/>
            </w:tcBorders>
            <w:noWrap/>
            <w:vAlign w:val="bottom"/>
            <w:hideMark/>
          </w:tcPr>
          <w:p w14:paraId="494A8FA4" w14:textId="77777777" w:rsidR="00D81136" w:rsidRPr="00A20595" w:rsidRDefault="00D81136" w:rsidP="0044671B">
            <w:pPr>
              <w:rPr>
                <w:rFonts w:ascii="Verdana" w:hAnsi="Verdana" w:cs="Arial"/>
                <w:sz w:val="18"/>
                <w:szCs w:val="18"/>
                <w:lang w:eastAsia="es-CO"/>
              </w:rPr>
            </w:pPr>
          </w:p>
        </w:tc>
        <w:tc>
          <w:tcPr>
            <w:tcW w:w="1930" w:type="dxa"/>
            <w:tcBorders>
              <w:top w:val="nil"/>
              <w:left w:val="nil"/>
              <w:bottom w:val="nil"/>
              <w:right w:val="nil"/>
            </w:tcBorders>
            <w:noWrap/>
            <w:vAlign w:val="center"/>
            <w:hideMark/>
          </w:tcPr>
          <w:p w14:paraId="4C75740C" w14:textId="77777777" w:rsidR="00D81136" w:rsidRPr="00A20595" w:rsidRDefault="00D81136" w:rsidP="0044671B">
            <w:pPr>
              <w:rPr>
                <w:rFonts w:ascii="Verdana" w:hAnsi="Verdana" w:cs="Arial"/>
                <w:sz w:val="18"/>
                <w:szCs w:val="18"/>
                <w:lang w:eastAsia="es-CO"/>
              </w:rPr>
            </w:pPr>
          </w:p>
        </w:tc>
      </w:tr>
      <w:tr w:rsidR="00D81136" w:rsidRPr="00A20595" w14:paraId="02DD150A" w14:textId="77777777" w:rsidTr="00D81136">
        <w:trPr>
          <w:trHeight w:val="22"/>
          <w:jc w:val="center"/>
        </w:trPr>
        <w:tc>
          <w:tcPr>
            <w:tcW w:w="886" w:type="dxa"/>
            <w:gridSpan w:val="2"/>
            <w:tcBorders>
              <w:top w:val="single" w:sz="4" w:space="0" w:color="auto"/>
              <w:left w:val="single" w:sz="4" w:space="0" w:color="auto"/>
              <w:bottom w:val="single" w:sz="4" w:space="0" w:color="auto"/>
              <w:right w:val="single" w:sz="4" w:space="0" w:color="000000"/>
            </w:tcBorders>
            <w:noWrap/>
            <w:vAlign w:val="center"/>
            <w:hideMark/>
          </w:tcPr>
          <w:p w14:paraId="6416CAD0" w14:textId="77777777" w:rsidR="00D81136" w:rsidRPr="00A20595" w:rsidRDefault="00D81136" w:rsidP="0044671B">
            <w:pPr>
              <w:jc w:val="center"/>
              <w:rPr>
                <w:rFonts w:ascii="Verdana" w:hAnsi="Verdana" w:cs="Arial"/>
                <w:color w:val="000000"/>
                <w:sz w:val="18"/>
                <w:szCs w:val="18"/>
                <w:lang w:eastAsia="es-CO"/>
              </w:rPr>
            </w:pPr>
            <w:r w:rsidRPr="00A20595">
              <w:rPr>
                <w:rFonts w:ascii="Verdana" w:hAnsi="Verdana" w:cs="Arial"/>
                <w:color w:val="000000"/>
                <w:sz w:val="18"/>
                <w:szCs w:val="18"/>
                <w:lang w:eastAsia="es-CO"/>
              </w:rPr>
              <w:t>Rango 2</w:t>
            </w:r>
          </w:p>
        </w:tc>
        <w:tc>
          <w:tcPr>
            <w:tcW w:w="166" w:type="dxa"/>
            <w:tcBorders>
              <w:top w:val="nil"/>
              <w:left w:val="nil"/>
              <w:bottom w:val="nil"/>
              <w:right w:val="nil"/>
            </w:tcBorders>
            <w:noWrap/>
            <w:vAlign w:val="bottom"/>
            <w:hideMark/>
          </w:tcPr>
          <w:p w14:paraId="596F7DBB" w14:textId="77777777" w:rsidR="00D81136" w:rsidRPr="00A20595" w:rsidRDefault="00D81136" w:rsidP="0044671B">
            <w:pPr>
              <w:jc w:val="center"/>
              <w:rPr>
                <w:rFonts w:ascii="Verdana" w:hAnsi="Verdana" w:cs="Arial"/>
                <w:color w:val="000000"/>
                <w:sz w:val="18"/>
                <w:szCs w:val="18"/>
                <w:lang w:eastAsia="es-CO"/>
              </w:rPr>
            </w:pPr>
          </w:p>
        </w:tc>
        <w:tc>
          <w:tcPr>
            <w:tcW w:w="1930" w:type="dxa"/>
            <w:tcBorders>
              <w:top w:val="single" w:sz="4" w:space="0" w:color="auto"/>
              <w:left w:val="single" w:sz="4" w:space="0" w:color="auto"/>
              <w:bottom w:val="single" w:sz="4" w:space="0" w:color="auto"/>
              <w:right w:val="single" w:sz="4" w:space="0" w:color="auto"/>
            </w:tcBorders>
            <w:noWrap/>
            <w:vAlign w:val="center"/>
            <w:hideMark/>
          </w:tcPr>
          <w:p w14:paraId="2537458D" w14:textId="211FF595" w:rsidR="00D81136" w:rsidRPr="00A20595" w:rsidRDefault="00D81136" w:rsidP="0044671B">
            <w:pPr>
              <w:jc w:val="center"/>
              <w:rPr>
                <w:rFonts w:ascii="Verdana" w:hAnsi="Verdana" w:cs="Arial"/>
                <w:color w:val="000000"/>
                <w:sz w:val="18"/>
                <w:szCs w:val="18"/>
                <w:lang w:eastAsia="es-CO"/>
              </w:rPr>
            </w:pPr>
            <w:r w:rsidRPr="00A20595">
              <w:rPr>
                <w:rFonts w:ascii="Verdana" w:hAnsi="Verdana" w:cs="Arial"/>
                <w:color w:val="000000"/>
                <w:sz w:val="18"/>
                <w:szCs w:val="18"/>
                <w:lang w:eastAsia="es-CO"/>
              </w:rPr>
              <w:t>1,</w:t>
            </w:r>
            <w:r>
              <w:rPr>
                <w:rFonts w:ascii="Verdana" w:hAnsi="Verdana" w:cs="Arial"/>
                <w:color w:val="000000"/>
                <w:sz w:val="18"/>
                <w:szCs w:val="18"/>
                <w:lang w:eastAsia="es-CO"/>
              </w:rPr>
              <w:t>3</w:t>
            </w:r>
          </w:p>
        </w:tc>
      </w:tr>
      <w:tr w:rsidR="00D81136" w:rsidRPr="00A20595" w14:paraId="22483DD6" w14:textId="77777777" w:rsidTr="00D64E73">
        <w:trPr>
          <w:trHeight w:val="22"/>
          <w:jc w:val="center"/>
        </w:trPr>
        <w:tc>
          <w:tcPr>
            <w:tcW w:w="0" w:type="auto"/>
            <w:tcBorders>
              <w:top w:val="nil"/>
              <w:left w:val="nil"/>
              <w:bottom w:val="nil"/>
              <w:right w:val="nil"/>
            </w:tcBorders>
            <w:noWrap/>
            <w:vAlign w:val="bottom"/>
            <w:hideMark/>
          </w:tcPr>
          <w:p w14:paraId="767CDEBF" w14:textId="77777777" w:rsidR="00D81136" w:rsidRPr="00A20595" w:rsidRDefault="00D81136" w:rsidP="0044671B">
            <w:pPr>
              <w:jc w:val="center"/>
              <w:rPr>
                <w:rFonts w:ascii="Verdana" w:hAnsi="Verdana" w:cs="Arial"/>
                <w:color w:val="000000"/>
                <w:sz w:val="18"/>
                <w:szCs w:val="18"/>
                <w:lang w:eastAsia="es-CO"/>
              </w:rPr>
            </w:pPr>
          </w:p>
        </w:tc>
        <w:tc>
          <w:tcPr>
            <w:tcW w:w="739" w:type="dxa"/>
            <w:tcBorders>
              <w:top w:val="nil"/>
              <w:left w:val="nil"/>
              <w:bottom w:val="nil"/>
              <w:right w:val="nil"/>
            </w:tcBorders>
            <w:noWrap/>
            <w:vAlign w:val="bottom"/>
            <w:hideMark/>
          </w:tcPr>
          <w:p w14:paraId="2F7A357C" w14:textId="77777777" w:rsidR="00D81136" w:rsidRPr="00A20595" w:rsidRDefault="00D81136" w:rsidP="0044671B">
            <w:pPr>
              <w:rPr>
                <w:rFonts w:ascii="Verdana" w:hAnsi="Verdana" w:cs="Arial"/>
                <w:sz w:val="18"/>
                <w:szCs w:val="18"/>
                <w:lang w:eastAsia="es-CO"/>
              </w:rPr>
            </w:pPr>
          </w:p>
        </w:tc>
        <w:tc>
          <w:tcPr>
            <w:tcW w:w="166" w:type="dxa"/>
            <w:tcBorders>
              <w:top w:val="nil"/>
              <w:left w:val="nil"/>
              <w:bottom w:val="nil"/>
              <w:right w:val="nil"/>
            </w:tcBorders>
            <w:noWrap/>
            <w:vAlign w:val="bottom"/>
            <w:hideMark/>
          </w:tcPr>
          <w:p w14:paraId="7E629668" w14:textId="77777777" w:rsidR="00D81136" w:rsidRPr="00A20595" w:rsidRDefault="00D81136" w:rsidP="0044671B">
            <w:pPr>
              <w:rPr>
                <w:rFonts w:ascii="Verdana" w:hAnsi="Verdana" w:cs="Arial"/>
                <w:sz w:val="18"/>
                <w:szCs w:val="18"/>
                <w:lang w:eastAsia="es-CO"/>
              </w:rPr>
            </w:pPr>
          </w:p>
        </w:tc>
        <w:tc>
          <w:tcPr>
            <w:tcW w:w="1930" w:type="dxa"/>
            <w:tcBorders>
              <w:top w:val="nil"/>
              <w:left w:val="nil"/>
              <w:bottom w:val="nil"/>
              <w:right w:val="nil"/>
            </w:tcBorders>
            <w:noWrap/>
            <w:vAlign w:val="center"/>
            <w:hideMark/>
          </w:tcPr>
          <w:p w14:paraId="2731151C" w14:textId="77777777" w:rsidR="00D81136" w:rsidRPr="00A20595" w:rsidRDefault="00D81136" w:rsidP="0044671B">
            <w:pPr>
              <w:rPr>
                <w:rFonts w:ascii="Verdana" w:hAnsi="Verdana" w:cs="Arial"/>
                <w:sz w:val="18"/>
                <w:szCs w:val="18"/>
                <w:lang w:eastAsia="es-CO"/>
              </w:rPr>
            </w:pPr>
          </w:p>
        </w:tc>
      </w:tr>
    </w:tbl>
    <w:p w14:paraId="333A913A" w14:textId="77777777" w:rsidR="00D64E73" w:rsidRPr="00600DF8" w:rsidRDefault="00D64E73" w:rsidP="00D64E73">
      <w:pPr>
        <w:jc w:val="center"/>
        <w:rPr>
          <w:rFonts w:ascii="Verdana" w:hAnsi="Verdana" w:cs="Arial"/>
          <w:sz w:val="22"/>
          <w:szCs w:val="22"/>
          <w:lang w:val="es-MX"/>
        </w:rPr>
      </w:pPr>
      <w:r w:rsidRPr="00600DF8">
        <w:rPr>
          <w:rFonts w:ascii="Verdana" w:hAnsi="Verdana" w:cs="Arial"/>
          <w:b/>
          <w:bCs/>
          <w:sz w:val="22"/>
          <w:szCs w:val="22"/>
          <w:lang w:val="es-MX"/>
        </w:rPr>
        <w:t>Fuente</w:t>
      </w:r>
      <w:r w:rsidRPr="00600DF8">
        <w:rPr>
          <w:rFonts w:ascii="Verdana" w:hAnsi="Verdana" w:cs="Arial"/>
          <w:sz w:val="22"/>
          <w:szCs w:val="22"/>
          <w:lang w:val="es-MX"/>
        </w:rPr>
        <w:t>: Elaboración propia</w:t>
      </w:r>
    </w:p>
    <w:p w14:paraId="5EE618A3" w14:textId="77777777" w:rsidR="007841BC" w:rsidRPr="00611315" w:rsidRDefault="007841BC" w:rsidP="007841BC">
      <w:pPr>
        <w:jc w:val="center"/>
        <w:rPr>
          <w:rFonts w:ascii="Verdana" w:hAnsi="Verdana" w:cs="Arial"/>
          <w:sz w:val="16"/>
          <w:szCs w:val="16"/>
          <w:highlight w:val="yellow"/>
          <w:lang w:val="es-MX"/>
        </w:rPr>
      </w:pPr>
    </w:p>
    <w:p w14:paraId="5B235A8B" w14:textId="77777777" w:rsidR="007841BC" w:rsidRPr="00611315" w:rsidRDefault="007841BC" w:rsidP="007841BC">
      <w:pPr>
        <w:jc w:val="center"/>
        <w:rPr>
          <w:rFonts w:ascii="Verdana" w:hAnsi="Verdana" w:cs="Arial"/>
          <w:sz w:val="16"/>
          <w:szCs w:val="16"/>
          <w:highlight w:val="yellow"/>
          <w:lang w:val="es-MX"/>
        </w:rPr>
      </w:pPr>
    </w:p>
    <w:p w14:paraId="4AB0BC62" w14:textId="2E7DD5DB" w:rsidR="00FC578E" w:rsidRDefault="00FB5255" w:rsidP="00FC578E">
      <w:pPr>
        <w:jc w:val="both"/>
        <w:rPr>
          <w:rFonts w:ascii="Verdana" w:hAnsi="Verdana" w:cs="Arial"/>
          <w:sz w:val="22"/>
          <w:szCs w:val="22"/>
        </w:rPr>
      </w:pPr>
      <w:r>
        <w:rPr>
          <w:rFonts w:ascii="Verdana" w:hAnsi="Verdana" w:cs="Arial"/>
          <w:sz w:val="22"/>
          <w:szCs w:val="22"/>
        </w:rPr>
        <w:t>Desde la perspectiva de la Agencia se</w:t>
      </w:r>
      <w:r w:rsidR="00FC578E" w:rsidRPr="00FC578E">
        <w:rPr>
          <w:rFonts w:ascii="Verdana" w:hAnsi="Verdana" w:cs="Arial"/>
          <w:sz w:val="22"/>
          <w:szCs w:val="22"/>
        </w:rPr>
        <w:t xml:space="preserve"> considera pertinente establecer un tratamiento diferenciado para las micro, pequeñas y medianas empresas (</w:t>
      </w:r>
      <w:r w:rsidRPr="00FC578E">
        <w:rPr>
          <w:rFonts w:ascii="Verdana" w:hAnsi="Verdana" w:cs="Arial"/>
          <w:sz w:val="22"/>
          <w:szCs w:val="22"/>
        </w:rPr>
        <w:t>MiPymes</w:t>
      </w:r>
      <w:r w:rsidR="00FC578E" w:rsidRPr="00FC578E">
        <w:rPr>
          <w:rFonts w:ascii="Verdana" w:hAnsi="Verdana" w:cs="Arial"/>
          <w:sz w:val="22"/>
          <w:szCs w:val="22"/>
        </w:rPr>
        <w:t>) respecto del indicador de liquidez, con el propósito de promover su participación efectiva en los procesos de contratación, garantizando simultáneamente la verificación de condiciones mínimas de capacidad financiera para la adecuada ejecución del contrato.</w:t>
      </w:r>
    </w:p>
    <w:p w14:paraId="1AE591B8" w14:textId="77777777" w:rsidR="00FB5255" w:rsidRPr="00FC578E" w:rsidRDefault="00FB5255" w:rsidP="00FC578E">
      <w:pPr>
        <w:jc w:val="both"/>
        <w:rPr>
          <w:rFonts w:ascii="Verdana" w:hAnsi="Verdana" w:cs="Arial"/>
          <w:sz w:val="22"/>
          <w:szCs w:val="22"/>
        </w:rPr>
      </w:pPr>
    </w:p>
    <w:p w14:paraId="6EC798ED" w14:textId="267BC630" w:rsidR="00FC578E" w:rsidRPr="00FC578E" w:rsidRDefault="00FC578E" w:rsidP="00FC578E">
      <w:pPr>
        <w:jc w:val="both"/>
        <w:rPr>
          <w:rFonts w:ascii="Verdana" w:hAnsi="Verdana" w:cs="Arial"/>
          <w:sz w:val="22"/>
          <w:szCs w:val="22"/>
        </w:rPr>
      </w:pPr>
      <w:r w:rsidRPr="00FC578E">
        <w:rPr>
          <w:rFonts w:ascii="Verdana" w:hAnsi="Verdana" w:cs="Arial"/>
          <w:sz w:val="22"/>
          <w:szCs w:val="22"/>
        </w:rPr>
        <w:t>Este indicador constituye una herramienta relevante para evaluar la suficiencia de recursos disponibles para soportar la operación normal de la empresa y las obligaciones derivadas de la ejecución contractual.</w:t>
      </w:r>
      <w:r w:rsidR="00FB5255">
        <w:rPr>
          <w:rFonts w:ascii="Verdana" w:hAnsi="Verdana" w:cs="Arial"/>
          <w:sz w:val="22"/>
          <w:szCs w:val="22"/>
        </w:rPr>
        <w:t xml:space="preserve"> </w:t>
      </w:r>
      <w:r w:rsidRPr="00FC578E">
        <w:rPr>
          <w:rFonts w:ascii="Verdana" w:hAnsi="Verdana" w:cs="Arial"/>
          <w:sz w:val="22"/>
          <w:szCs w:val="22"/>
        </w:rPr>
        <w:t xml:space="preserve">No obstante, las </w:t>
      </w:r>
      <w:r w:rsidR="005D439B" w:rsidRPr="00FC578E">
        <w:rPr>
          <w:rFonts w:ascii="Verdana" w:hAnsi="Verdana" w:cs="Arial"/>
          <w:sz w:val="22"/>
          <w:szCs w:val="22"/>
        </w:rPr>
        <w:t>MiPymes</w:t>
      </w:r>
      <w:r w:rsidRPr="00FC578E">
        <w:rPr>
          <w:rFonts w:ascii="Verdana" w:hAnsi="Verdana" w:cs="Arial"/>
          <w:sz w:val="22"/>
          <w:szCs w:val="22"/>
        </w:rPr>
        <w:t xml:space="preserve"> suelen presentar estructuras financieras distintas a las de empresas de mayor tamaño, caracterizadas por menores niveles de acumulación de activos corrientes, mayor dependencia de los flujos operativos y estrategias de reinversión orientadas al fortalecimiento y crecimiento empresarial. Estas características pueden reflejarse en niveles de liquidez moderadamente inferiores a los observados en organizaciones de mayor dimensión económica, sin que ello implique necesariamente una situación de debilidad financiera o incapacidad para ejecutar adecuadamente el objeto contractual.</w:t>
      </w:r>
    </w:p>
    <w:p w14:paraId="353B1ED9" w14:textId="77777777" w:rsidR="00C50CF6" w:rsidRDefault="00C50CF6" w:rsidP="00E30CF2">
      <w:pPr>
        <w:jc w:val="both"/>
        <w:rPr>
          <w:rFonts w:ascii="Verdana" w:hAnsi="Verdana" w:cs="Arial"/>
          <w:sz w:val="22"/>
          <w:szCs w:val="22"/>
          <w:lang w:val="es-MX"/>
        </w:rPr>
      </w:pPr>
    </w:p>
    <w:p w14:paraId="30111753" w14:textId="0BE83523" w:rsidR="00E30CF2" w:rsidRPr="005D439B" w:rsidRDefault="00E30CF2" w:rsidP="00E30CF2">
      <w:pPr>
        <w:jc w:val="both"/>
        <w:rPr>
          <w:rFonts w:ascii="Verdana" w:hAnsi="Verdana" w:cs="Arial"/>
          <w:color w:val="000000"/>
          <w:sz w:val="22"/>
          <w:szCs w:val="22"/>
          <w:lang w:eastAsia="es-CO"/>
        </w:rPr>
      </w:pPr>
      <w:r w:rsidRPr="005D439B">
        <w:rPr>
          <w:rFonts w:ascii="Verdana" w:hAnsi="Verdana" w:cs="Arial"/>
          <w:sz w:val="22"/>
          <w:szCs w:val="22"/>
          <w:lang w:val="es-MX"/>
        </w:rPr>
        <w:t xml:space="preserve">Nota: Conforme con las variaciones identificadas en el cuadro </w:t>
      </w:r>
      <w:r w:rsidRPr="005D439B">
        <w:rPr>
          <w:rFonts w:ascii="Verdana" w:hAnsi="Verdana" w:cs="Arial"/>
          <w:b/>
          <w:color w:val="000000" w:themeColor="text1"/>
          <w:sz w:val="22"/>
          <w:szCs w:val="22"/>
          <w:lang w:eastAsia="es-CO"/>
        </w:rPr>
        <w:t>Promedio rango intercuartílico  (RIC) – Variaciones</w:t>
      </w:r>
      <w:r w:rsidRPr="005D439B">
        <w:rPr>
          <w:rFonts w:ascii="Verdana" w:hAnsi="Verdana" w:cs="Arial"/>
          <w:color w:val="000000" w:themeColor="text1"/>
          <w:sz w:val="22"/>
          <w:szCs w:val="22"/>
          <w:lang w:eastAsia="es-CO"/>
        </w:rPr>
        <w:t xml:space="preserve">, resultaría viable que para las empresas categorizadas como MiPymes se considerara flexibilizar el indicador Capital de Trabajo, sin embargo, teniendo en cuenta que este indicador no fue objeto de flexibilización en el documento tipo versión </w:t>
      </w:r>
      <w:r w:rsidR="0041438A" w:rsidRPr="005D439B">
        <w:rPr>
          <w:rFonts w:ascii="Verdana" w:hAnsi="Verdana" w:cs="Arial"/>
          <w:color w:val="000000" w:themeColor="text1"/>
          <w:sz w:val="22"/>
          <w:szCs w:val="22"/>
          <w:lang w:eastAsia="es-CO"/>
        </w:rPr>
        <w:t>anterior</w:t>
      </w:r>
      <w:r w:rsidRPr="005D439B">
        <w:rPr>
          <w:rFonts w:ascii="Verdana" w:hAnsi="Verdana" w:cs="Arial"/>
          <w:color w:val="000000" w:themeColor="text1"/>
          <w:sz w:val="22"/>
          <w:szCs w:val="22"/>
          <w:lang w:eastAsia="es-CO"/>
        </w:rPr>
        <w:t>, las necesidades de apalancamiento para este tipo de proyectos, y la inclusión del anticipo o pago anticipado como un factor a considerar dentro de la fórmula para definir el capital de trabajo demandado, no se considera flexibilizar este indicador. Por el contrario, la flexibilización en el componente se verá reflejada en el índice de liquidez tal y como se evidencia en el cuadro anterior.</w:t>
      </w:r>
    </w:p>
    <w:p w14:paraId="7B4A62BA" w14:textId="77777777" w:rsidR="003372A7" w:rsidRPr="00611315" w:rsidRDefault="003372A7" w:rsidP="00EB56A0">
      <w:pPr>
        <w:jc w:val="both"/>
        <w:rPr>
          <w:rFonts w:ascii="Verdana" w:hAnsi="Verdana" w:cs="Arial"/>
          <w:sz w:val="16"/>
          <w:szCs w:val="16"/>
          <w:highlight w:val="yellow"/>
          <w:lang w:eastAsia="es-CO"/>
        </w:rPr>
      </w:pPr>
    </w:p>
    <w:p w14:paraId="524FFFE6" w14:textId="77777777" w:rsidR="003372A7" w:rsidRPr="00611315" w:rsidRDefault="003372A7" w:rsidP="00EB56A0">
      <w:pPr>
        <w:jc w:val="both"/>
        <w:rPr>
          <w:rFonts w:ascii="Verdana" w:hAnsi="Verdana" w:cs="Arial"/>
          <w:sz w:val="16"/>
          <w:szCs w:val="16"/>
          <w:highlight w:val="yellow"/>
          <w:lang w:eastAsia="es-CO"/>
        </w:rPr>
      </w:pPr>
    </w:p>
    <w:p w14:paraId="03EF48D1" w14:textId="77777777" w:rsidR="00EB56A0" w:rsidRPr="006424CA"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6424CA">
        <w:rPr>
          <w:rFonts w:ascii="Verdana" w:hAnsi="Verdana" w:cs="Arial"/>
          <w:b/>
          <w:bCs/>
          <w:u w:val="single"/>
          <w:lang w:val="es-MX"/>
        </w:rPr>
        <w:t>Patrimonio</w:t>
      </w:r>
    </w:p>
    <w:p w14:paraId="0DC933D9" w14:textId="77777777" w:rsidR="00EB56A0" w:rsidRPr="006424CA" w:rsidRDefault="00EB56A0" w:rsidP="00EB56A0">
      <w:pPr>
        <w:jc w:val="both"/>
        <w:rPr>
          <w:rFonts w:ascii="Verdana" w:hAnsi="Verdana" w:cs="Arial"/>
          <w:sz w:val="22"/>
          <w:szCs w:val="22"/>
          <w:lang w:val="es-MX"/>
        </w:rPr>
      </w:pPr>
      <w:r w:rsidRPr="006424CA">
        <w:rPr>
          <w:rFonts w:ascii="Verdana" w:hAnsi="Verdana" w:cs="Arial"/>
          <w:sz w:val="22"/>
          <w:szCs w:val="22"/>
          <w:lang w:val="es-MX"/>
        </w:rPr>
        <w:t>El Patrimonio se solicitará en aquellos procesos de selección en los que se cumplan las siguientes dos condiciones:</w:t>
      </w:r>
    </w:p>
    <w:p w14:paraId="03E219AB" w14:textId="77777777" w:rsidR="00421BC3" w:rsidRPr="006424CA" w:rsidRDefault="00421BC3" w:rsidP="00EB56A0">
      <w:pPr>
        <w:jc w:val="both"/>
        <w:rPr>
          <w:rFonts w:ascii="Verdana" w:hAnsi="Verdana" w:cs="Arial"/>
          <w:sz w:val="22"/>
          <w:szCs w:val="22"/>
          <w:lang w:val="es-MX"/>
        </w:rPr>
      </w:pPr>
    </w:p>
    <w:p w14:paraId="7AD6CEF7" w14:textId="34FC3352" w:rsidR="00EB56A0" w:rsidRPr="006424CA" w:rsidRDefault="00EB56A0" w:rsidP="00E42FDE">
      <w:pPr>
        <w:pStyle w:val="Prrafodelista"/>
        <w:numPr>
          <w:ilvl w:val="0"/>
          <w:numId w:val="63"/>
        </w:numPr>
        <w:spacing w:after="200" w:line="276" w:lineRule="auto"/>
        <w:contextualSpacing w:val="0"/>
        <w:rPr>
          <w:rFonts w:ascii="Verdana" w:hAnsi="Verdana" w:cs="Arial"/>
          <w:b/>
          <w:bCs/>
          <w:lang w:val="es-MX"/>
        </w:rPr>
      </w:pPr>
      <w:r w:rsidRPr="006424CA">
        <w:rPr>
          <w:rFonts w:ascii="Verdana" w:hAnsi="Verdana" w:cs="Arial"/>
          <w:b/>
          <w:bCs/>
          <w:lang w:val="es-MX"/>
        </w:rPr>
        <w:t>Presupuesto oficial es &gt;= a 4.00</w:t>
      </w:r>
      <w:r w:rsidR="00DD7BD4" w:rsidRPr="006424CA">
        <w:rPr>
          <w:rFonts w:ascii="Verdana" w:hAnsi="Verdana" w:cs="Arial"/>
          <w:b/>
          <w:bCs/>
          <w:lang w:val="es-MX"/>
        </w:rPr>
        <w:t>0</w:t>
      </w:r>
      <w:r w:rsidRPr="006424CA">
        <w:rPr>
          <w:rFonts w:ascii="Verdana" w:hAnsi="Verdana" w:cs="Arial"/>
          <w:b/>
          <w:bCs/>
          <w:lang w:val="es-MX"/>
        </w:rPr>
        <w:t xml:space="preserve"> SMMLV.</w:t>
      </w:r>
    </w:p>
    <w:p w14:paraId="1DCED058" w14:textId="77777777" w:rsidR="00EB56A0" w:rsidRPr="006424CA" w:rsidRDefault="00EB56A0" w:rsidP="00E42FDE">
      <w:pPr>
        <w:pStyle w:val="Prrafodelista"/>
        <w:numPr>
          <w:ilvl w:val="0"/>
          <w:numId w:val="63"/>
        </w:numPr>
        <w:spacing w:after="200" w:line="276" w:lineRule="auto"/>
        <w:contextualSpacing w:val="0"/>
        <w:rPr>
          <w:rFonts w:ascii="Verdana" w:hAnsi="Verdana" w:cs="Arial"/>
          <w:b/>
          <w:bCs/>
          <w:lang w:val="es-MX"/>
        </w:rPr>
      </w:pPr>
      <w:r w:rsidRPr="006424CA">
        <w:rPr>
          <w:rFonts w:ascii="Verdana" w:hAnsi="Verdana" w:cs="Arial"/>
          <w:b/>
          <w:bCs/>
          <w:lang w:val="es-MX"/>
        </w:rPr>
        <w:t>El plazo de ejecución del proceso es mayor o igual a 24 meses.</w:t>
      </w:r>
    </w:p>
    <w:p w14:paraId="221B8820" w14:textId="77777777" w:rsidR="00EB56A0" w:rsidRPr="006424CA" w:rsidRDefault="00EB56A0" w:rsidP="00EB56A0">
      <w:pPr>
        <w:jc w:val="both"/>
        <w:rPr>
          <w:rFonts w:ascii="Verdana" w:hAnsi="Verdana" w:cs="Arial"/>
          <w:sz w:val="22"/>
          <w:szCs w:val="22"/>
          <w:lang w:val="es-MX"/>
        </w:rPr>
      </w:pPr>
      <w:r w:rsidRPr="006424CA">
        <w:rPr>
          <w:rFonts w:ascii="Verdana" w:hAnsi="Verdana" w:cs="Arial"/>
          <w:sz w:val="22"/>
          <w:szCs w:val="22"/>
          <w:lang w:val="es-MX"/>
        </w:rPr>
        <w:t>Sin embargo, para las empresas que acrediten su condición de MiPymes, la determinación del Patrimonio demandado (requerido), se hará de acuerdo con la siguiente fórmula:</w:t>
      </w:r>
    </w:p>
    <w:p w14:paraId="7A66758B" w14:textId="77777777" w:rsidR="003372A7" w:rsidRPr="006424CA" w:rsidRDefault="003372A7" w:rsidP="00EB56A0">
      <w:pPr>
        <w:jc w:val="both"/>
        <w:rPr>
          <w:rFonts w:ascii="Verdana" w:hAnsi="Verdana" w:cs="Arial"/>
          <w:sz w:val="22"/>
          <w:szCs w:val="22"/>
          <w:lang w:val="es-MX"/>
        </w:rPr>
      </w:pPr>
    </w:p>
    <w:p w14:paraId="15420A65" w14:textId="77777777" w:rsidR="00EB56A0" w:rsidRPr="006424CA" w:rsidRDefault="00EB56A0" w:rsidP="00EB56A0">
      <w:pPr>
        <w:pBdr>
          <w:top w:val="single" w:sz="4" w:space="1" w:color="auto"/>
          <w:left w:val="single" w:sz="4" w:space="4" w:color="auto"/>
          <w:bottom w:val="single" w:sz="4" w:space="1" w:color="auto"/>
          <w:right w:val="single" w:sz="4" w:space="4" w:color="auto"/>
        </w:pBdr>
        <w:rPr>
          <w:rFonts w:ascii="Verdana" w:hAnsi="Verdana" w:cs="Arial"/>
          <w:sz w:val="22"/>
          <w:szCs w:val="22"/>
        </w:rPr>
      </w:pPr>
      <m:oMathPara>
        <m:oMath>
          <m:r>
            <m:rPr>
              <m:sty m:val="p"/>
            </m:rPr>
            <w:rPr>
              <w:rFonts w:ascii="Cambria Math" w:hAnsi="Cambria Math" w:cs="Arial"/>
              <w:sz w:val="22"/>
              <w:szCs w:val="22"/>
            </w:rPr>
            <m:t>Pd</m:t>
          </m:r>
          <m:r>
            <w:rPr>
              <w:rFonts w:ascii="Cambria Math" w:hAnsi="Cambria Math" w:cs="Arial"/>
              <w:sz w:val="22"/>
              <w:szCs w:val="22"/>
            </w:rPr>
            <m:t>= POE x 20%</m:t>
          </m:r>
        </m:oMath>
      </m:oMathPara>
    </w:p>
    <w:p w14:paraId="21958535" w14:textId="77777777" w:rsidR="00EB56A0" w:rsidRPr="006424CA" w:rsidRDefault="00EB56A0" w:rsidP="00EB56A0">
      <w:pPr>
        <w:rPr>
          <w:rFonts w:ascii="Verdana" w:hAnsi="Verdana" w:cs="Arial"/>
          <w:sz w:val="16"/>
          <w:szCs w:val="16"/>
          <w:lang w:val="es-MX"/>
        </w:rPr>
      </w:pPr>
      <w:r w:rsidRPr="006424CA">
        <w:rPr>
          <w:rFonts w:ascii="Verdana" w:hAnsi="Verdana" w:cs="Arial"/>
          <w:sz w:val="16"/>
          <w:szCs w:val="16"/>
          <w:lang w:val="es-MX"/>
        </w:rPr>
        <w:t>Donde,</w:t>
      </w:r>
    </w:p>
    <w:p w14:paraId="002404CB" w14:textId="77777777" w:rsidR="00EB56A0" w:rsidRPr="006424CA" w:rsidRDefault="00EB56A0" w:rsidP="00EB56A0">
      <w:pPr>
        <w:autoSpaceDE w:val="0"/>
        <w:autoSpaceDN w:val="0"/>
        <w:adjustRightInd w:val="0"/>
        <w:spacing w:before="120"/>
        <w:rPr>
          <w:rFonts w:ascii="Verdana" w:hAnsi="Verdana" w:cs="Arial"/>
          <w:sz w:val="16"/>
          <w:szCs w:val="16"/>
          <w:lang w:val="es-MX"/>
        </w:rPr>
      </w:pPr>
      <w:r w:rsidRPr="006424CA">
        <w:rPr>
          <w:rFonts w:ascii="Verdana" w:hAnsi="Verdana" w:cs="Arial"/>
          <w:sz w:val="16"/>
          <w:szCs w:val="16"/>
          <w:lang w:val="es-MX"/>
        </w:rPr>
        <w:t>Pd = Patrimonio demandado (requerido) para el proceso que presenta la propuesta</w:t>
      </w:r>
    </w:p>
    <w:p w14:paraId="00D89E9D" w14:textId="77777777" w:rsidR="00EB56A0" w:rsidRPr="006424CA" w:rsidRDefault="00EB56A0" w:rsidP="00EB56A0">
      <w:pPr>
        <w:rPr>
          <w:rFonts w:ascii="Verdana" w:hAnsi="Verdana" w:cs="Arial"/>
          <w:sz w:val="16"/>
          <w:szCs w:val="16"/>
          <w:lang w:val="es-MX"/>
        </w:rPr>
      </w:pPr>
      <w:r w:rsidRPr="006424CA">
        <w:rPr>
          <w:rFonts w:ascii="Verdana" w:hAnsi="Verdana" w:cs="Arial"/>
          <w:sz w:val="16"/>
          <w:szCs w:val="16"/>
          <w:lang w:val="es-MX"/>
        </w:rPr>
        <w:t>POE = Presupuesto oficial estimado</w:t>
      </w:r>
    </w:p>
    <w:p w14:paraId="1149AFBA" w14:textId="77777777" w:rsidR="00EB56A0" w:rsidRPr="006424CA" w:rsidRDefault="00EB56A0" w:rsidP="00EB56A0">
      <w:pPr>
        <w:rPr>
          <w:rFonts w:ascii="Verdana" w:hAnsi="Verdana" w:cs="Arial"/>
          <w:b/>
          <w:bCs/>
          <w:sz w:val="22"/>
          <w:szCs w:val="22"/>
          <w:u w:val="single"/>
          <w:lang w:val="es-MX"/>
        </w:rPr>
      </w:pPr>
    </w:p>
    <w:p w14:paraId="52E72762" w14:textId="77777777" w:rsidR="00EB56A0" w:rsidRPr="006424CA" w:rsidRDefault="00EB56A0" w:rsidP="00E42FDE">
      <w:pPr>
        <w:pStyle w:val="Prrafodelista"/>
        <w:numPr>
          <w:ilvl w:val="0"/>
          <w:numId w:val="60"/>
        </w:numPr>
        <w:spacing w:after="200" w:line="276" w:lineRule="auto"/>
        <w:contextualSpacing w:val="0"/>
        <w:rPr>
          <w:rFonts w:ascii="Verdana" w:hAnsi="Verdana" w:cs="Arial"/>
          <w:b/>
          <w:bCs/>
          <w:u w:val="single"/>
          <w:lang w:val="es-MX"/>
        </w:rPr>
      </w:pPr>
      <w:r w:rsidRPr="006424CA">
        <w:rPr>
          <w:rFonts w:ascii="Verdana" w:hAnsi="Verdana" w:cs="Arial"/>
          <w:b/>
          <w:bCs/>
          <w:u w:val="single"/>
          <w:lang w:val="es-MX"/>
        </w:rPr>
        <w:t>Indicadores de Capacidad Organizacional</w:t>
      </w:r>
    </w:p>
    <w:p w14:paraId="08DEAB3A" w14:textId="4941109D" w:rsidR="00EB56A0" w:rsidRPr="006424CA" w:rsidRDefault="00EB56A0" w:rsidP="00EB56A0">
      <w:pPr>
        <w:jc w:val="both"/>
        <w:rPr>
          <w:rFonts w:ascii="Verdana" w:hAnsi="Verdana" w:cs="Arial"/>
          <w:sz w:val="22"/>
          <w:szCs w:val="22"/>
          <w:lang w:val="es-MX"/>
        </w:rPr>
      </w:pPr>
      <w:r w:rsidRPr="006424CA">
        <w:rPr>
          <w:rFonts w:ascii="Verdana" w:hAnsi="Verdana" w:cs="Arial"/>
          <w:sz w:val="22"/>
          <w:szCs w:val="22"/>
          <w:lang w:val="es-MX"/>
        </w:rPr>
        <w:t xml:space="preserve">Finalmente, y soportado en el análisis </w:t>
      </w:r>
      <w:proofErr w:type="gramStart"/>
      <w:r w:rsidRPr="006424CA">
        <w:rPr>
          <w:rFonts w:ascii="Verdana" w:hAnsi="Verdana" w:cs="Arial"/>
          <w:sz w:val="22"/>
          <w:szCs w:val="22"/>
          <w:lang w:val="es-MX"/>
        </w:rPr>
        <w:t>realizado</w:t>
      </w:r>
      <w:proofErr w:type="gramEnd"/>
      <w:r w:rsidR="00C55358" w:rsidRPr="006424CA">
        <w:rPr>
          <w:rFonts w:ascii="Verdana" w:hAnsi="Verdana" w:cs="Arial"/>
          <w:sz w:val="22"/>
          <w:szCs w:val="22"/>
          <w:lang w:val="es-MX"/>
        </w:rPr>
        <w:t xml:space="preserve"> así</w:t>
      </w:r>
      <w:r w:rsidR="004C7B0D" w:rsidRPr="006424CA">
        <w:rPr>
          <w:rFonts w:ascii="Verdana" w:hAnsi="Verdana" w:cs="Arial"/>
          <w:sz w:val="22"/>
          <w:szCs w:val="22"/>
          <w:lang w:val="es-MX"/>
        </w:rPr>
        <w:t xml:space="preserve"> como en la flexibilización realizada en la versión anterior de los documentos tipo</w:t>
      </w:r>
      <w:r w:rsidRPr="006424CA">
        <w:rPr>
          <w:rFonts w:ascii="Verdana" w:hAnsi="Verdana" w:cs="Arial"/>
          <w:sz w:val="22"/>
          <w:szCs w:val="22"/>
          <w:lang w:val="es-MX"/>
        </w:rPr>
        <w:t xml:space="preserve">, se considera viable flexibilizar los indicadores de capacidad organizacional que deberán acreditar las empresas que acrediten su condición de MiPymes en los procesos de selección para adquirir los servicios de obra para infraestructura de </w:t>
      </w:r>
      <w:r w:rsidR="006424CA">
        <w:rPr>
          <w:rFonts w:ascii="Verdana" w:hAnsi="Verdana" w:cs="Arial"/>
          <w:sz w:val="22"/>
          <w:szCs w:val="22"/>
          <w:lang w:val="es-MX"/>
        </w:rPr>
        <w:t>agua potable y saneamiento básico</w:t>
      </w:r>
      <w:r w:rsidRPr="006424CA">
        <w:rPr>
          <w:rFonts w:ascii="Verdana" w:hAnsi="Verdana" w:cs="Arial"/>
          <w:sz w:val="22"/>
          <w:szCs w:val="22"/>
          <w:lang w:val="es-MX"/>
        </w:rPr>
        <w:t>, así:</w:t>
      </w:r>
    </w:p>
    <w:p w14:paraId="7688B769" w14:textId="77777777" w:rsidR="004C7B0D" w:rsidRPr="006424CA" w:rsidRDefault="004C7B0D" w:rsidP="00EB56A0">
      <w:pPr>
        <w:jc w:val="both"/>
        <w:rPr>
          <w:rFonts w:ascii="Verdana" w:hAnsi="Verdana" w:cs="Arial"/>
          <w:sz w:val="22"/>
          <w:szCs w:val="22"/>
          <w:lang w:val="es-MX"/>
        </w:rPr>
      </w:pPr>
    </w:p>
    <w:p w14:paraId="44C66E4B" w14:textId="19AD2A43" w:rsidR="007841BC" w:rsidRPr="006424CA" w:rsidRDefault="007841BC" w:rsidP="007841BC">
      <w:pPr>
        <w:pStyle w:val="Descripcin"/>
        <w:jc w:val="center"/>
        <w:rPr>
          <w:rFonts w:ascii="Verdana" w:hAnsi="Verdana" w:cs="Arial"/>
          <w:sz w:val="24"/>
          <w:szCs w:val="24"/>
          <w:lang w:val="es-MX"/>
        </w:rPr>
      </w:pPr>
      <w:bookmarkStart w:id="558" w:name="_Toc180136839"/>
      <w:bookmarkStart w:id="559" w:name="_Toc231368704"/>
      <w:r w:rsidRPr="006424CA">
        <w:rPr>
          <w:rFonts w:ascii="Verdana" w:hAnsi="Verdana"/>
          <w:sz w:val="22"/>
          <w:szCs w:val="22"/>
        </w:rPr>
        <w:t xml:space="preserve">Tabla </w:t>
      </w:r>
      <w:r w:rsidRPr="006424CA">
        <w:rPr>
          <w:rFonts w:ascii="Verdana" w:hAnsi="Verdana"/>
          <w:sz w:val="22"/>
          <w:szCs w:val="22"/>
        </w:rPr>
        <w:fldChar w:fldCharType="begin"/>
      </w:r>
      <w:r w:rsidRPr="006424CA">
        <w:rPr>
          <w:rFonts w:ascii="Verdana" w:hAnsi="Verdana"/>
          <w:sz w:val="22"/>
          <w:szCs w:val="22"/>
        </w:rPr>
        <w:instrText xml:space="preserve"> SEQ Tabla \* ARABIC </w:instrText>
      </w:r>
      <w:r w:rsidRPr="006424CA">
        <w:rPr>
          <w:rFonts w:ascii="Verdana" w:hAnsi="Verdana"/>
          <w:sz w:val="22"/>
          <w:szCs w:val="22"/>
        </w:rPr>
        <w:fldChar w:fldCharType="separate"/>
      </w:r>
      <w:r w:rsidR="004F60B4">
        <w:rPr>
          <w:rFonts w:ascii="Verdana" w:hAnsi="Verdana"/>
          <w:noProof/>
          <w:sz w:val="22"/>
          <w:szCs w:val="22"/>
        </w:rPr>
        <w:t>37</w:t>
      </w:r>
      <w:r w:rsidRPr="006424CA">
        <w:rPr>
          <w:rFonts w:ascii="Verdana" w:hAnsi="Verdana"/>
          <w:sz w:val="22"/>
          <w:szCs w:val="22"/>
        </w:rPr>
        <w:fldChar w:fldCharType="end"/>
      </w:r>
      <w:r w:rsidRPr="006424CA">
        <w:rPr>
          <w:rFonts w:ascii="Verdana" w:hAnsi="Verdana"/>
          <w:sz w:val="22"/>
          <w:szCs w:val="22"/>
        </w:rPr>
        <w:t>. Indicadores MiPymes Capacidad Organizacional</w:t>
      </w:r>
      <w:bookmarkEnd w:id="558"/>
      <w:bookmarkEnd w:id="559"/>
    </w:p>
    <w:tbl>
      <w:tblPr>
        <w:tblW w:w="4298" w:type="dxa"/>
        <w:jc w:val="center"/>
        <w:tblCellMar>
          <w:left w:w="70" w:type="dxa"/>
          <w:right w:w="70" w:type="dxa"/>
        </w:tblCellMar>
        <w:tblLook w:val="04A0" w:firstRow="1" w:lastRow="0" w:firstColumn="1" w:lastColumn="0" w:noHBand="0" w:noVBand="1"/>
      </w:tblPr>
      <w:tblGrid>
        <w:gridCol w:w="402"/>
        <w:gridCol w:w="495"/>
        <w:gridCol w:w="1679"/>
        <w:gridCol w:w="1722"/>
      </w:tblGrid>
      <w:tr w:rsidR="00A81BAA" w:rsidRPr="006424CA" w14:paraId="2CB7D821" w14:textId="77777777" w:rsidTr="00303AC1">
        <w:trPr>
          <w:trHeight w:val="300"/>
          <w:tblHeader/>
          <w:jc w:val="center"/>
        </w:trPr>
        <w:tc>
          <w:tcPr>
            <w:tcW w:w="897" w:type="dxa"/>
            <w:gridSpan w:val="2"/>
            <w:vAlign w:val="center"/>
            <w:hideMark/>
          </w:tcPr>
          <w:p w14:paraId="1161C60C" w14:textId="77777777" w:rsidR="00EB56A0" w:rsidRPr="006424CA" w:rsidRDefault="00EB56A0">
            <w:pPr>
              <w:rPr>
                <w:rFonts w:ascii="Verdana" w:hAnsi="Verdana" w:cs="Arial"/>
                <w:sz w:val="16"/>
                <w:szCs w:val="16"/>
                <w:lang w:eastAsia="es-CO"/>
              </w:rPr>
            </w:pPr>
          </w:p>
        </w:tc>
        <w:tc>
          <w:tcPr>
            <w:tcW w:w="1679"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6EF780DD" w14:textId="77777777" w:rsidR="00EB56A0" w:rsidRPr="006424CA" w:rsidRDefault="00EB56A0">
            <w:pPr>
              <w:jc w:val="center"/>
              <w:rPr>
                <w:rFonts w:ascii="Verdana" w:hAnsi="Verdana" w:cs="Arial"/>
                <w:b/>
                <w:bCs/>
                <w:sz w:val="16"/>
                <w:szCs w:val="16"/>
                <w:lang w:eastAsia="es-CO"/>
              </w:rPr>
            </w:pPr>
            <w:r w:rsidRPr="006424CA">
              <w:rPr>
                <w:rFonts w:ascii="Verdana" w:hAnsi="Verdana" w:cs="Arial"/>
                <w:b/>
                <w:bCs/>
                <w:sz w:val="16"/>
                <w:szCs w:val="16"/>
                <w:lang w:eastAsia="es-CO"/>
              </w:rPr>
              <w:t>RENTABILIDAD SOBRE PATRIMONIO</w:t>
            </w:r>
          </w:p>
        </w:tc>
        <w:tc>
          <w:tcPr>
            <w:tcW w:w="1722" w:type="dxa"/>
            <w:tcBorders>
              <w:top w:val="single" w:sz="4" w:space="0" w:color="auto"/>
              <w:left w:val="single" w:sz="4" w:space="0" w:color="auto"/>
              <w:bottom w:val="single" w:sz="4" w:space="0" w:color="auto"/>
              <w:right w:val="single" w:sz="4" w:space="0" w:color="auto"/>
            </w:tcBorders>
            <w:shd w:val="clear" w:color="auto" w:fill="D9E1F2"/>
            <w:vAlign w:val="center"/>
            <w:hideMark/>
          </w:tcPr>
          <w:p w14:paraId="28179B91" w14:textId="77777777" w:rsidR="00EB56A0" w:rsidRPr="006424CA" w:rsidRDefault="00EB56A0">
            <w:pPr>
              <w:jc w:val="center"/>
              <w:rPr>
                <w:rFonts w:ascii="Verdana" w:hAnsi="Verdana" w:cs="Arial"/>
                <w:b/>
                <w:bCs/>
                <w:sz w:val="16"/>
                <w:szCs w:val="16"/>
                <w:lang w:eastAsia="es-CO"/>
              </w:rPr>
            </w:pPr>
            <w:r w:rsidRPr="006424CA">
              <w:rPr>
                <w:rFonts w:ascii="Verdana" w:hAnsi="Verdana" w:cs="Arial"/>
                <w:b/>
                <w:bCs/>
                <w:sz w:val="16"/>
                <w:szCs w:val="16"/>
                <w:lang w:eastAsia="es-CO"/>
              </w:rPr>
              <w:t>RENTABILIDAD SOBRE ACTIVOS</w:t>
            </w:r>
          </w:p>
        </w:tc>
      </w:tr>
      <w:tr w:rsidR="00A81BAA" w:rsidRPr="006424CA" w14:paraId="79AECC6D" w14:textId="77777777" w:rsidTr="00447A32">
        <w:trPr>
          <w:trHeight w:val="240"/>
          <w:tblHeader/>
          <w:jc w:val="center"/>
        </w:trPr>
        <w:tc>
          <w:tcPr>
            <w:tcW w:w="402" w:type="dxa"/>
            <w:tcBorders>
              <w:bottom w:val="single" w:sz="4" w:space="0" w:color="auto"/>
            </w:tcBorders>
            <w:noWrap/>
            <w:vAlign w:val="bottom"/>
            <w:hideMark/>
          </w:tcPr>
          <w:p w14:paraId="23EB2449" w14:textId="77777777" w:rsidR="00EB56A0" w:rsidRPr="006424CA" w:rsidRDefault="00EB56A0">
            <w:pPr>
              <w:jc w:val="center"/>
              <w:rPr>
                <w:rFonts w:ascii="Verdana" w:hAnsi="Verdana" w:cs="Arial"/>
                <w:b/>
                <w:bCs/>
                <w:sz w:val="16"/>
                <w:szCs w:val="16"/>
                <w:lang w:eastAsia="es-CO"/>
              </w:rPr>
            </w:pPr>
          </w:p>
        </w:tc>
        <w:tc>
          <w:tcPr>
            <w:tcW w:w="495" w:type="dxa"/>
            <w:tcBorders>
              <w:bottom w:val="single" w:sz="4" w:space="0" w:color="auto"/>
            </w:tcBorders>
            <w:noWrap/>
            <w:vAlign w:val="bottom"/>
            <w:hideMark/>
          </w:tcPr>
          <w:p w14:paraId="0EDBC423" w14:textId="77777777" w:rsidR="00EB56A0" w:rsidRPr="006424CA" w:rsidRDefault="00EB56A0">
            <w:pPr>
              <w:rPr>
                <w:rFonts w:ascii="Verdana" w:hAnsi="Verdana" w:cs="Arial"/>
                <w:sz w:val="16"/>
                <w:szCs w:val="16"/>
                <w:lang w:eastAsia="es-CO"/>
              </w:rPr>
            </w:pPr>
          </w:p>
        </w:tc>
        <w:tc>
          <w:tcPr>
            <w:tcW w:w="1679" w:type="dxa"/>
            <w:tcBorders>
              <w:top w:val="single" w:sz="4" w:space="0" w:color="auto"/>
              <w:bottom w:val="single" w:sz="4" w:space="0" w:color="auto"/>
            </w:tcBorders>
            <w:noWrap/>
            <w:vAlign w:val="bottom"/>
            <w:hideMark/>
          </w:tcPr>
          <w:p w14:paraId="20002E5C" w14:textId="77777777" w:rsidR="00EB56A0" w:rsidRPr="006424CA" w:rsidRDefault="00EB56A0">
            <w:pPr>
              <w:rPr>
                <w:rFonts w:ascii="Verdana" w:hAnsi="Verdana" w:cs="Arial"/>
                <w:sz w:val="16"/>
                <w:szCs w:val="16"/>
                <w:lang w:eastAsia="es-CO"/>
              </w:rPr>
            </w:pPr>
          </w:p>
        </w:tc>
        <w:tc>
          <w:tcPr>
            <w:tcW w:w="1722" w:type="dxa"/>
            <w:tcBorders>
              <w:top w:val="single" w:sz="4" w:space="0" w:color="auto"/>
              <w:bottom w:val="single" w:sz="4" w:space="0" w:color="auto"/>
            </w:tcBorders>
            <w:noWrap/>
            <w:vAlign w:val="bottom"/>
            <w:hideMark/>
          </w:tcPr>
          <w:p w14:paraId="41FF4960" w14:textId="77777777" w:rsidR="00EB56A0" w:rsidRPr="006424CA" w:rsidRDefault="00EB56A0">
            <w:pPr>
              <w:rPr>
                <w:rFonts w:ascii="Verdana" w:hAnsi="Verdana" w:cs="Arial"/>
                <w:sz w:val="16"/>
                <w:szCs w:val="16"/>
                <w:lang w:eastAsia="es-CO"/>
              </w:rPr>
            </w:pPr>
          </w:p>
        </w:tc>
      </w:tr>
      <w:tr w:rsidR="00A81BAA" w:rsidRPr="006424CA" w14:paraId="246FCDC2" w14:textId="77777777" w:rsidTr="00303AC1">
        <w:trPr>
          <w:trHeight w:val="300"/>
          <w:tblHeader/>
          <w:jc w:val="center"/>
        </w:trPr>
        <w:tc>
          <w:tcPr>
            <w:tcW w:w="897" w:type="dxa"/>
            <w:gridSpan w:val="2"/>
            <w:tcBorders>
              <w:top w:val="single" w:sz="4" w:space="0" w:color="auto"/>
              <w:left w:val="single" w:sz="4" w:space="0" w:color="auto"/>
              <w:bottom w:val="single" w:sz="4" w:space="0" w:color="auto"/>
              <w:right w:val="single" w:sz="4" w:space="0" w:color="auto"/>
            </w:tcBorders>
            <w:noWrap/>
            <w:vAlign w:val="center"/>
            <w:hideMark/>
          </w:tcPr>
          <w:p w14:paraId="41E568A9" w14:textId="77777777" w:rsidR="00EB56A0" w:rsidRPr="006424CA" w:rsidRDefault="00EB56A0">
            <w:pPr>
              <w:jc w:val="center"/>
              <w:rPr>
                <w:rFonts w:ascii="Verdana" w:hAnsi="Verdana" w:cs="Arial"/>
                <w:b/>
                <w:bCs/>
                <w:sz w:val="16"/>
                <w:szCs w:val="16"/>
                <w:lang w:eastAsia="es-CO"/>
              </w:rPr>
            </w:pPr>
            <w:r w:rsidRPr="006424CA">
              <w:rPr>
                <w:rFonts w:ascii="Verdana" w:hAnsi="Verdana" w:cs="Arial"/>
                <w:b/>
                <w:bCs/>
                <w:sz w:val="16"/>
                <w:szCs w:val="16"/>
                <w:lang w:eastAsia="es-CO"/>
              </w:rPr>
              <w:t>Rangos</w:t>
            </w:r>
          </w:p>
        </w:tc>
        <w:tc>
          <w:tcPr>
            <w:tcW w:w="1679" w:type="dxa"/>
            <w:tcBorders>
              <w:top w:val="single" w:sz="4" w:space="0" w:color="auto"/>
              <w:left w:val="single" w:sz="4" w:space="0" w:color="auto"/>
              <w:bottom w:val="single" w:sz="4" w:space="0" w:color="auto"/>
              <w:right w:val="single" w:sz="4" w:space="0" w:color="auto"/>
            </w:tcBorders>
            <w:noWrap/>
            <w:vAlign w:val="center"/>
            <w:hideMark/>
          </w:tcPr>
          <w:p w14:paraId="18ECE700"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Mayor o igual</w:t>
            </w:r>
          </w:p>
        </w:tc>
        <w:tc>
          <w:tcPr>
            <w:tcW w:w="1722" w:type="dxa"/>
            <w:tcBorders>
              <w:top w:val="single" w:sz="4" w:space="0" w:color="auto"/>
              <w:left w:val="single" w:sz="4" w:space="0" w:color="auto"/>
              <w:bottom w:val="single" w:sz="4" w:space="0" w:color="auto"/>
              <w:right w:val="single" w:sz="4" w:space="0" w:color="auto"/>
            </w:tcBorders>
            <w:noWrap/>
            <w:vAlign w:val="center"/>
            <w:hideMark/>
          </w:tcPr>
          <w:p w14:paraId="5366A90A"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Mayor o igual</w:t>
            </w:r>
          </w:p>
        </w:tc>
      </w:tr>
      <w:tr w:rsidR="004C7B0D" w:rsidRPr="006424CA" w14:paraId="77B1E1D3" w14:textId="77777777" w:rsidTr="00447A32">
        <w:trPr>
          <w:trHeight w:val="77"/>
          <w:jc w:val="center"/>
        </w:trPr>
        <w:tc>
          <w:tcPr>
            <w:tcW w:w="4298" w:type="dxa"/>
            <w:gridSpan w:val="4"/>
            <w:tcBorders>
              <w:top w:val="single" w:sz="4" w:space="0" w:color="auto"/>
              <w:left w:val="single" w:sz="4" w:space="0" w:color="auto"/>
              <w:bottom w:val="single" w:sz="4" w:space="0" w:color="auto"/>
              <w:right w:val="single" w:sz="4" w:space="0" w:color="auto"/>
            </w:tcBorders>
            <w:noWrap/>
            <w:vAlign w:val="bottom"/>
            <w:hideMark/>
          </w:tcPr>
          <w:p w14:paraId="00FFFDA2" w14:textId="77777777" w:rsidR="004C7B0D" w:rsidRPr="006424CA" w:rsidRDefault="004C7B0D">
            <w:pPr>
              <w:rPr>
                <w:rFonts w:ascii="Verdana" w:hAnsi="Verdana" w:cs="Arial"/>
                <w:sz w:val="16"/>
                <w:szCs w:val="16"/>
                <w:lang w:eastAsia="es-CO"/>
              </w:rPr>
            </w:pPr>
          </w:p>
        </w:tc>
      </w:tr>
      <w:tr w:rsidR="00A81BAA" w:rsidRPr="006424CA" w14:paraId="315371EE" w14:textId="77777777" w:rsidTr="00303AC1">
        <w:trPr>
          <w:trHeight w:val="300"/>
          <w:jc w:val="center"/>
        </w:trPr>
        <w:tc>
          <w:tcPr>
            <w:tcW w:w="897" w:type="dxa"/>
            <w:gridSpan w:val="2"/>
            <w:tcBorders>
              <w:top w:val="single" w:sz="4" w:space="0" w:color="auto"/>
              <w:left w:val="single" w:sz="4" w:space="0" w:color="auto"/>
              <w:bottom w:val="single" w:sz="4" w:space="0" w:color="auto"/>
              <w:right w:val="single" w:sz="4" w:space="0" w:color="auto"/>
            </w:tcBorders>
            <w:noWrap/>
            <w:vAlign w:val="center"/>
            <w:hideMark/>
          </w:tcPr>
          <w:p w14:paraId="7E3161C6"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Rango 1</w:t>
            </w:r>
          </w:p>
        </w:tc>
        <w:tc>
          <w:tcPr>
            <w:tcW w:w="1679" w:type="dxa"/>
            <w:tcBorders>
              <w:top w:val="single" w:sz="4" w:space="0" w:color="auto"/>
              <w:left w:val="single" w:sz="4" w:space="0" w:color="auto"/>
              <w:bottom w:val="single" w:sz="4" w:space="0" w:color="auto"/>
              <w:right w:val="single" w:sz="4" w:space="0" w:color="auto"/>
            </w:tcBorders>
            <w:noWrap/>
            <w:vAlign w:val="center"/>
            <w:hideMark/>
          </w:tcPr>
          <w:p w14:paraId="4780D38D"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0,02</w:t>
            </w:r>
          </w:p>
        </w:tc>
        <w:tc>
          <w:tcPr>
            <w:tcW w:w="1722" w:type="dxa"/>
            <w:tcBorders>
              <w:top w:val="single" w:sz="4" w:space="0" w:color="auto"/>
              <w:left w:val="single" w:sz="4" w:space="0" w:color="auto"/>
              <w:bottom w:val="single" w:sz="4" w:space="0" w:color="auto"/>
              <w:right w:val="single" w:sz="4" w:space="0" w:color="auto"/>
            </w:tcBorders>
            <w:noWrap/>
            <w:vAlign w:val="center"/>
            <w:hideMark/>
          </w:tcPr>
          <w:p w14:paraId="3440B458"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0,01</w:t>
            </w:r>
          </w:p>
        </w:tc>
      </w:tr>
      <w:tr w:rsidR="004C7B0D" w:rsidRPr="006424CA" w14:paraId="0BE70180" w14:textId="77777777" w:rsidTr="00447A32">
        <w:trPr>
          <w:trHeight w:val="100"/>
          <w:jc w:val="center"/>
        </w:trPr>
        <w:tc>
          <w:tcPr>
            <w:tcW w:w="4298" w:type="dxa"/>
            <w:gridSpan w:val="4"/>
            <w:tcBorders>
              <w:top w:val="single" w:sz="4" w:space="0" w:color="auto"/>
              <w:left w:val="single" w:sz="4" w:space="0" w:color="auto"/>
              <w:bottom w:val="single" w:sz="4" w:space="0" w:color="auto"/>
              <w:right w:val="single" w:sz="4" w:space="0" w:color="auto"/>
            </w:tcBorders>
            <w:noWrap/>
            <w:vAlign w:val="bottom"/>
            <w:hideMark/>
          </w:tcPr>
          <w:p w14:paraId="6C8D82FC" w14:textId="77777777" w:rsidR="004C7B0D" w:rsidRPr="006424CA" w:rsidRDefault="004C7B0D">
            <w:pPr>
              <w:jc w:val="center"/>
              <w:rPr>
                <w:rFonts w:ascii="Verdana" w:hAnsi="Verdana" w:cs="Arial"/>
                <w:sz w:val="16"/>
                <w:szCs w:val="16"/>
                <w:lang w:eastAsia="es-CO"/>
              </w:rPr>
            </w:pPr>
          </w:p>
        </w:tc>
      </w:tr>
      <w:tr w:rsidR="00A81BAA" w:rsidRPr="006424CA" w14:paraId="2EB8191A" w14:textId="77777777" w:rsidTr="00303AC1">
        <w:trPr>
          <w:trHeight w:val="300"/>
          <w:jc w:val="center"/>
        </w:trPr>
        <w:tc>
          <w:tcPr>
            <w:tcW w:w="897" w:type="dxa"/>
            <w:gridSpan w:val="2"/>
            <w:tcBorders>
              <w:top w:val="single" w:sz="4" w:space="0" w:color="auto"/>
              <w:left w:val="single" w:sz="4" w:space="0" w:color="auto"/>
              <w:bottom w:val="single" w:sz="4" w:space="0" w:color="auto"/>
              <w:right w:val="single" w:sz="4" w:space="0" w:color="auto"/>
            </w:tcBorders>
            <w:noWrap/>
            <w:vAlign w:val="center"/>
            <w:hideMark/>
          </w:tcPr>
          <w:p w14:paraId="38313A08" w14:textId="77777777"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Rango 2</w:t>
            </w:r>
          </w:p>
        </w:tc>
        <w:tc>
          <w:tcPr>
            <w:tcW w:w="1679" w:type="dxa"/>
            <w:tcBorders>
              <w:top w:val="single" w:sz="4" w:space="0" w:color="auto"/>
              <w:left w:val="single" w:sz="4" w:space="0" w:color="auto"/>
              <w:bottom w:val="single" w:sz="4" w:space="0" w:color="auto"/>
              <w:right w:val="single" w:sz="4" w:space="0" w:color="auto"/>
            </w:tcBorders>
            <w:noWrap/>
            <w:vAlign w:val="center"/>
            <w:hideMark/>
          </w:tcPr>
          <w:p w14:paraId="538C1707" w14:textId="041C3645"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0,0</w:t>
            </w:r>
            <w:r w:rsidR="006424CA" w:rsidRPr="006424CA">
              <w:rPr>
                <w:rFonts w:ascii="Verdana" w:hAnsi="Verdana" w:cs="Arial"/>
                <w:sz w:val="16"/>
                <w:szCs w:val="16"/>
                <w:lang w:eastAsia="es-CO"/>
              </w:rPr>
              <w:t>3</w:t>
            </w:r>
          </w:p>
        </w:tc>
        <w:tc>
          <w:tcPr>
            <w:tcW w:w="1722" w:type="dxa"/>
            <w:tcBorders>
              <w:top w:val="single" w:sz="4" w:space="0" w:color="auto"/>
              <w:left w:val="single" w:sz="4" w:space="0" w:color="auto"/>
              <w:bottom w:val="single" w:sz="4" w:space="0" w:color="auto"/>
              <w:right w:val="single" w:sz="4" w:space="0" w:color="auto"/>
            </w:tcBorders>
            <w:noWrap/>
            <w:vAlign w:val="center"/>
            <w:hideMark/>
          </w:tcPr>
          <w:p w14:paraId="405C4461" w14:textId="367968BD" w:rsidR="00EB56A0" w:rsidRPr="006424CA" w:rsidRDefault="00EB56A0">
            <w:pPr>
              <w:jc w:val="center"/>
              <w:rPr>
                <w:rFonts w:ascii="Verdana" w:hAnsi="Verdana" w:cs="Arial"/>
                <w:sz w:val="16"/>
                <w:szCs w:val="16"/>
                <w:lang w:eastAsia="es-CO"/>
              </w:rPr>
            </w:pPr>
            <w:r w:rsidRPr="006424CA">
              <w:rPr>
                <w:rFonts w:ascii="Verdana" w:hAnsi="Verdana" w:cs="Arial"/>
                <w:sz w:val="16"/>
                <w:szCs w:val="16"/>
                <w:lang w:eastAsia="es-CO"/>
              </w:rPr>
              <w:t>0,0</w:t>
            </w:r>
            <w:r w:rsidR="006424CA" w:rsidRPr="006424CA">
              <w:rPr>
                <w:rFonts w:ascii="Verdana" w:hAnsi="Verdana" w:cs="Arial"/>
                <w:sz w:val="16"/>
                <w:szCs w:val="16"/>
                <w:lang w:eastAsia="es-CO"/>
              </w:rPr>
              <w:t>2</w:t>
            </w:r>
          </w:p>
        </w:tc>
      </w:tr>
      <w:tr w:rsidR="00A81BAA" w:rsidRPr="006424CA" w14:paraId="351D10FF" w14:textId="77777777" w:rsidTr="00303AC1">
        <w:trPr>
          <w:trHeight w:val="300"/>
          <w:jc w:val="center"/>
        </w:trPr>
        <w:tc>
          <w:tcPr>
            <w:tcW w:w="402" w:type="dxa"/>
            <w:tcBorders>
              <w:top w:val="single" w:sz="4" w:space="0" w:color="auto"/>
            </w:tcBorders>
            <w:noWrap/>
            <w:vAlign w:val="bottom"/>
            <w:hideMark/>
          </w:tcPr>
          <w:p w14:paraId="67A7C872" w14:textId="77777777" w:rsidR="00EB56A0" w:rsidRPr="006424CA" w:rsidRDefault="00EB56A0">
            <w:pPr>
              <w:jc w:val="center"/>
              <w:rPr>
                <w:rFonts w:ascii="Verdana" w:hAnsi="Verdana" w:cs="Arial"/>
                <w:sz w:val="16"/>
                <w:szCs w:val="16"/>
                <w:lang w:eastAsia="es-CO"/>
              </w:rPr>
            </w:pPr>
          </w:p>
        </w:tc>
        <w:tc>
          <w:tcPr>
            <w:tcW w:w="495" w:type="dxa"/>
            <w:tcBorders>
              <w:top w:val="single" w:sz="4" w:space="0" w:color="auto"/>
            </w:tcBorders>
            <w:noWrap/>
            <w:vAlign w:val="bottom"/>
            <w:hideMark/>
          </w:tcPr>
          <w:p w14:paraId="2AC19AA0" w14:textId="77777777" w:rsidR="00EB56A0" w:rsidRPr="006424CA" w:rsidRDefault="00EB56A0">
            <w:pPr>
              <w:rPr>
                <w:rFonts w:ascii="Verdana" w:hAnsi="Verdana" w:cs="Arial"/>
                <w:sz w:val="16"/>
                <w:szCs w:val="16"/>
                <w:lang w:eastAsia="es-CO"/>
              </w:rPr>
            </w:pPr>
          </w:p>
        </w:tc>
        <w:tc>
          <w:tcPr>
            <w:tcW w:w="1679" w:type="dxa"/>
            <w:tcBorders>
              <w:top w:val="single" w:sz="4" w:space="0" w:color="auto"/>
            </w:tcBorders>
            <w:noWrap/>
            <w:vAlign w:val="center"/>
            <w:hideMark/>
          </w:tcPr>
          <w:p w14:paraId="6055C477" w14:textId="77777777" w:rsidR="00EB56A0" w:rsidRPr="006424CA" w:rsidRDefault="00EB56A0">
            <w:pPr>
              <w:jc w:val="center"/>
              <w:rPr>
                <w:rFonts w:ascii="Verdana" w:hAnsi="Verdana" w:cs="Arial"/>
                <w:sz w:val="16"/>
                <w:szCs w:val="16"/>
                <w:lang w:eastAsia="es-CO"/>
              </w:rPr>
            </w:pPr>
          </w:p>
        </w:tc>
        <w:tc>
          <w:tcPr>
            <w:tcW w:w="1722" w:type="dxa"/>
            <w:tcBorders>
              <w:top w:val="single" w:sz="4" w:space="0" w:color="auto"/>
            </w:tcBorders>
            <w:noWrap/>
            <w:vAlign w:val="center"/>
            <w:hideMark/>
          </w:tcPr>
          <w:p w14:paraId="555EE8FD" w14:textId="77777777" w:rsidR="00EB56A0" w:rsidRPr="006424CA" w:rsidRDefault="00EB56A0">
            <w:pPr>
              <w:jc w:val="center"/>
              <w:rPr>
                <w:rFonts w:ascii="Verdana" w:hAnsi="Verdana" w:cs="Arial"/>
                <w:sz w:val="16"/>
                <w:szCs w:val="16"/>
                <w:lang w:eastAsia="es-CO"/>
              </w:rPr>
            </w:pPr>
          </w:p>
        </w:tc>
      </w:tr>
    </w:tbl>
    <w:p w14:paraId="4A87DF1D" w14:textId="77777777" w:rsidR="00D64E73" w:rsidRPr="00600DF8" w:rsidRDefault="00D64E73" w:rsidP="00D64E73">
      <w:pPr>
        <w:jc w:val="center"/>
        <w:rPr>
          <w:rFonts w:ascii="Verdana" w:hAnsi="Verdana" w:cs="Arial"/>
          <w:sz w:val="22"/>
          <w:szCs w:val="22"/>
          <w:lang w:val="es-MX"/>
        </w:rPr>
      </w:pPr>
      <w:r w:rsidRPr="00600DF8">
        <w:rPr>
          <w:rFonts w:ascii="Verdana" w:hAnsi="Verdana" w:cs="Arial"/>
          <w:b/>
          <w:bCs/>
          <w:sz w:val="22"/>
          <w:szCs w:val="22"/>
          <w:lang w:val="es-MX"/>
        </w:rPr>
        <w:t>Fuente</w:t>
      </w:r>
      <w:r w:rsidRPr="00600DF8">
        <w:rPr>
          <w:rFonts w:ascii="Verdana" w:hAnsi="Verdana" w:cs="Arial"/>
          <w:sz w:val="22"/>
          <w:szCs w:val="22"/>
          <w:lang w:val="es-MX"/>
        </w:rPr>
        <w:t>: Elaboración propia</w:t>
      </w:r>
    </w:p>
    <w:p w14:paraId="7FEB2DFA" w14:textId="77777777" w:rsidR="007841BC" w:rsidRPr="00611315" w:rsidRDefault="007841BC" w:rsidP="00EB56A0">
      <w:pPr>
        <w:pStyle w:val="Prrafodelista"/>
        <w:ind w:left="360"/>
        <w:rPr>
          <w:rFonts w:ascii="Verdana" w:hAnsi="Verdana" w:cs="Arial"/>
          <w:highlight w:val="yellow"/>
          <w:lang w:val="es-MX"/>
        </w:rPr>
      </w:pPr>
    </w:p>
    <w:p w14:paraId="40B0E398" w14:textId="77777777" w:rsidR="000E19E1" w:rsidRDefault="000E19E1" w:rsidP="00303AC1">
      <w:pPr>
        <w:pStyle w:val="Prrafodelista"/>
        <w:ind w:left="0"/>
        <w:rPr>
          <w:rFonts w:ascii="Verdana" w:hAnsi="Verdana" w:cs="Arial"/>
          <w:highlight w:val="yellow"/>
          <w:lang w:val="es-MX"/>
        </w:rPr>
      </w:pPr>
    </w:p>
    <w:p w14:paraId="025C923C" w14:textId="77777777" w:rsidR="000E19E1" w:rsidRDefault="000E19E1" w:rsidP="00303AC1">
      <w:pPr>
        <w:pStyle w:val="Prrafodelista"/>
        <w:ind w:left="0"/>
        <w:rPr>
          <w:rFonts w:ascii="Verdana" w:hAnsi="Verdana" w:cs="Arial"/>
          <w:highlight w:val="yellow"/>
          <w:lang w:val="es-MX"/>
        </w:rPr>
      </w:pPr>
    </w:p>
    <w:p w14:paraId="4A91DFC9" w14:textId="77777777" w:rsidR="000E19E1" w:rsidRDefault="000E19E1" w:rsidP="00303AC1">
      <w:pPr>
        <w:pStyle w:val="Prrafodelista"/>
        <w:ind w:left="0"/>
        <w:rPr>
          <w:rFonts w:ascii="Verdana" w:hAnsi="Verdana" w:cs="Arial"/>
          <w:highlight w:val="yellow"/>
          <w:lang w:val="es-MX"/>
        </w:rPr>
      </w:pPr>
    </w:p>
    <w:p w14:paraId="79ADF9A0" w14:textId="714F9FDE" w:rsidR="000E19E1" w:rsidRDefault="00F454EC" w:rsidP="00303AC1">
      <w:pPr>
        <w:pStyle w:val="Prrafodelista"/>
        <w:ind w:left="0"/>
        <w:rPr>
          <w:rFonts w:ascii="Verdana" w:hAnsi="Verdana" w:cs="Arial"/>
          <w:lang w:val="es-MX"/>
        </w:rPr>
      </w:pPr>
      <w:r>
        <w:rPr>
          <w:rFonts w:ascii="Verdana" w:hAnsi="Verdana" w:cs="Arial"/>
          <w:lang w:val="es-MX"/>
        </w:rPr>
        <w:t>Para la Agencia, resulta</w:t>
      </w:r>
      <w:r w:rsidRPr="00F454EC">
        <w:rPr>
          <w:rFonts w:ascii="Verdana" w:hAnsi="Verdana" w:cs="Arial"/>
          <w:lang w:val="es-MX"/>
        </w:rPr>
        <w:t xml:space="preserve"> pertinente establecer condiciones diferenciadas para la acreditación de los indicadores de capacidad organizacional por parte de las micro, pequeñas y medianas empresas (MiPymes), atendiendo las particularidades propias de su estructura financiera y operativa, así como los principios de promoción de la participación, pluralidad de oferentes y proporcionalidad que orientan la contratación estatal.</w:t>
      </w:r>
    </w:p>
    <w:p w14:paraId="1E0FA133" w14:textId="77777777" w:rsidR="009A2933" w:rsidRDefault="009A2933" w:rsidP="00303AC1">
      <w:pPr>
        <w:pStyle w:val="Prrafodelista"/>
        <w:ind w:left="0"/>
        <w:rPr>
          <w:rFonts w:ascii="Verdana" w:hAnsi="Verdana" w:cs="Arial"/>
          <w:lang w:val="es-MX"/>
        </w:rPr>
      </w:pPr>
    </w:p>
    <w:p w14:paraId="67F10250" w14:textId="55F98E9C" w:rsidR="000E19E1" w:rsidRDefault="009A2933" w:rsidP="009A2933">
      <w:pPr>
        <w:jc w:val="both"/>
        <w:rPr>
          <w:rFonts w:ascii="Verdana" w:hAnsi="Verdana" w:cs="Arial"/>
          <w:highlight w:val="yellow"/>
          <w:lang w:val="es-MX"/>
        </w:rPr>
      </w:pPr>
      <w:r>
        <w:rPr>
          <w:rFonts w:ascii="Verdana" w:hAnsi="Verdana" w:cs="Arial"/>
          <w:lang w:val="es-MX"/>
        </w:rPr>
        <w:t>L</w:t>
      </w:r>
      <w:r w:rsidRPr="009A2933">
        <w:rPr>
          <w:rFonts w:ascii="Verdana" w:hAnsi="Verdana" w:cs="Arial"/>
          <w:lang w:val="es-MX"/>
        </w:rPr>
        <w:t>os niveles de rentabilidad observados en las MiPymes suelen presentar comportamientos distintos a los de empresas de mayor tamaño, debido a factores asociados a su escala operativa, procesos de consolidación empresarial, estrategias de crecimiento y reinversión de utilidades.</w:t>
      </w:r>
      <w:r>
        <w:rPr>
          <w:rFonts w:ascii="Verdana" w:hAnsi="Verdana" w:cs="Arial"/>
          <w:lang w:val="es-MX"/>
        </w:rPr>
        <w:t xml:space="preserve"> De acuerdo con esto</w:t>
      </w:r>
      <w:r w:rsidRPr="009A2933">
        <w:rPr>
          <w:rFonts w:ascii="Verdana" w:hAnsi="Verdana" w:cs="Arial"/>
          <w:lang w:val="es-MX"/>
        </w:rPr>
        <w:t>, exigir a las MiPymes los mismos niveles de rentabilidad sobre el patrimonio establecidos para empresas de mayor capacidad económica podría constituir una barrera de acceso que limite su participación en los procesos de contratación, aun cuando dichas empresas cuenten con experiencia, capacidad técnica y condiciones financieras suficientes para ejecutar adecuadamente el objeto contractual.</w:t>
      </w:r>
    </w:p>
    <w:p w14:paraId="304B2A70" w14:textId="77777777" w:rsidR="000E19E1" w:rsidRDefault="000E19E1" w:rsidP="00303AC1">
      <w:pPr>
        <w:pStyle w:val="Prrafodelista"/>
        <w:ind w:left="0"/>
        <w:rPr>
          <w:rFonts w:ascii="Verdana" w:hAnsi="Verdana" w:cs="Arial"/>
          <w:highlight w:val="yellow"/>
          <w:lang w:val="es-MX"/>
        </w:rPr>
      </w:pPr>
    </w:p>
    <w:p w14:paraId="26D07AF9" w14:textId="66AFB009" w:rsidR="00EB56A0" w:rsidRDefault="00EB56A0" w:rsidP="00303AC1">
      <w:pPr>
        <w:pStyle w:val="Prrafodelista"/>
        <w:ind w:left="0"/>
        <w:rPr>
          <w:rFonts w:ascii="Verdana" w:hAnsi="Verdana" w:cs="Arial"/>
          <w:i/>
          <w:iCs/>
          <w:lang w:val="es-419"/>
        </w:rPr>
      </w:pPr>
      <w:r w:rsidRPr="00CA640B">
        <w:rPr>
          <w:rFonts w:ascii="Verdana" w:hAnsi="Verdana" w:cs="Arial"/>
          <w:lang w:val="es-MX"/>
        </w:rPr>
        <w:t xml:space="preserve">Es importante resaltar que la flexibilización de los anteriores indicadores no solo tendría un impacto positivo en pro de la participación de las empresas categorizadas como MiPymes en los procesos de selección para la adquisición de servicios de obra para infraestructura </w:t>
      </w:r>
      <w:r w:rsidR="00CA640B" w:rsidRPr="00CA640B">
        <w:rPr>
          <w:rFonts w:ascii="Verdana" w:hAnsi="Verdana" w:cs="Arial"/>
          <w:lang w:val="es-MX"/>
        </w:rPr>
        <w:t>de agua potable y saneamiento básico</w:t>
      </w:r>
      <w:r w:rsidRPr="00CA640B">
        <w:rPr>
          <w:rFonts w:ascii="Verdana" w:hAnsi="Verdana" w:cs="Arial"/>
          <w:lang w:val="es-MX"/>
        </w:rPr>
        <w:t xml:space="preserve">, sino que también incrementaría la cantidad de empresas del sector que de forma general cumpliría con los requisitos habilitantes de capacidad financiera y organizacional, lo anterior, teniendo en cuenta la regla establecida en el pliego tipo con relación a las estructuras plurales la cual señala que: </w:t>
      </w:r>
      <w:r w:rsidRPr="00CA640B">
        <w:rPr>
          <w:rFonts w:ascii="Verdana" w:hAnsi="Verdana" w:cs="Arial"/>
          <w:i/>
          <w:iCs/>
          <w:lang w:val="es-MX"/>
        </w:rPr>
        <w:t>“</w:t>
      </w:r>
      <w:r w:rsidRPr="00CA640B">
        <w:rPr>
          <w:rFonts w:ascii="Verdana" w:hAnsi="Verdana" w:cs="Arial"/>
          <w:i/>
          <w:iCs/>
          <w:lang w:val="es-419"/>
        </w:rPr>
        <w:t xml:space="preserve">Tratándose de Proponente Plurales estos indicadores solo se aplicarán si por lo menos uno de los integrantes acredita la calidad de </w:t>
      </w:r>
      <w:proofErr w:type="spellStart"/>
      <w:r w:rsidRPr="00CA640B">
        <w:rPr>
          <w:rFonts w:ascii="Verdana" w:hAnsi="Verdana" w:cs="Arial"/>
          <w:i/>
          <w:iCs/>
          <w:lang w:val="es-419"/>
        </w:rPr>
        <w:t>Mipyme</w:t>
      </w:r>
      <w:proofErr w:type="spellEnd"/>
      <w:r w:rsidRPr="00CA640B">
        <w:rPr>
          <w:rFonts w:ascii="Verdana" w:hAnsi="Verdana" w:cs="Arial"/>
          <w:i/>
          <w:iCs/>
          <w:lang w:val="es-419"/>
        </w:rPr>
        <w:t xml:space="preserve"> de conformidad con el artículo 2.2.1.2.4.2.4 del Decreto 1082 de 2015, o la normas que los modifiquen, sustituyan o complementen, y tienen una participación igual o superior al diez por ciento (10 %) en el consorcio o en la unión temporal”.</w:t>
      </w:r>
    </w:p>
    <w:p w14:paraId="611F60DC" w14:textId="77777777" w:rsidR="00CA640B" w:rsidRDefault="00CA640B" w:rsidP="00303AC1">
      <w:pPr>
        <w:pStyle w:val="Prrafodelista"/>
        <w:ind w:left="0"/>
        <w:rPr>
          <w:rFonts w:ascii="Verdana" w:hAnsi="Verdana" w:cs="Arial"/>
          <w:i/>
          <w:iCs/>
          <w:lang w:val="es-419"/>
        </w:rPr>
      </w:pPr>
    </w:p>
    <w:p w14:paraId="05560C90" w14:textId="77777777" w:rsidR="00FD1CF6" w:rsidRDefault="00FD1CF6" w:rsidP="00303AC1">
      <w:pPr>
        <w:pStyle w:val="Prrafodelista"/>
        <w:ind w:left="0"/>
        <w:rPr>
          <w:rFonts w:ascii="Verdana" w:hAnsi="Verdana" w:cs="Arial"/>
          <w:i/>
          <w:iCs/>
          <w:lang w:val="es-419"/>
        </w:rPr>
      </w:pPr>
    </w:p>
    <w:p w14:paraId="3B68AD77" w14:textId="77777777" w:rsidR="00FD1CF6" w:rsidRDefault="00FD1CF6" w:rsidP="00303AC1">
      <w:pPr>
        <w:pStyle w:val="Prrafodelista"/>
        <w:ind w:left="0"/>
        <w:rPr>
          <w:rFonts w:ascii="Verdana" w:hAnsi="Verdana" w:cs="Arial"/>
          <w:i/>
          <w:iCs/>
          <w:lang w:val="es-419"/>
        </w:rPr>
      </w:pPr>
    </w:p>
    <w:p w14:paraId="029F31A6" w14:textId="77777777" w:rsidR="00FD1CF6" w:rsidRDefault="00FD1CF6" w:rsidP="00303AC1">
      <w:pPr>
        <w:pStyle w:val="Prrafodelista"/>
        <w:ind w:left="0"/>
        <w:rPr>
          <w:rFonts w:ascii="Verdana" w:hAnsi="Verdana" w:cs="Arial"/>
          <w:i/>
          <w:iCs/>
          <w:lang w:val="es-419"/>
        </w:rPr>
      </w:pPr>
    </w:p>
    <w:p w14:paraId="2DEDCB70" w14:textId="77777777" w:rsidR="00FD1CF6" w:rsidRDefault="00FD1CF6" w:rsidP="00303AC1">
      <w:pPr>
        <w:pStyle w:val="Prrafodelista"/>
        <w:ind w:left="0"/>
        <w:rPr>
          <w:rFonts w:ascii="Verdana" w:hAnsi="Verdana" w:cs="Arial"/>
          <w:i/>
          <w:iCs/>
          <w:lang w:val="es-419"/>
        </w:rPr>
      </w:pPr>
    </w:p>
    <w:p w14:paraId="6F05A3E5" w14:textId="77777777" w:rsidR="00FD1CF6" w:rsidRDefault="00FD1CF6" w:rsidP="00303AC1">
      <w:pPr>
        <w:pStyle w:val="Prrafodelista"/>
        <w:ind w:left="0"/>
        <w:rPr>
          <w:rFonts w:ascii="Verdana" w:hAnsi="Verdana" w:cs="Arial"/>
          <w:i/>
          <w:iCs/>
          <w:lang w:val="es-419"/>
        </w:rPr>
      </w:pPr>
    </w:p>
    <w:p w14:paraId="563176A9" w14:textId="3C3DDC2C" w:rsidR="00CA640B" w:rsidRPr="00CA640B" w:rsidRDefault="00CA640B" w:rsidP="00CA640B">
      <w:pPr>
        <w:pStyle w:val="Prrafodelista"/>
        <w:numPr>
          <w:ilvl w:val="0"/>
          <w:numId w:val="120"/>
        </w:numPr>
        <w:rPr>
          <w:rFonts w:ascii="Verdana" w:hAnsi="Verdana" w:cs="Arial"/>
          <w:b/>
          <w:bCs/>
          <w:lang w:val="es-419"/>
        </w:rPr>
      </w:pPr>
      <w:r w:rsidRPr="00CA640B">
        <w:rPr>
          <w:rFonts w:ascii="Verdana" w:hAnsi="Verdana" w:cs="Arial"/>
          <w:b/>
          <w:bCs/>
          <w:lang w:val="es-419"/>
        </w:rPr>
        <w:lastRenderedPageBreak/>
        <w:t>Análisis niveles de cumplimiento indicadores MiPymes</w:t>
      </w:r>
    </w:p>
    <w:p w14:paraId="6D6C4148" w14:textId="77777777" w:rsidR="00FE04D9" w:rsidRPr="00CA640B" w:rsidRDefault="00FE04D9" w:rsidP="00303AC1">
      <w:pPr>
        <w:pStyle w:val="Prrafodelista"/>
        <w:ind w:left="0"/>
        <w:rPr>
          <w:rFonts w:ascii="Verdana" w:hAnsi="Verdana" w:cs="Arial"/>
          <w:lang w:val="es-419"/>
        </w:rPr>
      </w:pPr>
    </w:p>
    <w:p w14:paraId="40616EDB" w14:textId="0CB25986" w:rsidR="00FE04D9" w:rsidRDefault="00FE04D9" w:rsidP="00FE04D9">
      <w:pPr>
        <w:jc w:val="both"/>
        <w:rPr>
          <w:rFonts w:ascii="Verdana" w:hAnsi="Verdana"/>
          <w:sz w:val="22"/>
          <w:szCs w:val="22"/>
          <w:lang w:val="es-MX"/>
        </w:rPr>
      </w:pPr>
      <w:r w:rsidRPr="00AE0F3C">
        <w:rPr>
          <w:rFonts w:ascii="Verdana" w:hAnsi="Verdana"/>
          <w:sz w:val="22"/>
          <w:szCs w:val="22"/>
          <w:lang w:val="es-MX"/>
        </w:rPr>
        <w:t xml:space="preserve">Ahora se analizará el nivel de cumplimiento de los indicadores solicitados para todas las empresas (de forma individual y en conjunto), que acrediten su condición de </w:t>
      </w:r>
      <w:r w:rsidR="00CA640B" w:rsidRPr="00AE0F3C">
        <w:rPr>
          <w:rFonts w:ascii="Verdana" w:hAnsi="Verdana"/>
          <w:sz w:val="22"/>
          <w:szCs w:val="22"/>
          <w:lang w:val="es-MX"/>
        </w:rPr>
        <w:t>MiPymes</w:t>
      </w:r>
      <w:r w:rsidRPr="00AE0F3C">
        <w:rPr>
          <w:rFonts w:ascii="Verdana" w:hAnsi="Verdana"/>
          <w:sz w:val="22"/>
          <w:szCs w:val="22"/>
          <w:lang w:val="es-MX"/>
        </w:rPr>
        <w:t xml:space="preserve"> en cada uno de los rangos</w:t>
      </w:r>
      <w:r w:rsidR="00DE2B56">
        <w:rPr>
          <w:rStyle w:val="Refdenotaalpie"/>
          <w:rFonts w:ascii="Verdana" w:hAnsi="Verdana"/>
          <w:sz w:val="22"/>
          <w:szCs w:val="22"/>
          <w:lang w:val="es-MX"/>
        </w:rPr>
        <w:footnoteReference w:id="66"/>
      </w:r>
      <w:r w:rsidRPr="00AE0F3C">
        <w:rPr>
          <w:rFonts w:ascii="Verdana" w:hAnsi="Verdana"/>
          <w:sz w:val="22"/>
          <w:szCs w:val="22"/>
          <w:lang w:val="es-MX"/>
        </w:rPr>
        <w:t>:</w:t>
      </w:r>
    </w:p>
    <w:p w14:paraId="74E697BB" w14:textId="77777777" w:rsidR="00FE04D9" w:rsidRDefault="00FE04D9" w:rsidP="00FE04D9">
      <w:pPr>
        <w:jc w:val="both"/>
        <w:rPr>
          <w:rFonts w:ascii="Verdana" w:hAnsi="Verdana"/>
          <w:sz w:val="22"/>
          <w:szCs w:val="22"/>
          <w:lang w:val="es-MX"/>
        </w:rPr>
      </w:pPr>
    </w:p>
    <w:p w14:paraId="3BB03824" w14:textId="77777777" w:rsidR="00FE04D9" w:rsidRPr="00387F5F" w:rsidRDefault="00FE04D9" w:rsidP="00FE04D9">
      <w:pPr>
        <w:jc w:val="both"/>
        <w:rPr>
          <w:rFonts w:ascii="Verdana" w:hAnsi="Verdana"/>
          <w:sz w:val="20"/>
          <w:szCs w:val="20"/>
          <w:lang w:val="es-MX"/>
        </w:rPr>
      </w:pPr>
    </w:p>
    <w:p w14:paraId="7266884E" w14:textId="007AADBB" w:rsidR="00FE04D9" w:rsidRPr="00387F5F" w:rsidRDefault="00FE04D9" w:rsidP="00FE04D9">
      <w:pPr>
        <w:pStyle w:val="Descripcin"/>
        <w:spacing w:after="0"/>
        <w:jc w:val="center"/>
        <w:rPr>
          <w:rFonts w:ascii="Verdana" w:hAnsi="Verdana"/>
          <w:sz w:val="22"/>
          <w:szCs w:val="22"/>
        </w:rPr>
      </w:pPr>
      <w:bookmarkStart w:id="560" w:name="_Toc231368705"/>
      <w:r w:rsidRPr="00387F5F">
        <w:rPr>
          <w:rFonts w:ascii="Verdana" w:hAnsi="Verdana"/>
          <w:sz w:val="22"/>
          <w:szCs w:val="22"/>
        </w:rPr>
        <w:t xml:space="preserve">Tabla </w:t>
      </w:r>
      <w:r w:rsidRPr="00387F5F">
        <w:rPr>
          <w:rFonts w:ascii="Verdana" w:hAnsi="Verdana"/>
          <w:sz w:val="22"/>
          <w:szCs w:val="22"/>
        </w:rPr>
        <w:fldChar w:fldCharType="begin"/>
      </w:r>
      <w:r w:rsidRPr="00387F5F">
        <w:rPr>
          <w:rFonts w:ascii="Verdana" w:hAnsi="Verdana"/>
          <w:sz w:val="22"/>
          <w:szCs w:val="22"/>
        </w:rPr>
        <w:instrText xml:space="preserve"> SEQ Tabla \* ARABIC </w:instrText>
      </w:r>
      <w:r w:rsidRPr="00387F5F">
        <w:rPr>
          <w:rFonts w:ascii="Verdana" w:hAnsi="Verdana"/>
          <w:sz w:val="22"/>
          <w:szCs w:val="22"/>
        </w:rPr>
        <w:fldChar w:fldCharType="separate"/>
      </w:r>
      <w:r w:rsidR="00AC384C">
        <w:rPr>
          <w:rFonts w:ascii="Verdana" w:hAnsi="Verdana"/>
          <w:noProof/>
          <w:sz w:val="22"/>
          <w:szCs w:val="22"/>
        </w:rPr>
        <w:t>38</w:t>
      </w:r>
      <w:r w:rsidRPr="00387F5F">
        <w:rPr>
          <w:rFonts w:ascii="Verdana" w:hAnsi="Verdana"/>
          <w:sz w:val="22"/>
          <w:szCs w:val="22"/>
        </w:rPr>
        <w:fldChar w:fldCharType="end"/>
      </w:r>
      <w:r w:rsidRPr="00387F5F">
        <w:rPr>
          <w:rFonts w:ascii="Verdana" w:hAnsi="Verdana"/>
          <w:sz w:val="24"/>
          <w:szCs w:val="24"/>
        </w:rPr>
        <w:t>.</w:t>
      </w:r>
      <w:r w:rsidRPr="00387F5F">
        <w:rPr>
          <w:rFonts w:ascii="Verdana" w:hAnsi="Verdana"/>
          <w:sz w:val="22"/>
          <w:szCs w:val="22"/>
        </w:rPr>
        <w:t xml:space="preserve"> Porcentajes de cumplimiento </w:t>
      </w:r>
      <w:r w:rsidR="00CA640B" w:rsidRPr="00387F5F">
        <w:rPr>
          <w:rFonts w:ascii="Verdana" w:hAnsi="Verdana"/>
          <w:sz w:val="22"/>
          <w:szCs w:val="22"/>
        </w:rPr>
        <w:t>MiPymes</w:t>
      </w:r>
      <w:r w:rsidRPr="00387F5F">
        <w:rPr>
          <w:rFonts w:ascii="Verdana" w:hAnsi="Verdana"/>
          <w:sz w:val="22"/>
          <w:szCs w:val="22"/>
        </w:rPr>
        <w:t xml:space="preserve"> (&gt;=</w:t>
      </w:r>
      <w:r w:rsidR="00CA640B" w:rsidRPr="00387F5F">
        <w:rPr>
          <w:rFonts w:ascii="Verdana" w:hAnsi="Verdana"/>
          <w:sz w:val="22"/>
          <w:szCs w:val="22"/>
        </w:rPr>
        <w:t>13</w:t>
      </w:r>
      <w:r w:rsidRPr="00387F5F">
        <w:rPr>
          <w:rFonts w:ascii="Verdana" w:hAnsi="Verdana"/>
          <w:sz w:val="22"/>
          <w:szCs w:val="22"/>
        </w:rPr>
        <w:t xml:space="preserve">.000 </w:t>
      </w:r>
      <w:proofErr w:type="spellStart"/>
      <w:r w:rsidRPr="00387F5F">
        <w:rPr>
          <w:rFonts w:ascii="Verdana" w:hAnsi="Verdana"/>
          <w:sz w:val="22"/>
          <w:szCs w:val="22"/>
        </w:rPr>
        <w:t>Smmlv</w:t>
      </w:r>
      <w:proofErr w:type="spellEnd"/>
      <w:r w:rsidRPr="00387F5F">
        <w:rPr>
          <w:rFonts w:ascii="Verdana" w:hAnsi="Verdana"/>
          <w:sz w:val="22"/>
          <w:szCs w:val="22"/>
        </w:rPr>
        <w:t>)</w:t>
      </w:r>
      <w:bookmarkEnd w:id="560"/>
    </w:p>
    <w:p w14:paraId="62880042" w14:textId="77777777" w:rsidR="00FE04D9" w:rsidRPr="00387F5F" w:rsidRDefault="00FE04D9" w:rsidP="00FE04D9">
      <w:pPr>
        <w:rPr>
          <w:rFonts w:ascii="Verdana" w:hAnsi="Verdana"/>
          <w:lang w:val="es-ES" w:eastAsia="en-US"/>
        </w:rPr>
      </w:pPr>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FE04D9" w:rsidRPr="00387F5F" w14:paraId="394B9A03" w14:textId="77777777">
        <w:trPr>
          <w:trHeight w:val="315"/>
          <w:jc w:val="center"/>
        </w:trPr>
        <w:tc>
          <w:tcPr>
            <w:tcW w:w="3220" w:type="dxa"/>
            <w:tcBorders>
              <w:top w:val="nil"/>
              <w:left w:val="nil"/>
              <w:bottom w:val="nil"/>
              <w:right w:val="single" w:sz="4" w:space="0" w:color="auto"/>
            </w:tcBorders>
            <w:noWrap/>
            <w:vAlign w:val="bottom"/>
            <w:hideMark/>
          </w:tcPr>
          <w:p w14:paraId="167EE1C9" w14:textId="77777777" w:rsidR="00FE04D9" w:rsidRPr="00387F5F" w:rsidRDefault="00FE04D9">
            <w:pPr>
              <w:rPr>
                <w:rFonts w:ascii="Verdana" w:hAnsi="Verdana"/>
                <w:lang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1CA88E86" w14:textId="6A97E327" w:rsidR="00FE04D9" w:rsidRPr="00387F5F" w:rsidRDefault="00CA640B">
            <w:pPr>
              <w:jc w:val="center"/>
              <w:rPr>
                <w:rFonts w:ascii="Verdana" w:hAnsi="Verdana"/>
                <w:b/>
                <w:bCs/>
                <w:color w:val="000000"/>
                <w:sz w:val="16"/>
                <w:szCs w:val="16"/>
                <w:lang w:eastAsia="es-CO"/>
              </w:rPr>
            </w:pPr>
            <w:r w:rsidRPr="00387F5F">
              <w:rPr>
                <w:rFonts w:ascii="Verdana" w:hAnsi="Verdana"/>
                <w:b/>
                <w:bCs/>
                <w:color w:val="000000"/>
                <w:sz w:val="16"/>
                <w:szCs w:val="16"/>
                <w:lang w:eastAsia="es-CO"/>
              </w:rPr>
              <w:t>MiPymes</w:t>
            </w:r>
            <w:r w:rsidR="00FE04D9" w:rsidRPr="00387F5F">
              <w:rPr>
                <w:rFonts w:ascii="Verdana" w:hAnsi="Verdana"/>
                <w:b/>
                <w:bCs/>
                <w:color w:val="000000"/>
                <w:sz w:val="16"/>
                <w:szCs w:val="16"/>
                <w:lang w:eastAsia="es-CO"/>
              </w:rPr>
              <w:t xml:space="preserve"> (&gt;= </w:t>
            </w:r>
            <w:r w:rsidRPr="00387F5F">
              <w:rPr>
                <w:rFonts w:ascii="Verdana" w:hAnsi="Verdana"/>
                <w:b/>
                <w:bCs/>
                <w:color w:val="000000"/>
                <w:sz w:val="16"/>
                <w:szCs w:val="16"/>
                <w:lang w:eastAsia="es-CO"/>
              </w:rPr>
              <w:t>13.</w:t>
            </w:r>
            <w:r w:rsidR="00FE04D9" w:rsidRPr="00387F5F">
              <w:rPr>
                <w:rFonts w:ascii="Verdana" w:hAnsi="Verdana"/>
                <w:b/>
                <w:bCs/>
                <w:color w:val="000000"/>
                <w:sz w:val="16"/>
                <w:szCs w:val="16"/>
                <w:lang w:eastAsia="es-CO"/>
              </w:rPr>
              <w:t xml:space="preserve">000 </w:t>
            </w:r>
            <w:proofErr w:type="spellStart"/>
            <w:r w:rsidR="00FE04D9" w:rsidRPr="00387F5F">
              <w:rPr>
                <w:rFonts w:ascii="Verdana" w:hAnsi="Verdana"/>
                <w:b/>
                <w:bCs/>
                <w:color w:val="000000"/>
                <w:sz w:val="16"/>
                <w:szCs w:val="16"/>
                <w:lang w:eastAsia="es-CO"/>
              </w:rPr>
              <w:t>Smmlv</w:t>
            </w:r>
            <w:proofErr w:type="spellEnd"/>
            <w:r w:rsidR="00FE04D9" w:rsidRPr="00387F5F">
              <w:rPr>
                <w:rFonts w:ascii="Verdana" w:hAnsi="Verdana"/>
                <w:b/>
                <w:bCs/>
                <w:color w:val="000000"/>
                <w:sz w:val="16"/>
                <w:szCs w:val="16"/>
                <w:lang w:eastAsia="es-CO"/>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09706E7E" w14:textId="77777777" w:rsidR="00FE04D9" w:rsidRPr="00387F5F" w:rsidRDefault="00FE04D9">
            <w:pPr>
              <w:jc w:val="center"/>
              <w:rPr>
                <w:rFonts w:ascii="Verdana" w:hAnsi="Verdana"/>
                <w:b/>
                <w:bCs/>
                <w:color w:val="000000"/>
                <w:sz w:val="16"/>
                <w:szCs w:val="16"/>
                <w:lang w:eastAsia="es-CO"/>
              </w:rPr>
            </w:pPr>
            <w:r w:rsidRPr="00387F5F">
              <w:rPr>
                <w:rFonts w:ascii="Verdana" w:hAnsi="Verdana"/>
                <w:b/>
                <w:bCs/>
                <w:color w:val="000000"/>
                <w:sz w:val="16"/>
                <w:szCs w:val="16"/>
                <w:lang w:eastAsia="es-CO"/>
              </w:rPr>
              <w:t>Nivel de cumplimiento</w:t>
            </w:r>
          </w:p>
        </w:tc>
      </w:tr>
      <w:tr w:rsidR="00AE480D" w:rsidRPr="00387F5F" w14:paraId="7EC05BD2" w14:textId="77777777" w:rsidTr="00BE502E">
        <w:trPr>
          <w:trHeight w:val="315"/>
          <w:jc w:val="center"/>
        </w:trPr>
        <w:tc>
          <w:tcPr>
            <w:tcW w:w="3220" w:type="dxa"/>
            <w:tcBorders>
              <w:top w:val="nil"/>
              <w:left w:val="nil"/>
              <w:bottom w:val="nil"/>
              <w:right w:val="single" w:sz="4" w:space="0" w:color="auto"/>
            </w:tcBorders>
            <w:noWrap/>
            <w:vAlign w:val="bottom"/>
            <w:hideMark/>
          </w:tcPr>
          <w:p w14:paraId="24602E72" w14:textId="77777777" w:rsidR="00AE480D" w:rsidRPr="00387F5F" w:rsidRDefault="00AE480D" w:rsidP="00AE480D">
            <w:pPr>
              <w:rPr>
                <w:rFonts w:ascii="Verdana" w:hAnsi="Verdana"/>
                <w:color w:val="000000"/>
                <w:lang w:eastAsia="es-CO"/>
              </w:rPr>
            </w:pPr>
            <w:r w:rsidRPr="00387F5F">
              <w:rPr>
                <w:rFonts w:ascii="Verdana" w:hAnsi="Verdana"/>
                <w:color w:val="000000"/>
                <w:lang w:eastAsia="es-CO"/>
              </w:rPr>
              <w:t>Liquidez</w:t>
            </w:r>
          </w:p>
        </w:tc>
        <w:tc>
          <w:tcPr>
            <w:tcW w:w="2296" w:type="dxa"/>
            <w:tcBorders>
              <w:top w:val="single" w:sz="8" w:space="0" w:color="auto"/>
              <w:left w:val="single" w:sz="8" w:space="0" w:color="auto"/>
              <w:bottom w:val="single" w:sz="8" w:space="0" w:color="auto"/>
              <w:right w:val="single" w:sz="8" w:space="0" w:color="auto"/>
            </w:tcBorders>
            <w:noWrap/>
            <w:vAlign w:val="center"/>
            <w:hideMark/>
          </w:tcPr>
          <w:p w14:paraId="18E29E96" w14:textId="020A3513" w:rsidR="00AE480D" w:rsidRPr="00AE480D" w:rsidRDefault="00AE480D" w:rsidP="00AE480D">
            <w:pPr>
              <w:jc w:val="center"/>
              <w:rPr>
                <w:rFonts w:ascii="Verdana" w:hAnsi="Verdana"/>
                <w:color w:val="000000"/>
              </w:rPr>
            </w:pPr>
            <w:r w:rsidRPr="00AE480D">
              <w:rPr>
                <w:rFonts w:ascii="Verdana" w:hAnsi="Verdana"/>
                <w:color w:val="000000"/>
              </w:rPr>
              <w:t>1,3</w:t>
            </w:r>
          </w:p>
        </w:tc>
        <w:tc>
          <w:tcPr>
            <w:tcW w:w="1835" w:type="dxa"/>
            <w:tcBorders>
              <w:top w:val="single" w:sz="4" w:space="0" w:color="auto"/>
              <w:left w:val="single" w:sz="4" w:space="0" w:color="auto"/>
              <w:bottom w:val="single" w:sz="4" w:space="0" w:color="auto"/>
              <w:right w:val="single" w:sz="4" w:space="0" w:color="auto"/>
            </w:tcBorders>
            <w:vAlign w:val="center"/>
          </w:tcPr>
          <w:p w14:paraId="48EAABCB" w14:textId="741027EF" w:rsidR="00AE480D" w:rsidRPr="00AE480D" w:rsidRDefault="00AE480D" w:rsidP="00AE480D">
            <w:pPr>
              <w:jc w:val="center"/>
              <w:rPr>
                <w:rFonts w:ascii="Verdana" w:hAnsi="Verdana"/>
                <w:color w:val="000000"/>
              </w:rPr>
            </w:pPr>
            <w:r w:rsidRPr="00AE480D">
              <w:rPr>
                <w:rFonts w:ascii="Verdana" w:hAnsi="Verdana"/>
                <w:color w:val="000000"/>
              </w:rPr>
              <w:t>98,96%</w:t>
            </w:r>
          </w:p>
        </w:tc>
        <w:tc>
          <w:tcPr>
            <w:tcW w:w="1487" w:type="dxa"/>
            <w:vMerge w:val="restart"/>
            <w:tcBorders>
              <w:top w:val="single" w:sz="4" w:space="0" w:color="auto"/>
              <w:left w:val="single" w:sz="4" w:space="0" w:color="auto"/>
              <w:right w:val="single" w:sz="4" w:space="0" w:color="auto"/>
            </w:tcBorders>
            <w:vAlign w:val="center"/>
          </w:tcPr>
          <w:p w14:paraId="6DCD79A3" w14:textId="66BB0988" w:rsidR="00AE480D" w:rsidRPr="00387F5F" w:rsidRDefault="00AE480D" w:rsidP="00AE480D">
            <w:pPr>
              <w:jc w:val="center"/>
              <w:rPr>
                <w:rFonts w:ascii="Verdana" w:hAnsi="Verdana"/>
                <w:color w:val="000000"/>
                <w:lang w:eastAsia="es-CO"/>
              </w:rPr>
            </w:pPr>
            <w:r w:rsidRPr="00387F5F">
              <w:rPr>
                <w:rFonts w:ascii="Verdana" w:hAnsi="Verdana"/>
                <w:color w:val="000000"/>
                <w:lang w:eastAsia="es-CO"/>
              </w:rPr>
              <w:t>9</w:t>
            </w:r>
            <w:r w:rsidR="00BB61AB">
              <w:rPr>
                <w:rFonts w:ascii="Verdana" w:hAnsi="Verdana"/>
                <w:color w:val="000000"/>
                <w:lang w:eastAsia="es-CO"/>
              </w:rPr>
              <w:t>0</w:t>
            </w:r>
            <w:r w:rsidRPr="00387F5F">
              <w:rPr>
                <w:rFonts w:ascii="Verdana" w:hAnsi="Verdana"/>
                <w:color w:val="000000"/>
                <w:lang w:eastAsia="es-CO"/>
              </w:rPr>
              <w:t>,</w:t>
            </w:r>
            <w:r w:rsidR="00BB61AB">
              <w:rPr>
                <w:rFonts w:ascii="Verdana" w:hAnsi="Verdana"/>
                <w:color w:val="000000"/>
                <w:lang w:eastAsia="es-CO"/>
              </w:rPr>
              <w:t>68</w:t>
            </w:r>
            <w:r w:rsidRPr="00387F5F">
              <w:rPr>
                <w:rFonts w:ascii="Verdana" w:hAnsi="Verdana"/>
                <w:color w:val="000000"/>
                <w:lang w:eastAsia="es-CO"/>
              </w:rPr>
              <w:t>%</w:t>
            </w:r>
          </w:p>
        </w:tc>
      </w:tr>
      <w:tr w:rsidR="00AE480D" w:rsidRPr="00387F5F" w14:paraId="343DDC3F" w14:textId="77777777" w:rsidTr="00BE502E">
        <w:trPr>
          <w:trHeight w:val="315"/>
          <w:jc w:val="center"/>
        </w:trPr>
        <w:tc>
          <w:tcPr>
            <w:tcW w:w="3220" w:type="dxa"/>
            <w:tcBorders>
              <w:top w:val="nil"/>
              <w:left w:val="nil"/>
              <w:bottom w:val="nil"/>
              <w:right w:val="single" w:sz="4" w:space="0" w:color="auto"/>
            </w:tcBorders>
            <w:noWrap/>
            <w:vAlign w:val="bottom"/>
            <w:hideMark/>
          </w:tcPr>
          <w:p w14:paraId="348F8000" w14:textId="77777777" w:rsidR="00AE480D" w:rsidRPr="00387F5F" w:rsidRDefault="00AE480D" w:rsidP="00AE480D">
            <w:pPr>
              <w:rPr>
                <w:rFonts w:ascii="Verdana" w:hAnsi="Verdana"/>
                <w:color w:val="000000"/>
                <w:lang w:eastAsia="es-CO"/>
              </w:rPr>
            </w:pPr>
            <w:r w:rsidRPr="00387F5F">
              <w:rPr>
                <w:rFonts w:ascii="Verdana" w:hAnsi="Verdana"/>
                <w:color w:val="000000"/>
                <w:lang w:eastAsia="es-CO"/>
              </w:rPr>
              <w:t>Endeudamiento</w:t>
            </w:r>
          </w:p>
        </w:tc>
        <w:tc>
          <w:tcPr>
            <w:tcW w:w="2296" w:type="dxa"/>
            <w:tcBorders>
              <w:top w:val="nil"/>
              <w:left w:val="single" w:sz="8" w:space="0" w:color="auto"/>
              <w:bottom w:val="single" w:sz="8" w:space="0" w:color="auto"/>
              <w:right w:val="single" w:sz="8" w:space="0" w:color="auto"/>
            </w:tcBorders>
            <w:noWrap/>
            <w:vAlign w:val="center"/>
            <w:hideMark/>
          </w:tcPr>
          <w:p w14:paraId="002E4B75" w14:textId="69BF95AA" w:rsidR="00AE480D" w:rsidRPr="00AE480D" w:rsidRDefault="00AE480D" w:rsidP="00AE480D">
            <w:pPr>
              <w:jc w:val="center"/>
              <w:rPr>
                <w:rFonts w:ascii="Verdana" w:hAnsi="Verdana"/>
                <w:color w:val="000000"/>
              </w:rPr>
            </w:pPr>
            <w:r w:rsidRPr="00AE480D">
              <w:rPr>
                <w:rFonts w:ascii="Verdana" w:hAnsi="Verdana"/>
                <w:color w:val="000000"/>
              </w:rPr>
              <w:t>0,75</w:t>
            </w:r>
          </w:p>
        </w:tc>
        <w:tc>
          <w:tcPr>
            <w:tcW w:w="1835" w:type="dxa"/>
            <w:tcBorders>
              <w:top w:val="nil"/>
              <w:left w:val="single" w:sz="4" w:space="0" w:color="auto"/>
              <w:bottom w:val="single" w:sz="4" w:space="0" w:color="auto"/>
              <w:right w:val="single" w:sz="4" w:space="0" w:color="auto"/>
            </w:tcBorders>
            <w:vAlign w:val="center"/>
          </w:tcPr>
          <w:p w14:paraId="0B11779D" w14:textId="5F388216" w:rsidR="00AE480D" w:rsidRPr="00AE480D" w:rsidRDefault="00AE480D" w:rsidP="00AE480D">
            <w:pPr>
              <w:jc w:val="center"/>
              <w:rPr>
                <w:rFonts w:ascii="Verdana" w:hAnsi="Verdana"/>
                <w:color w:val="000000"/>
              </w:rPr>
            </w:pPr>
            <w:r w:rsidRPr="00AE480D">
              <w:rPr>
                <w:rFonts w:ascii="Verdana" w:hAnsi="Verdana"/>
                <w:color w:val="000000"/>
              </w:rPr>
              <w:t>97,72%</w:t>
            </w:r>
          </w:p>
        </w:tc>
        <w:tc>
          <w:tcPr>
            <w:tcW w:w="1487" w:type="dxa"/>
            <w:vMerge/>
            <w:tcBorders>
              <w:left w:val="single" w:sz="4" w:space="0" w:color="auto"/>
              <w:right w:val="single" w:sz="4" w:space="0" w:color="auto"/>
            </w:tcBorders>
          </w:tcPr>
          <w:p w14:paraId="382666AD" w14:textId="77777777" w:rsidR="00AE480D" w:rsidRPr="00387F5F" w:rsidRDefault="00AE480D" w:rsidP="00AE480D">
            <w:pPr>
              <w:jc w:val="center"/>
              <w:rPr>
                <w:rFonts w:ascii="Verdana" w:hAnsi="Verdana"/>
                <w:color w:val="000000"/>
                <w:lang w:eastAsia="es-CO"/>
              </w:rPr>
            </w:pPr>
          </w:p>
        </w:tc>
      </w:tr>
      <w:tr w:rsidR="00AE480D" w:rsidRPr="00387F5F" w14:paraId="273A685E" w14:textId="77777777" w:rsidTr="00BE502E">
        <w:trPr>
          <w:trHeight w:val="315"/>
          <w:jc w:val="center"/>
        </w:trPr>
        <w:tc>
          <w:tcPr>
            <w:tcW w:w="3220" w:type="dxa"/>
            <w:tcBorders>
              <w:top w:val="nil"/>
              <w:left w:val="nil"/>
              <w:bottom w:val="nil"/>
              <w:right w:val="single" w:sz="4" w:space="0" w:color="auto"/>
            </w:tcBorders>
            <w:noWrap/>
            <w:vAlign w:val="bottom"/>
            <w:hideMark/>
          </w:tcPr>
          <w:p w14:paraId="44372C89" w14:textId="77777777" w:rsidR="00AE480D" w:rsidRPr="00387F5F" w:rsidRDefault="00AE480D" w:rsidP="00AE480D">
            <w:pPr>
              <w:rPr>
                <w:rFonts w:ascii="Verdana" w:hAnsi="Verdana"/>
                <w:color w:val="000000"/>
                <w:lang w:eastAsia="es-CO"/>
              </w:rPr>
            </w:pPr>
            <w:r w:rsidRPr="00387F5F">
              <w:rPr>
                <w:rFonts w:ascii="Verdana" w:hAnsi="Verdana"/>
                <w:color w:val="000000"/>
                <w:lang w:eastAsia="es-CO"/>
              </w:rPr>
              <w:t>Razón de cobertura de interés</w:t>
            </w:r>
          </w:p>
        </w:tc>
        <w:tc>
          <w:tcPr>
            <w:tcW w:w="2296" w:type="dxa"/>
            <w:tcBorders>
              <w:top w:val="nil"/>
              <w:left w:val="single" w:sz="8" w:space="0" w:color="auto"/>
              <w:bottom w:val="single" w:sz="8" w:space="0" w:color="auto"/>
              <w:right w:val="single" w:sz="8" w:space="0" w:color="auto"/>
            </w:tcBorders>
            <w:noWrap/>
            <w:vAlign w:val="center"/>
            <w:hideMark/>
          </w:tcPr>
          <w:p w14:paraId="13B460D5" w14:textId="4F66B9DE" w:rsidR="00AE480D" w:rsidRPr="00AE480D" w:rsidRDefault="00AE480D" w:rsidP="00AE480D">
            <w:pPr>
              <w:jc w:val="center"/>
              <w:rPr>
                <w:rFonts w:ascii="Verdana" w:hAnsi="Verdana"/>
                <w:color w:val="000000"/>
              </w:rPr>
            </w:pPr>
            <w:r w:rsidRPr="00AE480D">
              <w:rPr>
                <w:rFonts w:ascii="Verdana" w:hAnsi="Verdana"/>
                <w:color w:val="000000"/>
              </w:rPr>
              <w:t>1</w:t>
            </w:r>
          </w:p>
        </w:tc>
        <w:tc>
          <w:tcPr>
            <w:tcW w:w="1835" w:type="dxa"/>
            <w:tcBorders>
              <w:top w:val="nil"/>
              <w:left w:val="single" w:sz="4" w:space="0" w:color="auto"/>
              <w:bottom w:val="single" w:sz="4" w:space="0" w:color="auto"/>
              <w:right w:val="single" w:sz="4" w:space="0" w:color="auto"/>
            </w:tcBorders>
            <w:vAlign w:val="center"/>
          </w:tcPr>
          <w:p w14:paraId="09F395C9" w14:textId="4E816451" w:rsidR="00AE480D" w:rsidRPr="00AE480D" w:rsidRDefault="00AE480D" w:rsidP="00AE480D">
            <w:pPr>
              <w:jc w:val="center"/>
              <w:rPr>
                <w:rFonts w:ascii="Verdana" w:hAnsi="Verdana"/>
                <w:color w:val="000000"/>
              </w:rPr>
            </w:pPr>
            <w:r w:rsidRPr="00AE480D">
              <w:rPr>
                <w:rFonts w:ascii="Verdana" w:hAnsi="Verdana"/>
                <w:color w:val="000000"/>
              </w:rPr>
              <w:t>98,34%</w:t>
            </w:r>
          </w:p>
        </w:tc>
        <w:tc>
          <w:tcPr>
            <w:tcW w:w="1487" w:type="dxa"/>
            <w:vMerge/>
            <w:tcBorders>
              <w:left w:val="single" w:sz="4" w:space="0" w:color="auto"/>
              <w:right w:val="single" w:sz="4" w:space="0" w:color="auto"/>
            </w:tcBorders>
          </w:tcPr>
          <w:p w14:paraId="60C601A8" w14:textId="77777777" w:rsidR="00AE480D" w:rsidRPr="00387F5F" w:rsidRDefault="00AE480D" w:rsidP="00AE480D">
            <w:pPr>
              <w:jc w:val="center"/>
              <w:rPr>
                <w:rFonts w:ascii="Verdana" w:hAnsi="Verdana"/>
                <w:color w:val="000000"/>
                <w:lang w:eastAsia="es-CO"/>
              </w:rPr>
            </w:pPr>
          </w:p>
        </w:tc>
      </w:tr>
      <w:tr w:rsidR="00AE480D" w:rsidRPr="00387F5F" w14:paraId="084BDCD8" w14:textId="77777777" w:rsidTr="00BE502E">
        <w:trPr>
          <w:trHeight w:val="315"/>
          <w:jc w:val="center"/>
        </w:trPr>
        <w:tc>
          <w:tcPr>
            <w:tcW w:w="3220" w:type="dxa"/>
            <w:tcBorders>
              <w:top w:val="nil"/>
              <w:left w:val="nil"/>
              <w:bottom w:val="nil"/>
              <w:right w:val="single" w:sz="4" w:space="0" w:color="auto"/>
            </w:tcBorders>
            <w:noWrap/>
            <w:vAlign w:val="bottom"/>
            <w:hideMark/>
          </w:tcPr>
          <w:p w14:paraId="06C2ABEE" w14:textId="77777777" w:rsidR="00AE480D" w:rsidRPr="00387F5F" w:rsidRDefault="00AE480D" w:rsidP="00AE480D">
            <w:pPr>
              <w:rPr>
                <w:rFonts w:ascii="Verdana" w:hAnsi="Verdana"/>
                <w:color w:val="000000"/>
                <w:lang w:eastAsia="es-CO"/>
              </w:rPr>
            </w:pPr>
            <w:r w:rsidRPr="00387F5F">
              <w:rPr>
                <w:rFonts w:ascii="Verdana" w:hAnsi="Verdana"/>
                <w:color w:val="000000"/>
                <w:lang w:eastAsia="es-CO"/>
              </w:rPr>
              <w:t>Rentabilidad sobre Patrimonio</w:t>
            </w:r>
          </w:p>
        </w:tc>
        <w:tc>
          <w:tcPr>
            <w:tcW w:w="2296" w:type="dxa"/>
            <w:tcBorders>
              <w:top w:val="nil"/>
              <w:left w:val="single" w:sz="8" w:space="0" w:color="auto"/>
              <w:bottom w:val="single" w:sz="8" w:space="0" w:color="auto"/>
              <w:right w:val="single" w:sz="8" w:space="0" w:color="auto"/>
            </w:tcBorders>
            <w:noWrap/>
            <w:vAlign w:val="center"/>
            <w:hideMark/>
          </w:tcPr>
          <w:p w14:paraId="754A6B67" w14:textId="0C1D0B38" w:rsidR="00AE480D" w:rsidRPr="00AE480D" w:rsidRDefault="00AE480D" w:rsidP="00AE480D">
            <w:pPr>
              <w:jc w:val="center"/>
              <w:rPr>
                <w:rFonts w:ascii="Verdana" w:hAnsi="Verdana"/>
                <w:color w:val="000000"/>
              </w:rPr>
            </w:pPr>
            <w:r w:rsidRPr="00AE480D">
              <w:rPr>
                <w:rFonts w:ascii="Verdana" w:hAnsi="Verdana"/>
                <w:color w:val="000000"/>
              </w:rPr>
              <w:t>0,03</w:t>
            </w:r>
          </w:p>
        </w:tc>
        <w:tc>
          <w:tcPr>
            <w:tcW w:w="1835" w:type="dxa"/>
            <w:tcBorders>
              <w:top w:val="nil"/>
              <w:left w:val="single" w:sz="4" w:space="0" w:color="auto"/>
              <w:bottom w:val="single" w:sz="4" w:space="0" w:color="auto"/>
              <w:right w:val="single" w:sz="4" w:space="0" w:color="auto"/>
            </w:tcBorders>
            <w:vAlign w:val="center"/>
          </w:tcPr>
          <w:p w14:paraId="4307331F" w14:textId="72352C11" w:rsidR="00AE480D" w:rsidRPr="00AE480D" w:rsidRDefault="00AE480D" w:rsidP="00AE480D">
            <w:pPr>
              <w:jc w:val="center"/>
              <w:rPr>
                <w:rFonts w:ascii="Verdana" w:hAnsi="Verdana"/>
                <w:color w:val="000000"/>
              </w:rPr>
            </w:pPr>
            <w:r w:rsidRPr="00AE480D">
              <w:rPr>
                <w:rFonts w:ascii="Verdana" w:hAnsi="Verdana"/>
                <w:color w:val="000000"/>
              </w:rPr>
              <w:t>94,62%</w:t>
            </w:r>
          </w:p>
        </w:tc>
        <w:tc>
          <w:tcPr>
            <w:tcW w:w="1487" w:type="dxa"/>
            <w:vMerge/>
            <w:tcBorders>
              <w:left w:val="single" w:sz="4" w:space="0" w:color="auto"/>
              <w:right w:val="single" w:sz="4" w:space="0" w:color="auto"/>
            </w:tcBorders>
          </w:tcPr>
          <w:p w14:paraId="06410AE6" w14:textId="77777777" w:rsidR="00AE480D" w:rsidRPr="00387F5F" w:rsidRDefault="00AE480D" w:rsidP="00AE480D">
            <w:pPr>
              <w:jc w:val="center"/>
              <w:rPr>
                <w:rFonts w:ascii="Verdana" w:hAnsi="Verdana"/>
                <w:color w:val="000000"/>
                <w:lang w:eastAsia="es-CO"/>
              </w:rPr>
            </w:pPr>
          </w:p>
        </w:tc>
      </w:tr>
      <w:tr w:rsidR="00AE480D" w:rsidRPr="00387F5F" w14:paraId="45D3CAAB" w14:textId="77777777" w:rsidTr="00BE502E">
        <w:trPr>
          <w:trHeight w:val="315"/>
          <w:jc w:val="center"/>
        </w:trPr>
        <w:tc>
          <w:tcPr>
            <w:tcW w:w="3220" w:type="dxa"/>
            <w:tcBorders>
              <w:top w:val="nil"/>
              <w:left w:val="nil"/>
              <w:bottom w:val="nil"/>
              <w:right w:val="single" w:sz="4" w:space="0" w:color="auto"/>
            </w:tcBorders>
            <w:noWrap/>
            <w:vAlign w:val="bottom"/>
            <w:hideMark/>
          </w:tcPr>
          <w:p w14:paraId="6164024A" w14:textId="77777777" w:rsidR="00AE480D" w:rsidRPr="00387F5F" w:rsidRDefault="00AE480D" w:rsidP="00AE480D">
            <w:pPr>
              <w:rPr>
                <w:rFonts w:ascii="Verdana" w:hAnsi="Verdana"/>
                <w:color w:val="000000"/>
                <w:lang w:eastAsia="es-CO"/>
              </w:rPr>
            </w:pPr>
            <w:r w:rsidRPr="00387F5F">
              <w:rPr>
                <w:rFonts w:ascii="Verdana" w:hAnsi="Verdana"/>
                <w:color w:val="000000"/>
                <w:lang w:eastAsia="es-CO"/>
              </w:rPr>
              <w:t>Rentabilidad sobre Activo</w:t>
            </w:r>
          </w:p>
        </w:tc>
        <w:tc>
          <w:tcPr>
            <w:tcW w:w="2296" w:type="dxa"/>
            <w:tcBorders>
              <w:top w:val="nil"/>
              <w:left w:val="single" w:sz="8" w:space="0" w:color="auto"/>
              <w:bottom w:val="single" w:sz="8" w:space="0" w:color="auto"/>
              <w:right w:val="single" w:sz="8" w:space="0" w:color="auto"/>
            </w:tcBorders>
            <w:noWrap/>
            <w:vAlign w:val="center"/>
            <w:hideMark/>
          </w:tcPr>
          <w:p w14:paraId="54B8B716" w14:textId="3C6B851E" w:rsidR="00AE480D" w:rsidRPr="00AE480D" w:rsidRDefault="00AE480D" w:rsidP="00AE480D">
            <w:pPr>
              <w:jc w:val="center"/>
              <w:rPr>
                <w:rFonts w:ascii="Verdana" w:hAnsi="Verdana"/>
                <w:color w:val="000000"/>
              </w:rPr>
            </w:pPr>
            <w:r w:rsidRPr="00AE480D">
              <w:rPr>
                <w:rFonts w:ascii="Verdana" w:hAnsi="Verdana"/>
                <w:color w:val="000000"/>
              </w:rPr>
              <w:t>0,02</w:t>
            </w:r>
          </w:p>
        </w:tc>
        <w:tc>
          <w:tcPr>
            <w:tcW w:w="1835" w:type="dxa"/>
            <w:tcBorders>
              <w:top w:val="nil"/>
              <w:left w:val="single" w:sz="4" w:space="0" w:color="auto"/>
              <w:bottom w:val="single" w:sz="4" w:space="0" w:color="auto"/>
              <w:right w:val="single" w:sz="4" w:space="0" w:color="auto"/>
            </w:tcBorders>
            <w:vAlign w:val="center"/>
          </w:tcPr>
          <w:p w14:paraId="4D54978A" w14:textId="7DD3796E" w:rsidR="00AE480D" w:rsidRPr="00AE480D" w:rsidRDefault="00AE480D" w:rsidP="00AE480D">
            <w:pPr>
              <w:jc w:val="center"/>
              <w:rPr>
                <w:rFonts w:ascii="Verdana" w:hAnsi="Verdana"/>
                <w:color w:val="000000"/>
              </w:rPr>
            </w:pPr>
            <w:r w:rsidRPr="00AE480D">
              <w:rPr>
                <w:rFonts w:ascii="Verdana" w:hAnsi="Verdana"/>
                <w:color w:val="000000"/>
              </w:rPr>
              <w:t>93,79%</w:t>
            </w:r>
          </w:p>
        </w:tc>
        <w:tc>
          <w:tcPr>
            <w:tcW w:w="1487" w:type="dxa"/>
            <w:vMerge/>
            <w:tcBorders>
              <w:left w:val="single" w:sz="4" w:space="0" w:color="auto"/>
              <w:bottom w:val="single" w:sz="4" w:space="0" w:color="auto"/>
              <w:right w:val="single" w:sz="4" w:space="0" w:color="auto"/>
            </w:tcBorders>
          </w:tcPr>
          <w:p w14:paraId="41466D16" w14:textId="77777777" w:rsidR="00AE480D" w:rsidRPr="00387F5F" w:rsidRDefault="00AE480D" w:rsidP="00AE480D">
            <w:pPr>
              <w:jc w:val="center"/>
              <w:rPr>
                <w:rFonts w:ascii="Verdana" w:hAnsi="Verdana"/>
                <w:color w:val="000000"/>
                <w:lang w:eastAsia="es-CO"/>
              </w:rPr>
            </w:pPr>
          </w:p>
        </w:tc>
      </w:tr>
    </w:tbl>
    <w:p w14:paraId="6912EE9D" w14:textId="77777777" w:rsidR="00FE04D9" w:rsidRPr="00387F5F" w:rsidRDefault="00FE04D9" w:rsidP="00FE04D9">
      <w:pPr>
        <w:jc w:val="both"/>
        <w:rPr>
          <w:rFonts w:ascii="Verdana" w:hAnsi="Verdana"/>
          <w:b/>
          <w:bCs/>
          <w:sz w:val="20"/>
          <w:szCs w:val="20"/>
          <w:lang w:val="es-MX"/>
        </w:rPr>
      </w:pPr>
    </w:p>
    <w:p w14:paraId="1658FDD7" w14:textId="034644ED" w:rsidR="00FE04D9" w:rsidRPr="00AC384C" w:rsidRDefault="00AC384C" w:rsidP="00AC384C">
      <w:pPr>
        <w:jc w:val="center"/>
        <w:rPr>
          <w:rFonts w:ascii="Verdana" w:eastAsia="Verdana Pro" w:hAnsi="Verdana" w:cs="Verdana Pro"/>
          <w:b/>
          <w:sz w:val="22"/>
          <w:szCs w:val="22"/>
          <w:lang w:val="es-MX"/>
        </w:rPr>
      </w:pPr>
      <w:r w:rsidRPr="00AC384C">
        <w:rPr>
          <w:rFonts w:ascii="Verdana" w:eastAsia="Verdana Pro" w:hAnsi="Verdana" w:cs="Verdana Pro"/>
          <w:b/>
          <w:sz w:val="22"/>
          <w:szCs w:val="22"/>
          <w:lang w:val="es-MX"/>
        </w:rPr>
        <w:t xml:space="preserve">Fuente: </w:t>
      </w:r>
      <w:r w:rsidRPr="00AC384C">
        <w:rPr>
          <w:rFonts w:ascii="Verdana" w:eastAsia="Verdana Pro" w:hAnsi="Verdana" w:cs="Verdana Pro"/>
          <w:bCs/>
          <w:sz w:val="22"/>
          <w:szCs w:val="22"/>
          <w:lang w:val="es-MX"/>
        </w:rPr>
        <w:t>Elaboración propia</w:t>
      </w:r>
    </w:p>
    <w:p w14:paraId="6F0EDDCB" w14:textId="77777777" w:rsidR="00FE04D9" w:rsidRPr="00387F5F" w:rsidRDefault="00FE04D9" w:rsidP="00FE04D9">
      <w:pPr>
        <w:jc w:val="both"/>
        <w:rPr>
          <w:rFonts w:ascii="Verdana" w:hAnsi="Verdana"/>
          <w:b/>
          <w:bCs/>
          <w:sz w:val="20"/>
          <w:szCs w:val="20"/>
          <w:lang w:val="es-MX"/>
        </w:rPr>
      </w:pPr>
    </w:p>
    <w:p w14:paraId="285FB9E5" w14:textId="77777777" w:rsidR="00FE04D9" w:rsidRPr="00AA758E" w:rsidRDefault="00FE04D9" w:rsidP="00FE04D9">
      <w:pPr>
        <w:jc w:val="both"/>
        <w:rPr>
          <w:rFonts w:ascii="Verdana" w:hAnsi="Verdana"/>
          <w:b/>
          <w:bCs/>
          <w:sz w:val="20"/>
          <w:szCs w:val="20"/>
          <w:lang w:val="es-MX"/>
        </w:rPr>
      </w:pPr>
    </w:p>
    <w:p w14:paraId="7B6B577C" w14:textId="5A921082" w:rsidR="00FE04D9" w:rsidRPr="00AA758E" w:rsidRDefault="00FE04D9" w:rsidP="00FE04D9">
      <w:pPr>
        <w:pStyle w:val="Descripcin"/>
        <w:spacing w:after="0"/>
        <w:jc w:val="center"/>
        <w:rPr>
          <w:rFonts w:ascii="Verdana" w:hAnsi="Verdana"/>
          <w:sz w:val="22"/>
          <w:szCs w:val="22"/>
        </w:rPr>
      </w:pPr>
      <w:bookmarkStart w:id="561" w:name="_Toc231368706"/>
      <w:r w:rsidRPr="00AA758E">
        <w:rPr>
          <w:rFonts w:ascii="Verdana" w:hAnsi="Verdana"/>
          <w:sz w:val="22"/>
          <w:szCs w:val="22"/>
        </w:rPr>
        <w:t xml:space="preserve">Tabla </w:t>
      </w:r>
      <w:r w:rsidRPr="00AA758E">
        <w:rPr>
          <w:rFonts w:ascii="Verdana" w:hAnsi="Verdana"/>
          <w:sz w:val="22"/>
          <w:szCs w:val="22"/>
        </w:rPr>
        <w:fldChar w:fldCharType="begin"/>
      </w:r>
      <w:r w:rsidRPr="00AA758E">
        <w:rPr>
          <w:rFonts w:ascii="Verdana" w:hAnsi="Verdana"/>
          <w:sz w:val="22"/>
          <w:szCs w:val="22"/>
        </w:rPr>
        <w:instrText xml:space="preserve"> SEQ Tabla \* ARABIC </w:instrText>
      </w:r>
      <w:r w:rsidRPr="00AA758E">
        <w:rPr>
          <w:rFonts w:ascii="Verdana" w:hAnsi="Verdana"/>
          <w:sz w:val="22"/>
          <w:szCs w:val="22"/>
        </w:rPr>
        <w:fldChar w:fldCharType="separate"/>
      </w:r>
      <w:r w:rsidR="00BB61AB" w:rsidRPr="00AA758E">
        <w:rPr>
          <w:rFonts w:ascii="Verdana" w:hAnsi="Verdana"/>
          <w:noProof/>
          <w:sz w:val="22"/>
          <w:szCs w:val="22"/>
        </w:rPr>
        <w:t>39</w:t>
      </w:r>
      <w:r w:rsidRPr="00AA758E">
        <w:rPr>
          <w:rFonts w:ascii="Verdana" w:hAnsi="Verdana"/>
          <w:sz w:val="22"/>
          <w:szCs w:val="22"/>
        </w:rPr>
        <w:fldChar w:fldCharType="end"/>
      </w:r>
      <w:r w:rsidRPr="00AA758E">
        <w:rPr>
          <w:rFonts w:ascii="Verdana" w:hAnsi="Verdana"/>
          <w:sz w:val="22"/>
          <w:szCs w:val="22"/>
        </w:rPr>
        <w:t xml:space="preserve">. Porcentajes de cumplimiento </w:t>
      </w:r>
      <w:r w:rsidR="00CA640B" w:rsidRPr="00AA758E">
        <w:rPr>
          <w:rFonts w:ascii="Verdana" w:hAnsi="Verdana"/>
          <w:sz w:val="22"/>
          <w:szCs w:val="22"/>
        </w:rPr>
        <w:t>MiPymes</w:t>
      </w:r>
      <w:r w:rsidRPr="00AA758E">
        <w:rPr>
          <w:rFonts w:ascii="Verdana" w:hAnsi="Verdana"/>
          <w:sz w:val="22"/>
          <w:szCs w:val="22"/>
        </w:rPr>
        <w:t xml:space="preserve"> (&lt;</w:t>
      </w:r>
      <w:r w:rsidR="00CA640B" w:rsidRPr="00AA758E">
        <w:rPr>
          <w:rFonts w:ascii="Verdana" w:hAnsi="Verdana"/>
          <w:sz w:val="22"/>
          <w:szCs w:val="22"/>
        </w:rPr>
        <w:t>13</w:t>
      </w:r>
      <w:r w:rsidRPr="00AA758E">
        <w:rPr>
          <w:rFonts w:ascii="Verdana" w:hAnsi="Verdana"/>
          <w:sz w:val="22"/>
          <w:szCs w:val="22"/>
        </w:rPr>
        <w:t xml:space="preserve">.000 </w:t>
      </w:r>
      <w:proofErr w:type="spellStart"/>
      <w:r w:rsidRPr="00AA758E">
        <w:rPr>
          <w:rFonts w:ascii="Verdana" w:hAnsi="Verdana"/>
          <w:sz w:val="22"/>
          <w:szCs w:val="22"/>
        </w:rPr>
        <w:t>Smmlv</w:t>
      </w:r>
      <w:proofErr w:type="spellEnd"/>
      <w:r w:rsidRPr="00AA758E">
        <w:rPr>
          <w:rFonts w:ascii="Verdana" w:hAnsi="Verdana"/>
          <w:sz w:val="22"/>
          <w:szCs w:val="22"/>
        </w:rPr>
        <w:t>)</w:t>
      </w:r>
      <w:bookmarkEnd w:id="561"/>
    </w:p>
    <w:p w14:paraId="60083352" w14:textId="77777777" w:rsidR="00FE04D9" w:rsidRPr="00AA758E" w:rsidRDefault="00FE04D9" w:rsidP="00FE04D9">
      <w:pPr>
        <w:rPr>
          <w:rFonts w:ascii="Verdana" w:hAnsi="Verdana"/>
          <w:lang w:val="es-ES" w:eastAsia="en-US"/>
        </w:rPr>
      </w:pPr>
    </w:p>
    <w:tbl>
      <w:tblPr>
        <w:tblW w:w="8838" w:type="dxa"/>
        <w:jc w:val="center"/>
        <w:tblCellMar>
          <w:left w:w="70" w:type="dxa"/>
          <w:right w:w="70" w:type="dxa"/>
        </w:tblCellMar>
        <w:tblLook w:val="04A0" w:firstRow="1" w:lastRow="0" w:firstColumn="1" w:lastColumn="0" w:noHBand="0" w:noVBand="1"/>
      </w:tblPr>
      <w:tblGrid>
        <w:gridCol w:w="3220"/>
        <w:gridCol w:w="2296"/>
        <w:gridCol w:w="1835"/>
        <w:gridCol w:w="1487"/>
      </w:tblGrid>
      <w:tr w:rsidR="00FE04D9" w:rsidRPr="00AA758E" w14:paraId="0A2FF115" w14:textId="77777777">
        <w:trPr>
          <w:trHeight w:val="315"/>
          <w:tblHeader/>
          <w:jc w:val="center"/>
        </w:trPr>
        <w:tc>
          <w:tcPr>
            <w:tcW w:w="3220" w:type="dxa"/>
            <w:tcBorders>
              <w:top w:val="nil"/>
              <w:left w:val="nil"/>
              <w:bottom w:val="nil"/>
              <w:right w:val="single" w:sz="4" w:space="0" w:color="auto"/>
            </w:tcBorders>
            <w:noWrap/>
            <w:vAlign w:val="bottom"/>
            <w:hideMark/>
          </w:tcPr>
          <w:p w14:paraId="35A5B39F" w14:textId="77777777" w:rsidR="00FE04D9" w:rsidRPr="00AA758E" w:rsidRDefault="00FE04D9">
            <w:pPr>
              <w:rPr>
                <w:rFonts w:ascii="Verdana" w:hAnsi="Verdana"/>
                <w:lang w:eastAsia="es-CO"/>
              </w:rPr>
            </w:pPr>
          </w:p>
        </w:tc>
        <w:tc>
          <w:tcPr>
            <w:tcW w:w="2296" w:type="dxa"/>
            <w:tcBorders>
              <w:top w:val="single" w:sz="4" w:space="0" w:color="auto"/>
              <w:left w:val="single" w:sz="4" w:space="0" w:color="auto"/>
              <w:bottom w:val="single" w:sz="4" w:space="0" w:color="auto"/>
              <w:right w:val="single" w:sz="4" w:space="0" w:color="auto"/>
            </w:tcBorders>
            <w:noWrap/>
            <w:vAlign w:val="center"/>
            <w:hideMark/>
          </w:tcPr>
          <w:p w14:paraId="30E8A4A4" w14:textId="38887009" w:rsidR="00FE04D9" w:rsidRPr="00AA758E" w:rsidRDefault="00CA640B">
            <w:pPr>
              <w:jc w:val="center"/>
              <w:rPr>
                <w:rFonts w:ascii="Verdana" w:hAnsi="Verdana"/>
                <w:b/>
                <w:bCs/>
                <w:color w:val="000000"/>
                <w:sz w:val="16"/>
                <w:szCs w:val="16"/>
                <w:lang w:eastAsia="es-CO"/>
              </w:rPr>
            </w:pPr>
            <w:r w:rsidRPr="00AA758E">
              <w:rPr>
                <w:rFonts w:ascii="Verdana" w:hAnsi="Verdana"/>
                <w:b/>
                <w:bCs/>
                <w:color w:val="000000"/>
                <w:sz w:val="16"/>
                <w:szCs w:val="16"/>
              </w:rPr>
              <w:t>MiPymes</w:t>
            </w:r>
            <w:r w:rsidR="00FE04D9" w:rsidRPr="00AA758E">
              <w:rPr>
                <w:rFonts w:ascii="Verdana" w:hAnsi="Verdana"/>
                <w:b/>
                <w:bCs/>
                <w:color w:val="000000"/>
                <w:sz w:val="16"/>
                <w:szCs w:val="16"/>
              </w:rPr>
              <w:t xml:space="preserve"> (&lt; </w:t>
            </w:r>
            <w:r w:rsidRPr="00AA758E">
              <w:rPr>
                <w:rFonts w:ascii="Verdana" w:hAnsi="Verdana"/>
                <w:b/>
                <w:bCs/>
                <w:color w:val="000000"/>
                <w:sz w:val="16"/>
                <w:szCs w:val="16"/>
              </w:rPr>
              <w:t>13</w:t>
            </w:r>
            <w:r w:rsidR="00FE04D9" w:rsidRPr="00AA758E">
              <w:rPr>
                <w:rFonts w:ascii="Verdana" w:hAnsi="Verdana"/>
                <w:b/>
                <w:bCs/>
                <w:color w:val="000000"/>
                <w:sz w:val="16"/>
                <w:szCs w:val="16"/>
              </w:rPr>
              <w:t xml:space="preserve">.000 </w:t>
            </w:r>
            <w:proofErr w:type="spellStart"/>
            <w:r w:rsidR="00FE04D9" w:rsidRPr="00AA758E">
              <w:rPr>
                <w:rFonts w:ascii="Verdana" w:hAnsi="Verdana"/>
                <w:b/>
                <w:bCs/>
                <w:color w:val="000000"/>
                <w:sz w:val="16"/>
                <w:szCs w:val="16"/>
              </w:rPr>
              <w:t>Smmlv</w:t>
            </w:r>
            <w:proofErr w:type="spellEnd"/>
            <w:r w:rsidR="00FE04D9" w:rsidRPr="00AA758E">
              <w:rPr>
                <w:rFonts w:ascii="Verdana" w:hAnsi="Verdana"/>
                <w:b/>
                <w:bCs/>
                <w:color w:val="000000"/>
                <w:sz w:val="16"/>
                <w:szCs w:val="16"/>
              </w:rPr>
              <w:t>)</w:t>
            </w:r>
          </w:p>
        </w:tc>
        <w:tc>
          <w:tcPr>
            <w:tcW w:w="3322" w:type="dxa"/>
            <w:gridSpan w:val="2"/>
            <w:tcBorders>
              <w:top w:val="single" w:sz="4" w:space="0" w:color="auto"/>
              <w:left w:val="single" w:sz="4" w:space="0" w:color="auto"/>
              <w:bottom w:val="single" w:sz="4" w:space="0" w:color="auto"/>
              <w:right w:val="single" w:sz="4" w:space="0" w:color="auto"/>
            </w:tcBorders>
            <w:vAlign w:val="center"/>
          </w:tcPr>
          <w:p w14:paraId="68010529" w14:textId="77777777" w:rsidR="00FE04D9" w:rsidRPr="00AA758E" w:rsidRDefault="00FE04D9">
            <w:pPr>
              <w:jc w:val="center"/>
              <w:rPr>
                <w:rFonts w:ascii="Verdana" w:hAnsi="Verdana"/>
                <w:b/>
                <w:bCs/>
                <w:color w:val="000000"/>
                <w:sz w:val="16"/>
                <w:szCs w:val="16"/>
                <w:lang w:eastAsia="es-CO"/>
              </w:rPr>
            </w:pPr>
            <w:r w:rsidRPr="00AA758E">
              <w:rPr>
                <w:rFonts w:ascii="Verdana" w:hAnsi="Verdana"/>
                <w:b/>
                <w:bCs/>
                <w:color w:val="000000"/>
                <w:sz w:val="16"/>
                <w:szCs w:val="16"/>
                <w:lang w:eastAsia="es-CO"/>
              </w:rPr>
              <w:t>Nivel de cumplimiento</w:t>
            </w:r>
          </w:p>
        </w:tc>
      </w:tr>
      <w:tr w:rsidR="00AA758E" w:rsidRPr="00AA758E" w14:paraId="0C475713" w14:textId="77777777">
        <w:trPr>
          <w:trHeight w:val="315"/>
          <w:jc w:val="center"/>
        </w:trPr>
        <w:tc>
          <w:tcPr>
            <w:tcW w:w="3220" w:type="dxa"/>
            <w:tcBorders>
              <w:top w:val="nil"/>
              <w:left w:val="nil"/>
              <w:bottom w:val="nil"/>
              <w:right w:val="single" w:sz="4" w:space="0" w:color="auto"/>
            </w:tcBorders>
            <w:noWrap/>
            <w:vAlign w:val="bottom"/>
            <w:hideMark/>
          </w:tcPr>
          <w:p w14:paraId="6C40576B" w14:textId="77777777" w:rsidR="00AA758E" w:rsidRPr="00AA758E" w:rsidRDefault="00AA758E" w:rsidP="00AA758E">
            <w:pPr>
              <w:rPr>
                <w:rFonts w:ascii="Verdana" w:hAnsi="Verdana"/>
                <w:color w:val="000000"/>
                <w:lang w:eastAsia="es-CO"/>
              </w:rPr>
            </w:pPr>
            <w:r w:rsidRPr="00AA758E">
              <w:rPr>
                <w:rFonts w:ascii="Verdana" w:hAnsi="Verdana"/>
                <w:color w:val="000000"/>
                <w:lang w:eastAsia="es-CO"/>
              </w:rPr>
              <w:t>Liquidez</w:t>
            </w:r>
          </w:p>
        </w:tc>
        <w:tc>
          <w:tcPr>
            <w:tcW w:w="2296" w:type="dxa"/>
            <w:tcBorders>
              <w:top w:val="single" w:sz="8" w:space="0" w:color="auto"/>
              <w:left w:val="single" w:sz="8" w:space="0" w:color="auto"/>
              <w:bottom w:val="single" w:sz="8" w:space="0" w:color="auto"/>
              <w:right w:val="single" w:sz="8" w:space="0" w:color="auto"/>
            </w:tcBorders>
            <w:noWrap/>
            <w:vAlign w:val="center"/>
          </w:tcPr>
          <w:p w14:paraId="7B6684D3" w14:textId="35EE6EBE" w:rsidR="00AA758E" w:rsidRPr="00AA758E" w:rsidRDefault="00AA758E" w:rsidP="00AA758E">
            <w:pPr>
              <w:jc w:val="center"/>
              <w:rPr>
                <w:rFonts w:ascii="Verdana" w:hAnsi="Verdana"/>
                <w:color w:val="000000"/>
              </w:rPr>
            </w:pPr>
            <w:r w:rsidRPr="00AA758E">
              <w:rPr>
                <w:rFonts w:ascii="Verdana" w:hAnsi="Verdana"/>
                <w:color w:val="000000"/>
              </w:rPr>
              <w:t>1,2</w:t>
            </w:r>
          </w:p>
        </w:tc>
        <w:tc>
          <w:tcPr>
            <w:tcW w:w="1835" w:type="dxa"/>
            <w:tcBorders>
              <w:top w:val="single" w:sz="4" w:space="0" w:color="auto"/>
              <w:left w:val="single" w:sz="4" w:space="0" w:color="auto"/>
              <w:bottom w:val="single" w:sz="4" w:space="0" w:color="auto"/>
              <w:right w:val="single" w:sz="4" w:space="0" w:color="auto"/>
            </w:tcBorders>
            <w:vAlign w:val="bottom"/>
          </w:tcPr>
          <w:p w14:paraId="270294A8" w14:textId="18ECDBDB" w:rsidR="00AA758E" w:rsidRPr="00AA758E" w:rsidRDefault="00AA758E" w:rsidP="00AA758E">
            <w:pPr>
              <w:jc w:val="center"/>
              <w:rPr>
                <w:rFonts w:ascii="Verdana" w:hAnsi="Verdana"/>
                <w:color w:val="000000"/>
              </w:rPr>
            </w:pPr>
            <w:r w:rsidRPr="00AA758E">
              <w:rPr>
                <w:rFonts w:ascii="Verdana" w:hAnsi="Verdana"/>
                <w:color w:val="000000"/>
              </w:rPr>
              <w:t>98,96%</w:t>
            </w:r>
          </w:p>
        </w:tc>
        <w:tc>
          <w:tcPr>
            <w:tcW w:w="1487" w:type="dxa"/>
            <w:vMerge w:val="restart"/>
            <w:tcBorders>
              <w:top w:val="single" w:sz="4" w:space="0" w:color="auto"/>
              <w:left w:val="single" w:sz="4" w:space="0" w:color="auto"/>
              <w:right w:val="single" w:sz="4" w:space="0" w:color="auto"/>
            </w:tcBorders>
            <w:shd w:val="clear" w:color="000000" w:fill="DAE9F8"/>
            <w:vAlign w:val="center"/>
          </w:tcPr>
          <w:p w14:paraId="290DAA34" w14:textId="227324F7" w:rsidR="00AA758E" w:rsidRPr="00AA758E" w:rsidRDefault="00AA758E" w:rsidP="00AA758E">
            <w:pPr>
              <w:jc w:val="center"/>
              <w:rPr>
                <w:rFonts w:ascii="Verdana" w:hAnsi="Verdana"/>
                <w:color w:val="000000"/>
                <w:lang w:eastAsia="es-CO"/>
              </w:rPr>
            </w:pPr>
            <w:r w:rsidRPr="00AA758E">
              <w:rPr>
                <w:rFonts w:ascii="Verdana" w:hAnsi="Verdana"/>
                <w:color w:val="000000"/>
                <w:lang w:eastAsia="es-CO"/>
              </w:rPr>
              <w:t>91,51%</w:t>
            </w:r>
          </w:p>
        </w:tc>
      </w:tr>
      <w:tr w:rsidR="00AA758E" w:rsidRPr="00AA758E" w14:paraId="5D87A48C" w14:textId="77777777">
        <w:trPr>
          <w:trHeight w:val="315"/>
          <w:jc w:val="center"/>
        </w:trPr>
        <w:tc>
          <w:tcPr>
            <w:tcW w:w="3220" w:type="dxa"/>
            <w:tcBorders>
              <w:top w:val="nil"/>
              <w:left w:val="nil"/>
              <w:bottom w:val="nil"/>
              <w:right w:val="single" w:sz="4" w:space="0" w:color="auto"/>
            </w:tcBorders>
            <w:noWrap/>
            <w:vAlign w:val="bottom"/>
            <w:hideMark/>
          </w:tcPr>
          <w:p w14:paraId="27E420A3" w14:textId="77777777" w:rsidR="00AA758E" w:rsidRPr="00AA758E" w:rsidRDefault="00AA758E" w:rsidP="00AA758E">
            <w:pPr>
              <w:rPr>
                <w:rFonts w:ascii="Verdana" w:hAnsi="Verdana"/>
                <w:color w:val="000000"/>
                <w:lang w:eastAsia="es-CO"/>
              </w:rPr>
            </w:pPr>
            <w:r w:rsidRPr="00AA758E">
              <w:rPr>
                <w:rFonts w:ascii="Verdana" w:hAnsi="Verdana"/>
                <w:color w:val="000000"/>
                <w:lang w:eastAsia="es-CO"/>
              </w:rPr>
              <w:t>Endeudamiento</w:t>
            </w:r>
          </w:p>
        </w:tc>
        <w:tc>
          <w:tcPr>
            <w:tcW w:w="2296" w:type="dxa"/>
            <w:tcBorders>
              <w:top w:val="nil"/>
              <w:left w:val="single" w:sz="8" w:space="0" w:color="auto"/>
              <w:bottom w:val="single" w:sz="8" w:space="0" w:color="auto"/>
              <w:right w:val="single" w:sz="8" w:space="0" w:color="auto"/>
            </w:tcBorders>
            <w:noWrap/>
            <w:vAlign w:val="center"/>
          </w:tcPr>
          <w:p w14:paraId="75C4D18C" w14:textId="0CEF5626" w:rsidR="00AA758E" w:rsidRPr="00AA758E" w:rsidRDefault="00AA758E" w:rsidP="00AA758E">
            <w:pPr>
              <w:jc w:val="center"/>
              <w:rPr>
                <w:rFonts w:ascii="Verdana" w:hAnsi="Verdana"/>
                <w:color w:val="000000"/>
              </w:rPr>
            </w:pPr>
            <w:r w:rsidRPr="00AA758E">
              <w:rPr>
                <w:rFonts w:ascii="Verdana" w:hAnsi="Verdana"/>
                <w:color w:val="000000"/>
              </w:rPr>
              <w:t>0,70</w:t>
            </w:r>
          </w:p>
        </w:tc>
        <w:tc>
          <w:tcPr>
            <w:tcW w:w="1835" w:type="dxa"/>
            <w:tcBorders>
              <w:top w:val="nil"/>
              <w:left w:val="single" w:sz="4" w:space="0" w:color="auto"/>
              <w:bottom w:val="single" w:sz="4" w:space="0" w:color="auto"/>
              <w:right w:val="single" w:sz="4" w:space="0" w:color="auto"/>
            </w:tcBorders>
            <w:vAlign w:val="bottom"/>
          </w:tcPr>
          <w:p w14:paraId="1AA7DAE0" w14:textId="0FDCFBE1" w:rsidR="00AA758E" w:rsidRPr="00AA758E" w:rsidRDefault="00AA758E" w:rsidP="00AA758E">
            <w:pPr>
              <w:jc w:val="center"/>
              <w:rPr>
                <w:rFonts w:ascii="Verdana" w:hAnsi="Verdana"/>
                <w:color w:val="000000"/>
              </w:rPr>
            </w:pPr>
            <w:r w:rsidRPr="00AA758E">
              <w:rPr>
                <w:rFonts w:ascii="Verdana" w:hAnsi="Verdana"/>
                <w:color w:val="000000"/>
              </w:rPr>
              <w:t>96,07%</w:t>
            </w:r>
          </w:p>
        </w:tc>
        <w:tc>
          <w:tcPr>
            <w:tcW w:w="1487" w:type="dxa"/>
            <w:vMerge/>
            <w:tcBorders>
              <w:left w:val="single" w:sz="4" w:space="0" w:color="auto"/>
              <w:right w:val="single" w:sz="4" w:space="0" w:color="auto"/>
            </w:tcBorders>
            <w:shd w:val="clear" w:color="000000" w:fill="DAE9F8"/>
          </w:tcPr>
          <w:p w14:paraId="34849652" w14:textId="77777777" w:rsidR="00AA758E" w:rsidRPr="00AA758E" w:rsidRDefault="00AA758E" w:rsidP="00AA758E">
            <w:pPr>
              <w:jc w:val="center"/>
              <w:rPr>
                <w:rFonts w:ascii="Verdana" w:hAnsi="Verdana"/>
                <w:color w:val="000000"/>
                <w:lang w:eastAsia="es-CO"/>
              </w:rPr>
            </w:pPr>
          </w:p>
        </w:tc>
      </w:tr>
      <w:tr w:rsidR="00AA758E" w:rsidRPr="00AA758E" w14:paraId="52A3E447" w14:textId="77777777">
        <w:trPr>
          <w:trHeight w:val="315"/>
          <w:jc w:val="center"/>
        </w:trPr>
        <w:tc>
          <w:tcPr>
            <w:tcW w:w="3220" w:type="dxa"/>
            <w:tcBorders>
              <w:top w:val="nil"/>
              <w:left w:val="nil"/>
              <w:bottom w:val="nil"/>
              <w:right w:val="single" w:sz="4" w:space="0" w:color="auto"/>
            </w:tcBorders>
            <w:noWrap/>
            <w:vAlign w:val="bottom"/>
            <w:hideMark/>
          </w:tcPr>
          <w:p w14:paraId="37C08A1E" w14:textId="77777777" w:rsidR="00AA758E" w:rsidRPr="00AA758E" w:rsidRDefault="00AA758E" w:rsidP="00AA758E">
            <w:pPr>
              <w:rPr>
                <w:rFonts w:ascii="Verdana" w:hAnsi="Verdana"/>
                <w:color w:val="000000"/>
                <w:lang w:eastAsia="es-CO"/>
              </w:rPr>
            </w:pPr>
            <w:r w:rsidRPr="00AA758E">
              <w:rPr>
                <w:rFonts w:ascii="Verdana" w:hAnsi="Verdana"/>
                <w:color w:val="000000"/>
                <w:lang w:eastAsia="es-CO"/>
              </w:rPr>
              <w:t>Razón de cobertura de interés</w:t>
            </w:r>
          </w:p>
        </w:tc>
        <w:tc>
          <w:tcPr>
            <w:tcW w:w="2296" w:type="dxa"/>
            <w:tcBorders>
              <w:top w:val="nil"/>
              <w:left w:val="single" w:sz="8" w:space="0" w:color="auto"/>
              <w:bottom w:val="single" w:sz="8" w:space="0" w:color="auto"/>
              <w:right w:val="single" w:sz="8" w:space="0" w:color="auto"/>
            </w:tcBorders>
            <w:noWrap/>
            <w:vAlign w:val="center"/>
          </w:tcPr>
          <w:p w14:paraId="707F7304" w14:textId="32F5B2C2" w:rsidR="00AA758E" w:rsidRPr="00AA758E" w:rsidRDefault="00AA758E" w:rsidP="00AA758E">
            <w:pPr>
              <w:jc w:val="center"/>
              <w:rPr>
                <w:rFonts w:ascii="Verdana" w:hAnsi="Verdana"/>
                <w:color w:val="000000"/>
              </w:rPr>
            </w:pPr>
            <w:r w:rsidRPr="00AA758E">
              <w:rPr>
                <w:rFonts w:ascii="Verdana" w:hAnsi="Verdana"/>
                <w:color w:val="000000"/>
              </w:rPr>
              <w:t>1</w:t>
            </w:r>
          </w:p>
        </w:tc>
        <w:tc>
          <w:tcPr>
            <w:tcW w:w="1835" w:type="dxa"/>
            <w:tcBorders>
              <w:top w:val="nil"/>
              <w:left w:val="single" w:sz="4" w:space="0" w:color="auto"/>
              <w:bottom w:val="single" w:sz="4" w:space="0" w:color="auto"/>
              <w:right w:val="single" w:sz="4" w:space="0" w:color="auto"/>
            </w:tcBorders>
            <w:vAlign w:val="bottom"/>
          </w:tcPr>
          <w:p w14:paraId="646C63A7" w14:textId="3C175380" w:rsidR="00AA758E" w:rsidRPr="00AA758E" w:rsidRDefault="00AA758E" w:rsidP="00AA758E">
            <w:pPr>
              <w:jc w:val="center"/>
              <w:rPr>
                <w:rFonts w:ascii="Verdana" w:hAnsi="Verdana"/>
                <w:color w:val="000000"/>
              </w:rPr>
            </w:pPr>
            <w:r w:rsidRPr="00AA758E">
              <w:rPr>
                <w:rFonts w:ascii="Verdana" w:hAnsi="Verdana"/>
                <w:color w:val="000000"/>
              </w:rPr>
              <w:t>98,34%</w:t>
            </w:r>
          </w:p>
        </w:tc>
        <w:tc>
          <w:tcPr>
            <w:tcW w:w="1487" w:type="dxa"/>
            <w:vMerge/>
            <w:tcBorders>
              <w:left w:val="single" w:sz="4" w:space="0" w:color="auto"/>
              <w:right w:val="single" w:sz="4" w:space="0" w:color="auto"/>
            </w:tcBorders>
            <w:shd w:val="clear" w:color="000000" w:fill="DAE9F8"/>
          </w:tcPr>
          <w:p w14:paraId="2D37D99B" w14:textId="77777777" w:rsidR="00AA758E" w:rsidRPr="00AA758E" w:rsidRDefault="00AA758E" w:rsidP="00AA758E">
            <w:pPr>
              <w:jc w:val="center"/>
              <w:rPr>
                <w:rFonts w:ascii="Verdana" w:hAnsi="Verdana"/>
                <w:color w:val="000000"/>
                <w:lang w:eastAsia="es-CO"/>
              </w:rPr>
            </w:pPr>
          </w:p>
        </w:tc>
      </w:tr>
      <w:tr w:rsidR="00AA758E" w:rsidRPr="00AA758E" w14:paraId="7A329822" w14:textId="77777777">
        <w:trPr>
          <w:trHeight w:val="315"/>
          <w:jc w:val="center"/>
        </w:trPr>
        <w:tc>
          <w:tcPr>
            <w:tcW w:w="3220" w:type="dxa"/>
            <w:tcBorders>
              <w:top w:val="nil"/>
              <w:left w:val="nil"/>
              <w:bottom w:val="nil"/>
              <w:right w:val="single" w:sz="4" w:space="0" w:color="auto"/>
            </w:tcBorders>
            <w:noWrap/>
            <w:vAlign w:val="bottom"/>
            <w:hideMark/>
          </w:tcPr>
          <w:p w14:paraId="747950E1" w14:textId="77777777" w:rsidR="00AA758E" w:rsidRPr="00AA758E" w:rsidRDefault="00AA758E" w:rsidP="00AA758E">
            <w:pPr>
              <w:rPr>
                <w:rFonts w:ascii="Verdana" w:hAnsi="Verdana"/>
                <w:color w:val="000000"/>
                <w:lang w:eastAsia="es-CO"/>
              </w:rPr>
            </w:pPr>
            <w:r w:rsidRPr="00AA758E">
              <w:rPr>
                <w:rFonts w:ascii="Verdana" w:hAnsi="Verdana"/>
                <w:color w:val="000000"/>
                <w:lang w:eastAsia="es-CO"/>
              </w:rPr>
              <w:t>Rentabilidad sobre Patrimonio</w:t>
            </w:r>
          </w:p>
        </w:tc>
        <w:tc>
          <w:tcPr>
            <w:tcW w:w="2296" w:type="dxa"/>
            <w:tcBorders>
              <w:top w:val="nil"/>
              <w:left w:val="single" w:sz="8" w:space="0" w:color="auto"/>
              <w:bottom w:val="single" w:sz="8" w:space="0" w:color="auto"/>
              <w:right w:val="single" w:sz="8" w:space="0" w:color="auto"/>
            </w:tcBorders>
            <w:noWrap/>
            <w:vAlign w:val="center"/>
          </w:tcPr>
          <w:p w14:paraId="6D20C6D0" w14:textId="63EE5E4A" w:rsidR="00AA758E" w:rsidRPr="00AA758E" w:rsidRDefault="00AA758E" w:rsidP="00AA758E">
            <w:pPr>
              <w:jc w:val="center"/>
              <w:rPr>
                <w:rFonts w:ascii="Verdana" w:hAnsi="Verdana"/>
                <w:color w:val="000000"/>
              </w:rPr>
            </w:pPr>
            <w:r w:rsidRPr="00AA758E">
              <w:rPr>
                <w:rFonts w:ascii="Verdana" w:hAnsi="Verdana"/>
                <w:color w:val="000000"/>
              </w:rPr>
              <w:t>0,02</w:t>
            </w:r>
          </w:p>
        </w:tc>
        <w:tc>
          <w:tcPr>
            <w:tcW w:w="1835" w:type="dxa"/>
            <w:tcBorders>
              <w:top w:val="nil"/>
              <w:left w:val="single" w:sz="4" w:space="0" w:color="auto"/>
              <w:bottom w:val="single" w:sz="4" w:space="0" w:color="auto"/>
              <w:right w:val="single" w:sz="4" w:space="0" w:color="auto"/>
            </w:tcBorders>
            <w:vAlign w:val="bottom"/>
          </w:tcPr>
          <w:p w14:paraId="1D781C2A" w14:textId="096FFAB2" w:rsidR="00AA758E" w:rsidRPr="00AA758E" w:rsidRDefault="00AA758E" w:rsidP="00AA758E">
            <w:pPr>
              <w:jc w:val="center"/>
              <w:rPr>
                <w:rFonts w:ascii="Verdana" w:hAnsi="Verdana"/>
                <w:color w:val="000000"/>
              </w:rPr>
            </w:pPr>
            <w:r w:rsidRPr="00AA758E">
              <w:rPr>
                <w:rFonts w:ascii="Verdana" w:hAnsi="Verdana"/>
                <w:color w:val="000000"/>
              </w:rPr>
              <w:t>95,45%</w:t>
            </w:r>
          </w:p>
        </w:tc>
        <w:tc>
          <w:tcPr>
            <w:tcW w:w="1487" w:type="dxa"/>
            <w:vMerge/>
            <w:tcBorders>
              <w:left w:val="single" w:sz="4" w:space="0" w:color="auto"/>
              <w:right w:val="single" w:sz="4" w:space="0" w:color="auto"/>
            </w:tcBorders>
            <w:shd w:val="clear" w:color="000000" w:fill="DAE9F8"/>
          </w:tcPr>
          <w:p w14:paraId="23DD41D0" w14:textId="77777777" w:rsidR="00AA758E" w:rsidRPr="00AA758E" w:rsidRDefault="00AA758E" w:rsidP="00AA758E">
            <w:pPr>
              <w:jc w:val="center"/>
              <w:rPr>
                <w:rFonts w:ascii="Verdana" w:hAnsi="Verdana"/>
                <w:color w:val="000000"/>
                <w:lang w:eastAsia="es-CO"/>
              </w:rPr>
            </w:pPr>
          </w:p>
        </w:tc>
      </w:tr>
      <w:tr w:rsidR="00AA758E" w:rsidRPr="00AA758E" w14:paraId="7E86ECAD" w14:textId="77777777">
        <w:trPr>
          <w:trHeight w:val="315"/>
          <w:jc w:val="center"/>
        </w:trPr>
        <w:tc>
          <w:tcPr>
            <w:tcW w:w="3220" w:type="dxa"/>
            <w:tcBorders>
              <w:top w:val="nil"/>
              <w:left w:val="nil"/>
              <w:bottom w:val="nil"/>
              <w:right w:val="single" w:sz="4" w:space="0" w:color="auto"/>
            </w:tcBorders>
            <w:noWrap/>
            <w:vAlign w:val="bottom"/>
            <w:hideMark/>
          </w:tcPr>
          <w:p w14:paraId="02034CD0" w14:textId="77777777" w:rsidR="00AA758E" w:rsidRPr="00AA758E" w:rsidRDefault="00AA758E" w:rsidP="00AA758E">
            <w:pPr>
              <w:rPr>
                <w:rFonts w:ascii="Verdana" w:hAnsi="Verdana"/>
                <w:color w:val="000000"/>
                <w:lang w:eastAsia="es-CO"/>
              </w:rPr>
            </w:pPr>
            <w:r w:rsidRPr="00AA758E">
              <w:rPr>
                <w:rFonts w:ascii="Verdana" w:hAnsi="Verdana"/>
                <w:color w:val="000000"/>
                <w:lang w:eastAsia="es-CO"/>
              </w:rPr>
              <w:t>Rentabilidad sobre Activo</w:t>
            </w:r>
          </w:p>
        </w:tc>
        <w:tc>
          <w:tcPr>
            <w:tcW w:w="2296" w:type="dxa"/>
            <w:tcBorders>
              <w:top w:val="nil"/>
              <w:left w:val="single" w:sz="8" w:space="0" w:color="auto"/>
              <w:bottom w:val="single" w:sz="8" w:space="0" w:color="auto"/>
              <w:right w:val="single" w:sz="8" w:space="0" w:color="auto"/>
            </w:tcBorders>
            <w:noWrap/>
            <w:vAlign w:val="center"/>
          </w:tcPr>
          <w:p w14:paraId="53A66FCC" w14:textId="1904CF76" w:rsidR="00AA758E" w:rsidRPr="00AA758E" w:rsidRDefault="00AA758E" w:rsidP="00AA758E">
            <w:pPr>
              <w:jc w:val="center"/>
              <w:rPr>
                <w:rFonts w:ascii="Verdana" w:hAnsi="Verdana"/>
                <w:color w:val="000000"/>
              </w:rPr>
            </w:pPr>
            <w:r w:rsidRPr="00AA758E">
              <w:rPr>
                <w:rFonts w:ascii="Verdana" w:hAnsi="Verdana"/>
                <w:color w:val="000000"/>
              </w:rPr>
              <w:t>0,01</w:t>
            </w:r>
          </w:p>
        </w:tc>
        <w:tc>
          <w:tcPr>
            <w:tcW w:w="1835" w:type="dxa"/>
            <w:tcBorders>
              <w:top w:val="nil"/>
              <w:left w:val="single" w:sz="4" w:space="0" w:color="auto"/>
              <w:bottom w:val="single" w:sz="4" w:space="0" w:color="auto"/>
              <w:right w:val="single" w:sz="4" w:space="0" w:color="auto"/>
            </w:tcBorders>
            <w:vAlign w:val="bottom"/>
          </w:tcPr>
          <w:p w14:paraId="331BD3B5" w14:textId="6CD80CD5" w:rsidR="00AA758E" w:rsidRPr="00AA758E" w:rsidRDefault="00AA758E" w:rsidP="00AA758E">
            <w:pPr>
              <w:jc w:val="center"/>
              <w:rPr>
                <w:rFonts w:ascii="Verdana" w:hAnsi="Verdana"/>
                <w:color w:val="000000"/>
              </w:rPr>
            </w:pPr>
            <w:r w:rsidRPr="00AA758E">
              <w:rPr>
                <w:rFonts w:ascii="Verdana" w:hAnsi="Verdana"/>
                <w:color w:val="000000"/>
              </w:rPr>
              <w:t>96,27%</w:t>
            </w:r>
          </w:p>
        </w:tc>
        <w:tc>
          <w:tcPr>
            <w:tcW w:w="1487" w:type="dxa"/>
            <w:vMerge/>
            <w:tcBorders>
              <w:left w:val="single" w:sz="4" w:space="0" w:color="auto"/>
              <w:bottom w:val="single" w:sz="4" w:space="0" w:color="auto"/>
              <w:right w:val="single" w:sz="4" w:space="0" w:color="auto"/>
            </w:tcBorders>
            <w:shd w:val="clear" w:color="000000" w:fill="DAE9F8"/>
          </w:tcPr>
          <w:p w14:paraId="4D959521" w14:textId="77777777" w:rsidR="00AA758E" w:rsidRPr="00AA758E" w:rsidRDefault="00AA758E" w:rsidP="00AA758E">
            <w:pPr>
              <w:jc w:val="center"/>
              <w:rPr>
                <w:rFonts w:ascii="Verdana" w:hAnsi="Verdana"/>
                <w:color w:val="000000"/>
                <w:lang w:eastAsia="es-CO"/>
              </w:rPr>
            </w:pPr>
          </w:p>
        </w:tc>
      </w:tr>
    </w:tbl>
    <w:p w14:paraId="193292F3" w14:textId="77777777" w:rsidR="00FE04D9" w:rsidRDefault="00FE04D9" w:rsidP="00FE04D9">
      <w:pPr>
        <w:ind w:left="66"/>
        <w:jc w:val="both"/>
        <w:rPr>
          <w:rFonts w:ascii="Verdana" w:hAnsi="Verdana"/>
          <w:sz w:val="20"/>
          <w:szCs w:val="20"/>
          <w:lang w:val="es-MX"/>
        </w:rPr>
      </w:pPr>
    </w:p>
    <w:p w14:paraId="5AD8A358" w14:textId="77777777" w:rsidR="00AC384C" w:rsidRPr="00AC384C" w:rsidRDefault="00AC384C" w:rsidP="00AC384C">
      <w:pPr>
        <w:jc w:val="center"/>
        <w:rPr>
          <w:rFonts w:ascii="Verdana" w:eastAsia="Verdana Pro" w:hAnsi="Verdana" w:cs="Verdana Pro"/>
          <w:b/>
          <w:sz w:val="22"/>
          <w:szCs w:val="22"/>
          <w:lang w:val="es-MX"/>
        </w:rPr>
      </w:pPr>
      <w:r w:rsidRPr="00AC384C">
        <w:rPr>
          <w:rFonts w:ascii="Verdana" w:eastAsia="Verdana Pro" w:hAnsi="Verdana" w:cs="Verdana Pro"/>
          <w:b/>
          <w:sz w:val="22"/>
          <w:szCs w:val="22"/>
          <w:lang w:val="es-MX"/>
        </w:rPr>
        <w:t xml:space="preserve">Fuente: </w:t>
      </w:r>
      <w:r w:rsidRPr="00AC384C">
        <w:rPr>
          <w:rFonts w:ascii="Verdana" w:eastAsia="Verdana Pro" w:hAnsi="Verdana" w:cs="Verdana Pro"/>
          <w:bCs/>
          <w:sz w:val="22"/>
          <w:szCs w:val="22"/>
          <w:lang w:val="es-MX"/>
        </w:rPr>
        <w:t>Elaboración propia</w:t>
      </w:r>
    </w:p>
    <w:p w14:paraId="513F7320" w14:textId="77777777" w:rsidR="00622AF3" w:rsidRDefault="00622AF3" w:rsidP="00303AC1">
      <w:pPr>
        <w:pStyle w:val="Prrafodelista"/>
        <w:ind w:left="0"/>
        <w:rPr>
          <w:rFonts w:ascii="Verdana" w:hAnsi="Verdana" w:cs="Arial"/>
          <w:lang w:val="es-MX"/>
        </w:rPr>
      </w:pPr>
    </w:p>
    <w:p w14:paraId="3F6F782D" w14:textId="4891E140" w:rsidR="00622AF3" w:rsidRDefault="00652009" w:rsidP="00303AC1">
      <w:pPr>
        <w:pStyle w:val="Prrafodelista"/>
        <w:ind w:left="0"/>
        <w:rPr>
          <w:rFonts w:ascii="Verdana" w:eastAsia="Times New Roman" w:hAnsi="Verdana" w:cs="Arial"/>
          <w:b/>
          <w:bCs/>
          <w:lang w:eastAsia="es-MX"/>
        </w:rPr>
      </w:pPr>
      <w:r>
        <w:rPr>
          <w:rFonts w:ascii="Verdana" w:hAnsi="Verdana" w:cs="Arial"/>
          <w:b/>
          <w:bCs/>
          <w:lang w:val="es-MX"/>
        </w:rPr>
        <w:t>Jurídicos</w:t>
      </w:r>
    </w:p>
    <w:p w14:paraId="556D0978" w14:textId="77777777" w:rsidR="00652009" w:rsidRDefault="00652009" w:rsidP="00303AC1">
      <w:pPr>
        <w:pStyle w:val="Prrafodelista"/>
        <w:ind w:left="0"/>
        <w:rPr>
          <w:rFonts w:ascii="Verdana" w:eastAsia="Times New Roman" w:hAnsi="Verdana" w:cs="Arial"/>
          <w:b/>
          <w:bCs/>
          <w:lang w:eastAsia="es-MX"/>
        </w:rPr>
      </w:pPr>
    </w:p>
    <w:p w14:paraId="1414ABEA" w14:textId="149946E7" w:rsidR="00652009" w:rsidRPr="001959E5" w:rsidRDefault="004915A7" w:rsidP="00303AC1">
      <w:pPr>
        <w:pStyle w:val="Prrafodelista"/>
        <w:ind w:left="0"/>
        <w:rPr>
          <w:rFonts w:ascii="Verdana" w:eastAsia="Times New Roman" w:hAnsi="Verdana" w:cs="Arial"/>
          <w:lang w:eastAsia="es-MX"/>
        </w:rPr>
      </w:pPr>
      <w:r w:rsidRPr="001959E5">
        <w:rPr>
          <w:rFonts w:ascii="Verdana" w:eastAsia="Times New Roman" w:hAnsi="Verdana" w:cs="Arial"/>
          <w:lang w:eastAsia="es-MX"/>
        </w:rPr>
        <w:t xml:space="preserve">No se consideró procedente establecer un valor diferencial para la garantía de seriedad de la oferta a favor de </w:t>
      </w:r>
      <w:r w:rsidR="00544C31" w:rsidRPr="001959E5">
        <w:rPr>
          <w:rFonts w:ascii="Verdana" w:eastAsia="Times New Roman" w:hAnsi="Verdana" w:cs="Arial"/>
          <w:lang w:eastAsia="es-MX"/>
        </w:rPr>
        <w:t>MiPymes</w:t>
      </w:r>
      <w:r w:rsidRPr="001959E5">
        <w:rPr>
          <w:rFonts w:ascii="Verdana" w:eastAsia="Times New Roman" w:hAnsi="Verdana" w:cs="Arial"/>
          <w:lang w:eastAsia="es-MX"/>
        </w:rPr>
        <w:t>, toda vez que ello podría generar una barrera injustificada frente a los demás oferentes y afectar los principios de igualdad y libre concurrencia en los procesos de contratación. Adicionalmente, no existe información suficiente que permita determinar con certeza la participación de este tipo de empresas en el mercado ni en los procesos de contratación estatal, ni evidencias que demuestren que una medida de esta naturaleza produciría un efecto positivo. De igual forma, en los proyectos de obra pública resulta fundamental garantizar que todos los oferentes asuman en igualdad de condiciones las consecuencias derivadas de la no suscripción del contrato, razón por la cual se considera necesario mantener un porcentaje uniforme de la garantía de seriedad de la oferta para todos los participantes.</w:t>
      </w:r>
    </w:p>
    <w:p w14:paraId="379F8097" w14:textId="77777777" w:rsidR="00622AF3" w:rsidRPr="00622AF3" w:rsidRDefault="00622AF3" w:rsidP="00303AC1">
      <w:pPr>
        <w:pStyle w:val="Prrafodelista"/>
        <w:ind w:left="0"/>
        <w:rPr>
          <w:rFonts w:ascii="Verdana" w:hAnsi="Verdana" w:cs="Arial"/>
          <w:b/>
          <w:bCs/>
          <w:lang w:val="es-MX"/>
        </w:rPr>
      </w:pPr>
    </w:p>
    <w:p w14:paraId="1A0A4444" w14:textId="5FD5564B" w:rsidR="000A6BB8" w:rsidRPr="00611315" w:rsidRDefault="00544C31" w:rsidP="00E42FDE">
      <w:pPr>
        <w:pStyle w:val="Ttulo2"/>
        <w:numPr>
          <w:ilvl w:val="0"/>
          <w:numId w:val="47"/>
        </w:numPr>
        <w:jc w:val="both"/>
        <w:rPr>
          <w:rFonts w:ascii="Verdana" w:hAnsi="Verdana" w:cs="Arial"/>
          <w:color w:val="auto"/>
          <w:szCs w:val="22"/>
        </w:rPr>
      </w:pPr>
      <w:bookmarkStart w:id="562" w:name="_Toc231368620"/>
      <w:r w:rsidRPr="00611315">
        <w:rPr>
          <w:rFonts w:ascii="Verdana" w:hAnsi="Verdana" w:cs="Arial"/>
          <w:color w:val="auto"/>
          <w:szCs w:val="22"/>
        </w:rPr>
        <w:t>CRITERIOS ESCOGIDOS COMO REQUISITOS HABILITANTES DIFERENCIALES EN FAVOR DE LOS EMPRENDIMIENTOS Y EMPRESAS DE MUJERES (EXPERIENCIA / FINANCIEROS / JURÍDICOS)</w:t>
      </w:r>
      <w:bookmarkEnd w:id="562"/>
    </w:p>
    <w:p w14:paraId="4DA6F1C8" w14:textId="77777777" w:rsidR="000A6BB8" w:rsidRPr="00611315" w:rsidRDefault="000A6BB8" w:rsidP="000A6BB8">
      <w:pPr>
        <w:rPr>
          <w:rFonts w:ascii="Verdana" w:hAnsi="Verdana" w:cs="Arial"/>
          <w:sz w:val="22"/>
          <w:szCs w:val="22"/>
        </w:rPr>
      </w:pPr>
    </w:p>
    <w:p w14:paraId="64A8FCC8" w14:textId="7A4F31EF" w:rsidR="00180C71" w:rsidRPr="006A2B5E" w:rsidRDefault="00180C71" w:rsidP="00180C71">
      <w:pPr>
        <w:pStyle w:val="Normal0"/>
        <w:spacing w:after="0"/>
        <w:contextualSpacing/>
        <w:rPr>
          <w:rFonts w:ascii="Verdana" w:eastAsia="Times New Roman" w:hAnsi="Verdana" w:cs="Arial"/>
          <w:b/>
          <w:lang w:val="es-CO" w:eastAsia="es-MX"/>
        </w:rPr>
      </w:pPr>
      <w:r w:rsidRPr="006A2B5E">
        <w:rPr>
          <w:rFonts w:ascii="Verdana" w:eastAsia="Times New Roman" w:hAnsi="Verdana" w:cs="Arial"/>
          <w:b/>
          <w:lang w:val="es-CO" w:eastAsia="es-MX"/>
        </w:rPr>
        <w:t>Experiencia</w:t>
      </w:r>
    </w:p>
    <w:p w14:paraId="41F65ECC" w14:textId="77777777" w:rsidR="00180C71" w:rsidRPr="00611315" w:rsidRDefault="00180C71" w:rsidP="00180C71">
      <w:pPr>
        <w:pStyle w:val="Normal0"/>
        <w:spacing w:after="0"/>
        <w:contextualSpacing/>
        <w:rPr>
          <w:rFonts w:ascii="Verdana" w:hAnsi="Verdana" w:cs="Arial"/>
          <w:highlight w:val="yellow"/>
        </w:rPr>
      </w:pPr>
    </w:p>
    <w:p w14:paraId="5D8EE26E" w14:textId="77777777" w:rsidR="00180C71" w:rsidRPr="00954F93" w:rsidRDefault="00180C71" w:rsidP="00180C71">
      <w:pPr>
        <w:pStyle w:val="Normal0"/>
        <w:spacing w:after="0"/>
        <w:contextualSpacing/>
        <w:rPr>
          <w:rFonts w:ascii="Verdana" w:hAnsi="Verdana" w:cs="Arial"/>
        </w:rPr>
      </w:pPr>
      <w:r w:rsidRPr="00954F93">
        <w:rPr>
          <w:rFonts w:ascii="Verdana" w:hAnsi="Verdana" w:cs="Arial"/>
        </w:rPr>
        <w:t xml:space="preserve">Si bien el artículo 32 de la Ley 2069 de 2020 dispone el deber de las Entidades Estatales de incluir, de acuerdo con el resultado del análisis del sector, requisitos habilitantes y puntajes adicionales como medidas de acción afirmativa para incentivar los emprendimientos y empresas de mujeres en el sistema de compras públicas y que, el artículo 2.2.1.2.4.2.15 del Decreto 1082 de 2015, modificado por el artículo 3 del Decreto 1860 de 2021, reglamentó los criterios diferenciales a favor de los emprendimientos y empresas de mujeres y señaló que los documentos del proceso deberían incorporar requisitos habilitantes diferenciales relacionados con alguno o algunos de los siguientes aspectos: 1) tiempo de experiencia; 2) número de contratos para la acreditación de la experiencia; 3) índices de capacidad financiera; 4) índices de capacidad organizacional y 5) valor de la garantía de seriedad de la oferta. Al igual que en el caso de los criterios diferenciales a favor de las </w:t>
      </w:r>
      <w:proofErr w:type="spellStart"/>
      <w:r w:rsidRPr="00954F93">
        <w:rPr>
          <w:rFonts w:ascii="Verdana" w:hAnsi="Verdana" w:cs="Arial"/>
        </w:rPr>
        <w:t>Mipyme</w:t>
      </w:r>
      <w:proofErr w:type="spellEnd"/>
      <w:r w:rsidRPr="00954F93">
        <w:rPr>
          <w:rFonts w:ascii="Verdana" w:hAnsi="Verdana" w:cs="Arial"/>
        </w:rPr>
        <w:t xml:space="preserve">, respecto de los emprendimientos y empresas de mujeres, las Entidades Estatales podrán escoger alguno o algunos de los cinco (5) criterios enunciados, sin que sea obligatorio hacer uso de todos. Asimismo, se resalta del citado artículo, que en su inciso primero consagra que los factores se incluirán de acuerdo con el estudio del sector que se realice. </w:t>
      </w:r>
    </w:p>
    <w:p w14:paraId="38E32927" w14:textId="77777777" w:rsidR="00180C71" w:rsidRPr="00954F93" w:rsidRDefault="00180C71" w:rsidP="00180C71">
      <w:pPr>
        <w:pStyle w:val="Normal0"/>
        <w:spacing w:after="0"/>
        <w:contextualSpacing/>
        <w:rPr>
          <w:rFonts w:ascii="Verdana" w:hAnsi="Verdana" w:cs="Arial"/>
        </w:rPr>
      </w:pPr>
    </w:p>
    <w:p w14:paraId="2C5FEADC" w14:textId="7E70D9E7" w:rsidR="00180C71" w:rsidRPr="00954F93" w:rsidRDefault="00180C71" w:rsidP="00180C71">
      <w:pPr>
        <w:jc w:val="both"/>
        <w:rPr>
          <w:rFonts w:ascii="Verdana" w:eastAsia="Calibri" w:hAnsi="Verdana" w:cs="Arial"/>
          <w:sz w:val="22"/>
          <w:szCs w:val="22"/>
          <w:lang w:val="es-ES" w:eastAsia="es-CO"/>
        </w:rPr>
      </w:pPr>
      <w:r w:rsidRPr="00954F93">
        <w:rPr>
          <w:rFonts w:ascii="Verdana" w:eastAsia="Calibri" w:hAnsi="Verdana" w:cs="Arial"/>
          <w:sz w:val="22"/>
          <w:szCs w:val="22"/>
          <w:lang w:val="es-ES" w:eastAsia="es-CO"/>
        </w:rPr>
        <w:lastRenderedPageBreak/>
        <w:t xml:space="preserve">En tal sentido, la Agencia al igual que para las </w:t>
      </w:r>
      <w:r w:rsidR="0006496B" w:rsidRPr="00954F93">
        <w:rPr>
          <w:rFonts w:ascii="Verdana" w:eastAsia="Calibri" w:hAnsi="Verdana" w:cs="Arial"/>
          <w:sz w:val="22"/>
          <w:szCs w:val="22"/>
          <w:lang w:val="es-ES" w:eastAsia="es-CO"/>
        </w:rPr>
        <w:t>MiPymes</w:t>
      </w:r>
      <w:r w:rsidRPr="00954F93">
        <w:rPr>
          <w:rFonts w:ascii="Verdana" w:eastAsia="Calibri" w:hAnsi="Verdana" w:cs="Arial"/>
          <w:sz w:val="22"/>
          <w:szCs w:val="22"/>
          <w:lang w:val="es-ES" w:eastAsia="es-CO"/>
        </w:rPr>
        <w:t xml:space="preserve"> decidió mantener los criterios diferenciales a favor de Emprendimiento y Empresas de Mujeres relacionados con el número de contratos para acreditarla, Tal como se indicó en el numeral anterior, para las </w:t>
      </w:r>
      <w:proofErr w:type="spellStart"/>
      <w:r w:rsidRPr="00954F93">
        <w:rPr>
          <w:rFonts w:ascii="Verdana" w:eastAsia="Calibri" w:hAnsi="Verdana" w:cs="Arial"/>
          <w:sz w:val="22"/>
          <w:szCs w:val="22"/>
          <w:lang w:val="es-ES" w:eastAsia="es-CO"/>
        </w:rPr>
        <w:t>Mipyme</w:t>
      </w:r>
      <w:proofErr w:type="spellEnd"/>
      <w:r w:rsidRPr="00954F93">
        <w:rPr>
          <w:rFonts w:ascii="Verdana" w:eastAsia="Calibri" w:hAnsi="Verdana" w:cs="Arial"/>
          <w:sz w:val="22"/>
          <w:szCs w:val="22"/>
          <w:lang w:val="es-ES" w:eastAsia="es-CO"/>
        </w:rPr>
        <w:t>, al incluir condiciones más flexibles para acreditar la experiencia de los emprendimientos y empresas de mujeres, se garantiza una mayor pluralidad de oferentes que ostentan tal calidad al tiempo que la Entidad Estatal asegura que tiene la n</w:t>
      </w:r>
    </w:p>
    <w:p w14:paraId="01FA5324" w14:textId="33B9F54D" w:rsidR="00180C71" w:rsidRPr="00954F93" w:rsidRDefault="00180C71" w:rsidP="00180C71">
      <w:pPr>
        <w:jc w:val="both"/>
        <w:rPr>
          <w:rFonts w:ascii="Verdana" w:eastAsia="Calibri" w:hAnsi="Verdana" w:cs="Arial"/>
          <w:sz w:val="22"/>
          <w:szCs w:val="22"/>
          <w:lang w:val="es-ES" w:eastAsia="es-CO"/>
        </w:rPr>
      </w:pPr>
      <w:r w:rsidRPr="00954F93">
        <w:rPr>
          <w:rFonts w:ascii="Verdana" w:eastAsia="Calibri" w:hAnsi="Verdana" w:cs="Arial"/>
          <w:sz w:val="22"/>
          <w:szCs w:val="22"/>
          <w:lang w:val="es-ES" w:eastAsia="es-CO"/>
        </w:rPr>
        <w:t xml:space="preserve">Mantener el criterio que establece, que para el proponente que acredite la calidad de emprendimiento y empresa de mujer con domicilio en el territorio nacional podrá probar la experiencia solicitada con un (1) contrato adicional a los cinco (5) inicialmente previstos, para un máximo de seis (6) contratos, se considera a juicio de esta Agencia, como un aspecto objetivo, proporcional y razonable, en la medida que se pretende que más proponentes con esta condición puedan habilitarse en procesos de selección, </w:t>
      </w:r>
    </w:p>
    <w:p w14:paraId="0C6174C1" w14:textId="4711C9BF" w:rsidR="006C42A0" w:rsidRPr="00954F93" w:rsidRDefault="006A3996" w:rsidP="006C42A0">
      <w:pPr>
        <w:jc w:val="both"/>
        <w:rPr>
          <w:rFonts w:ascii="Verdana" w:hAnsi="Verdana" w:cs="Arial"/>
          <w:iCs/>
          <w:sz w:val="22"/>
          <w:szCs w:val="22"/>
          <w:lang w:eastAsia="es-ES"/>
        </w:rPr>
      </w:pPr>
      <w:r w:rsidRPr="00954F93">
        <w:rPr>
          <w:rFonts w:ascii="Verdana" w:hAnsi="Verdana" w:cs="Arial"/>
          <w:iCs/>
          <w:sz w:val="22"/>
          <w:szCs w:val="22"/>
          <w:lang w:eastAsia="es-ES"/>
        </w:rPr>
        <w:t xml:space="preserve">En adición a lo anterior y </w:t>
      </w:r>
      <w:r w:rsidR="0065523E" w:rsidRPr="00954F93">
        <w:rPr>
          <w:rFonts w:ascii="Verdana" w:hAnsi="Verdana" w:cs="Arial"/>
          <w:iCs/>
          <w:sz w:val="22"/>
          <w:szCs w:val="22"/>
          <w:lang w:eastAsia="es-ES"/>
        </w:rPr>
        <w:t xml:space="preserve">en congruencia con el decreto 287 de 2026 se establece que </w:t>
      </w:r>
      <w:r w:rsidR="006C42A0" w:rsidRPr="00954F93">
        <w:rPr>
          <w:rFonts w:ascii="Verdana" w:hAnsi="Verdana" w:cs="Arial"/>
          <w:iCs/>
          <w:sz w:val="22"/>
          <w:szCs w:val="22"/>
          <w:lang w:eastAsia="es-ES"/>
        </w:rPr>
        <w:t>“Si el número de contratos aportados supera los cinco (5) inicialmente previstos en este numeral, debido a la posibilidad de allegar contratos adicionales por tratarse de una </w:t>
      </w:r>
      <w:proofErr w:type="spellStart"/>
      <w:r w:rsidR="006C42A0" w:rsidRPr="00954F93">
        <w:rPr>
          <w:rFonts w:ascii="Verdana" w:hAnsi="Verdana" w:cs="Arial"/>
          <w:iCs/>
          <w:sz w:val="22"/>
          <w:szCs w:val="22"/>
          <w:lang w:eastAsia="es-ES"/>
        </w:rPr>
        <w:t>Mipyme</w:t>
      </w:r>
      <w:proofErr w:type="spellEnd"/>
      <w:r w:rsidR="006C42A0" w:rsidRPr="00954F93">
        <w:rPr>
          <w:rFonts w:ascii="Verdana" w:hAnsi="Verdana" w:cs="Arial"/>
          <w:iCs/>
          <w:sz w:val="22"/>
          <w:szCs w:val="22"/>
          <w:lang w:eastAsia="es-ES"/>
        </w:rPr>
        <w:t xml:space="preserve"> y/o emprendimiento y empresa de mujer y/o emprendimiento y empresa de personas con discapacidad, estos contratos adicionales, ya sean seis (6), siete (7) u ocho (8) -dependiendo si acredita una, dos o todas las condiciones-, se tendrán en cuenta para demostrar el valor del ciento cincuenta por ciento (150 %) del valor del Presupuesto Oficial”</w:t>
      </w:r>
      <w:r w:rsidR="00C11F35" w:rsidRPr="00954F93">
        <w:rPr>
          <w:rFonts w:ascii="Verdana" w:hAnsi="Verdana" w:cs="Arial"/>
          <w:iCs/>
          <w:sz w:val="22"/>
          <w:szCs w:val="22"/>
          <w:lang w:eastAsia="es-ES"/>
        </w:rPr>
        <w:t>.</w:t>
      </w:r>
    </w:p>
    <w:p w14:paraId="7C31EEE6" w14:textId="77777777" w:rsidR="006C42A0" w:rsidRPr="00954F93" w:rsidRDefault="006C42A0" w:rsidP="00180C71">
      <w:pPr>
        <w:jc w:val="both"/>
        <w:rPr>
          <w:rFonts w:ascii="Verdana" w:eastAsia="Calibri" w:hAnsi="Verdana" w:cs="Arial"/>
          <w:sz w:val="22"/>
          <w:szCs w:val="22"/>
          <w:lang w:val="es-ES" w:eastAsia="es-CO"/>
        </w:rPr>
      </w:pPr>
    </w:p>
    <w:p w14:paraId="7B543C8E" w14:textId="77777777" w:rsidR="00180C71" w:rsidRPr="00954F93" w:rsidRDefault="00180C71" w:rsidP="00180C71">
      <w:pPr>
        <w:jc w:val="both"/>
        <w:rPr>
          <w:rFonts w:ascii="Verdana" w:eastAsia="Calibri" w:hAnsi="Verdana" w:cs="Arial"/>
          <w:sz w:val="22"/>
          <w:szCs w:val="22"/>
          <w:lang w:val="es-ES" w:eastAsia="es-CO"/>
        </w:rPr>
      </w:pPr>
      <w:r w:rsidRPr="00954F93">
        <w:rPr>
          <w:rFonts w:ascii="Verdana" w:eastAsia="Calibri" w:hAnsi="Verdana" w:cs="Arial"/>
          <w:sz w:val="22"/>
          <w:szCs w:val="22"/>
          <w:lang w:val="es-ES" w:eastAsia="es-CO"/>
        </w:rPr>
        <w:t>De esta forma, se mantiene la consideración en la que se pretende evitar que queden excluidos aquellos proponentes que teniendo la experiencia necesaria no pueden participar en el proceso de selección, debido a que dicha experiencia solo es posible acreditarla con un número mayor a los cinco (5) contratos permitidos en los documentos tipo.</w:t>
      </w:r>
    </w:p>
    <w:p w14:paraId="41B4B8DD" w14:textId="77777777" w:rsidR="002E4EF6" w:rsidRPr="00E006F9" w:rsidRDefault="002E4EF6" w:rsidP="00180C71">
      <w:pPr>
        <w:jc w:val="both"/>
        <w:rPr>
          <w:rFonts w:ascii="Verdana" w:eastAsia="Calibri" w:hAnsi="Verdana" w:cs="Arial"/>
          <w:sz w:val="22"/>
          <w:szCs w:val="22"/>
          <w:lang w:val="es-ES" w:eastAsia="es-CO"/>
        </w:rPr>
      </w:pPr>
    </w:p>
    <w:p w14:paraId="49CE8706" w14:textId="77777777" w:rsidR="002E4EF6" w:rsidRPr="00E006F9" w:rsidRDefault="002E4EF6" w:rsidP="002E4EF6">
      <w:pPr>
        <w:jc w:val="both"/>
        <w:rPr>
          <w:rFonts w:ascii="Verdana" w:hAnsi="Verdana" w:cs="Arial"/>
          <w:b/>
          <w:sz w:val="22"/>
          <w:szCs w:val="22"/>
        </w:rPr>
      </w:pPr>
      <w:r w:rsidRPr="00E006F9">
        <w:rPr>
          <w:rFonts w:ascii="Verdana" w:hAnsi="Verdana" w:cs="Arial"/>
          <w:b/>
          <w:sz w:val="22"/>
          <w:szCs w:val="22"/>
        </w:rPr>
        <w:t>Financieros</w:t>
      </w:r>
    </w:p>
    <w:p w14:paraId="131EC900" w14:textId="77777777" w:rsidR="002E4EF6" w:rsidRPr="00E006F9" w:rsidRDefault="002E4EF6" w:rsidP="002E4EF6">
      <w:pPr>
        <w:rPr>
          <w:rFonts w:ascii="Verdana" w:eastAsia="Calibri" w:hAnsi="Verdana" w:cs="Arial"/>
          <w:sz w:val="22"/>
          <w:szCs w:val="22"/>
        </w:rPr>
      </w:pPr>
    </w:p>
    <w:p w14:paraId="1F11B3FB" w14:textId="77777777" w:rsidR="002E4EF6" w:rsidRPr="00611315" w:rsidRDefault="002E4EF6" w:rsidP="002E4EF6">
      <w:pPr>
        <w:jc w:val="both"/>
        <w:rPr>
          <w:rFonts w:ascii="Verdana" w:eastAsia="Calibri" w:hAnsi="Verdana" w:cs="Arial"/>
          <w:sz w:val="22"/>
          <w:szCs w:val="22"/>
        </w:rPr>
      </w:pPr>
      <w:r w:rsidRPr="00E006F9">
        <w:rPr>
          <w:rFonts w:ascii="Verdana" w:eastAsia="Calibri" w:hAnsi="Verdana" w:cs="Arial"/>
          <w:sz w:val="22"/>
          <w:szCs w:val="22"/>
        </w:rPr>
        <w:t>Toda vez que no se cuenta con información que permita caracterizar y ponderar la participación de este tipo de población dentro del universo de empresas que sustentaron el análisis financiero, no se considera viable la inclusión de criterios diferenciales en el componente financiero en favor de este grupo poblacional.</w:t>
      </w:r>
    </w:p>
    <w:p w14:paraId="450DE58A" w14:textId="77777777" w:rsidR="002E4EF6" w:rsidRDefault="002E4EF6" w:rsidP="00180C71">
      <w:pPr>
        <w:jc w:val="both"/>
        <w:rPr>
          <w:rFonts w:ascii="Verdana" w:eastAsia="Calibri" w:hAnsi="Verdana" w:cs="Arial"/>
          <w:sz w:val="22"/>
          <w:szCs w:val="22"/>
          <w:lang w:eastAsia="es-CO"/>
        </w:rPr>
      </w:pPr>
    </w:p>
    <w:p w14:paraId="61E6567E" w14:textId="40D04D31" w:rsidR="00652009" w:rsidRDefault="00652009" w:rsidP="00652009">
      <w:pPr>
        <w:pStyle w:val="Prrafodelista"/>
        <w:ind w:left="0"/>
        <w:rPr>
          <w:rFonts w:ascii="Verdana" w:hAnsi="Verdana" w:cs="Arial"/>
          <w:b/>
          <w:lang w:val="es-MX"/>
        </w:rPr>
      </w:pPr>
      <w:r>
        <w:rPr>
          <w:rFonts w:ascii="Verdana" w:hAnsi="Verdana" w:cs="Arial"/>
          <w:b/>
          <w:bCs/>
          <w:lang w:val="es-MX"/>
        </w:rPr>
        <w:t>Jurídicos</w:t>
      </w:r>
    </w:p>
    <w:p w14:paraId="7C5DA119" w14:textId="77777777" w:rsidR="004915A7" w:rsidRDefault="004915A7" w:rsidP="00652009">
      <w:pPr>
        <w:pStyle w:val="Prrafodelista"/>
        <w:ind w:left="0"/>
        <w:rPr>
          <w:rFonts w:ascii="Verdana" w:hAnsi="Verdana" w:cs="Arial"/>
          <w:b/>
          <w:bCs/>
          <w:lang w:val="es-MX"/>
        </w:rPr>
      </w:pPr>
    </w:p>
    <w:p w14:paraId="4F8BBDFD" w14:textId="22A747D3" w:rsidR="004915A7" w:rsidRPr="004915A7" w:rsidRDefault="004915A7" w:rsidP="00652009">
      <w:pPr>
        <w:pStyle w:val="Prrafodelista"/>
        <w:ind w:left="0"/>
        <w:rPr>
          <w:rFonts w:ascii="Verdana" w:eastAsia="Times New Roman" w:hAnsi="Verdana" w:cs="Arial"/>
          <w:lang w:eastAsia="es-MX"/>
        </w:rPr>
      </w:pPr>
      <w:r w:rsidRPr="004915A7">
        <w:rPr>
          <w:rFonts w:ascii="Verdana" w:eastAsia="Times New Roman" w:hAnsi="Verdana" w:cs="Arial"/>
          <w:lang w:eastAsia="es-MX"/>
        </w:rPr>
        <w:t>No se consideró procedente establecer un valor diferencial para la garantía de seriedad de la oferta a favor de los emprendimientos y empresas de mujeres,</w:t>
      </w:r>
      <w:r>
        <w:rPr>
          <w:rFonts w:ascii="Verdana" w:eastAsia="Times New Roman" w:hAnsi="Verdana" w:cs="Arial"/>
          <w:lang w:eastAsia="es-MX"/>
        </w:rPr>
        <w:t xml:space="preserve"> </w:t>
      </w:r>
      <w:r w:rsidRPr="004915A7">
        <w:rPr>
          <w:rFonts w:ascii="Verdana" w:eastAsia="Times New Roman" w:hAnsi="Verdana" w:cs="Arial"/>
          <w:lang w:eastAsia="es-MX"/>
        </w:rPr>
        <w:t xml:space="preserve">toda vez que ello </w:t>
      </w:r>
      <w:r w:rsidRPr="004915A7">
        <w:rPr>
          <w:rFonts w:ascii="Verdana" w:eastAsia="Times New Roman" w:hAnsi="Verdana" w:cs="Arial"/>
          <w:lang w:eastAsia="es-MX"/>
        </w:rPr>
        <w:lastRenderedPageBreak/>
        <w:t>podría generar una barrera injustificada frente a los demás oferentes y afectar los principios de igualdad y libre concurrencia en los procesos de contratación. Adicionalmente, no existe información suficiente que permita determinar con certeza la participación de este tipo de empresas en el mercado ni en los procesos de contratación estatal, ni evidencias que demuestren que una medida de esta naturaleza produciría un efecto positivo. De igual forma, en los proyectos de obra pública resulta fundamental garantizar que todos los oferentes asuman en igualdad de condiciones las consecuencias derivadas de la no suscripción del contrato, razón por la cual se considera necesario mantener un porcentaje uniforme de la garantía de seriedad de la oferta para todos los participantes.</w:t>
      </w:r>
    </w:p>
    <w:p w14:paraId="1A773CC1" w14:textId="30FA364B" w:rsidR="00AC16BA" w:rsidRPr="00611315" w:rsidRDefault="0006496B" w:rsidP="00127D7E">
      <w:pPr>
        <w:pStyle w:val="Ttulo2"/>
        <w:numPr>
          <w:ilvl w:val="0"/>
          <w:numId w:val="47"/>
        </w:numPr>
        <w:jc w:val="both"/>
        <w:rPr>
          <w:rFonts w:ascii="Verdana" w:hAnsi="Verdana" w:cs="Arial"/>
          <w:color w:val="auto"/>
          <w:szCs w:val="22"/>
        </w:rPr>
      </w:pPr>
      <w:bookmarkStart w:id="563" w:name="_Toc231368621"/>
      <w:r w:rsidRPr="00611315">
        <w:rPr>
          <w:rFonts w:ascii="Verdana" w:hAnsi="Verdana" w:cs="Arial"/>
          <w:color w:val="auto"/>
          <w:szCs w:val="22"/>
        </w:rPr>
        <w:t>CRITERIOS ESCOGIDOS COMO REQUISITOS HABILITANTES DIFERENCIALES EN FAVOR DE LOS EMPRENDIMIENTOS Y EMPRESAS DE PERSONAS EN CONDICIÓN DE DISCAPACIDAD (EXPERIENCIA / FINANCIEROS / JURÍDICOS)</w:t>
      </w:r>
      <w:bookmarkEnd w:id="563"/>
    </w:p>
    <w:p w14:paraId="499BF888" w14:textId="77777777" w:rsidR="001C56C9" w:rsidRPr="00611315" w:rsidRDefault="001C56C9" w:rsidP="001C56C9">
      <w:pPr>
        <w:pStyle w:val="Prrafodelista"/>
        <w:ind w:left="1080"/>
        <w:rPr>
          <w:rFonts w:ascii="Verdana" w:eastAsia="Times New Roman" w:hAnsi="Verdana" w:cs="Arial"/>
          <w:b/>
          <w:szCs w:val="36"/>
          <w:lang w:eastAsia="es-MX"/>
        </w:rPr>
      </w:pPr>
    </w:p>
    <w:p w14:paraId="7006528A" w14:textId="794E1306" w:rsidR="001C56C9" w:rsidRPr="006D7EC6" w:rsidRDefault="001C56C9" w:rsidP="001C56C9">
      <w:pPr>
        <w:jc w:val="both"/>
        <w:rPr>
          <w:rFonts w:ascii="Verdana" w:hAnsi="Verdana" w:cs="Arial"/>
          <w:b/>
          <w:sz w:val="22"/>
          <w:szCs w:val="22"/>
        </w:rPr>
      </w:pPr>
      <w:r w:rsidRPr="006D7EC6">
        <w:rPr>
          <w:rFonts w:ascii="Verdana" w:hAnsi="Verdana" w:cs="Arial"/>
          <w:b/>
          <w:sz w:val="22"/>
          <w:szCs w:val="22"/>
        </w:rPr>
        <w:t>Experiencia</w:t>
      </w:r>
    </w:p>
    <w:p w14:paraId="302F94A3" w14:textId="77777777" w:rsidR="00EC3BB9" w:rsidRPr="00611315" w:rsidRDefault="00EC3BB9" w:rsidP="00EC3BB9">
      <w:pPr>
        <w:pStyle w:val="Normal0"/>
        <w:spacing w:after="0"/>
        <w:contextualSpacing/>
        <w:rPr>
          <w:rFonts w:ascii="Verdana" w:hAnsi="Verdana" w:cs="Arial"/>
          <w:highlight w:val="yellow"/>
        </w:rPr>
      </w:pPr>
    </w:p>
    <w:p w14:paraId="419DFE6A" w14:textId="7E398269" w:rsidR="009E7155" w:rsidRPr="00954F93" w:rsidRDefault="001C3F54" w:rsidP="00EC3BB9">
      <w:pPr>
        <w:jc w:val="both"/>
        <w:rPr>
          <w:rFonts w:ascii="Verdana" w:eastAsia="Calibri" w:hAnsi="Verdana" w:cs="Arial"/>
          <w:sz w:val="22"/>
          <w:szCs w:val="22"/>
          <w:lang w:val="es-ES" w:eastAsia="es-CO"/>
        </w:rPr>
      </w:pPr>
      <w:r w:rsidRPr="00954F93">
        <w:rPr>
          <w:rFonts w:ascii="Verdana" w:eastAsia="Calibri" w:hAnsi="Verdana" w:cs="Arial"/>
          <w:sz w:val="22"/>
          <w:szCs w:val="22"/>
          <w:lang w:val="es-ES" w:eastAsia="es-CO"/>
        </w:rPr>
        <w:t>Al</w:t>
      </w:r>
      <w:r w:rsidR="00EC3BB9" w:rsidRPr="00954F93">
        <w:rPr>
          <w:rFonts w:ascii="Verdana" w:eastAsia="Calibri" w:hAnsi="Verdana" w:cs="Arial"/>
          <w:sz w:val="22"/>
          <w:szCs w:val="22"/>
          <w:lang w:val="es-ES" w:eastAsia="es-CO"/>
        </w:rPr>
        <w:t xml:space="preserve"> igual que para las </w:t>
      </w:r>
      <w:r w:rsidR="0006496B" w:rsidRPr="00954F93">
        <w:rPr>
          <w:rFonts w:ascii="Verdana" w:eastAsia="Calibri" w:hAnsi="Verdana" w:cs="Arial"/>
          <w:sz w:val="22"/>
          <w:szCs w:val="22"/>
          <w:lang w:val="es-ES" w:eastAsia="es-CO"/>
        </w:rPr>
        <w:t>MiPymes</w:t>
      </w:r>
      <w:r w:rsidR="00EC3BB9" w:rsidRPr="00954F93">
        <w:rPr>
          <w:rFonts w:ascii="Verdana" w:eastAsia="Calibri" w:hAnsi="Verdana" w:cs="Arial"/>
          <w:sz w:val="22"/>
          <w:szCs w:val="22"/>
          <w:lang w:val="es-ES" w:eastAsia="es-CO"/>
        </w:rPr>
        <w:t xml:space="preserve"> </w:t>
      </w:r>
      <w:r w:rsidRPr="00954F93">
        <w:rPr>
          <w:rFonts w:ascii="Verdana" w:eastAsia="Calibri" w:hAnsi="Verdana" w:cs="Arial"/>
          <w:sz w:val="22"/>
          <w:szCs w:val="22"/>
          <w:lang w:val="es-ES" w:eastAsia="es-CO"/>
        </w:rPr>
        <w:t xml:space="preserve">y que para los </w:t>
      </w:r>
      <w:r w:rsidR="00EC3BB9" w:rsidRPr="00954F93">
        <w:rPr>
          <w:rFonts w:ascii="Verdana" w:eastAsia="Calibri" w:hAnsi="Verdana" w:cs="Arial"/>
          <w:sz w:val="22"/>
          <w:szCs w:val="22"/>
          <w:lang w:val="es-ES" w:eastAsia="es-CO"/>
        </w:rPr>
        <w:t>Emprendimiento y Empresas de Mujeres relacionados con el número de contratos para acreditar</w:t>
      </w:r>
      <w:r w:rsidRPr="00954F93">
        <w:rPr>
          <w:rFonts w:ascii="Verdana" w:eastAsia="Calibri" w:hAnsi="Verdana" w:cs="Arial"/>
          <w:sz w:val="22"/>
          <w:szCs w:val="22"/>
          <w:lang w:val="es-ES" w:eastAsia="es-CO"/>
        </w:rPr>
        <w:t xml:space="preserve"> </w:t>
      </w:r>
      <w:r w:rsidR="00EC3BB9" w:rsidRPr="00954F93">
        <w:rPr>
          <w:rFonts w:ascii="Verdana" w:eastAsia="Calibri" w:hAnsi="Verdana" w:cs="Arial"/>
          <w:sz w:val="22"/>
          <w:szCs w:val="22"/>
          <w:lang w:val="es-ES" w:eastAsia="es-CO"/>
        </w:rPr>
        <w:t>la</w:t>
      </w:r>
      <w:r w:rsidRPr="00954F93">
        <w:rPr>
          <w:rFonts w:ascii="Verdana" w:eastAsia="Calibri" w:hAnsi="Verdana" w:cs="Arial"/>
          <w:sz w:val="22"/>
          <w:szCs w:val="22"/>
          <w:lang w:val="es-ES" w:eastAsia="es-CO"/>
        </w:rPr>
        <w:t xml:space="preserve"> experiencia, </w:t>
      </w:r>
      <w:r w:rsidR="00A56C68" w:rsidRPr="00954F93">
        <w:rPr>
          <w:rFonts w:ascii="Verdana" w:eastAsia="Calibri" w:hAnsi="Verdana" w:cs="Arial"/>
          <w:sz w:val="22"/>
          <w:szCs w:val="22"/>
          <w:lang w:val="es-ES" w:eastAsia="es-CO"/>
        </w:rPr>
        <w:t xml:space="preserve">la Agencia </w:t>
      </w:r>
      <w:r w:rsidR="00441707" w:rsidRPr="00954F93">
        <w:rPr>
          <w:rFonts w:ascii="Verdana" w:eastAsia="Calibri" w:hAnsi="Verdana" w:cs="Arial"/>
          <w:sz w:val="22"/>
          <w:szCs w:val="22"/>
          <w:lang w:val="es-ES" w:eastAsia="es-CO"/>
        </w:rPr>
        <w:t>decidió</w:t>
      </w:r>
      <w:r w:rsidRPr="00954F93">
        <w:rPr>
          <w:rFonts w:ascii="Verdana" w:eastAsia="Calibri" w:hAnsi="Verdana" w:cs="Arial"/>
          <w:sz w:val="22"/>
          <w:szCs w:val="22"/>
          <w:lang w:val="es-ES" w:eastAsia="es-CO"/>
        </w:rPr>
        <w:t xml:space="preserve"> </w:t>
      </w:r>
      <w:r w:rsidR="00441707" w:rsidRPr="00954F93">
        <w:rPr>
          <w:rFonts w:ascii="Verdana" w:eastAsia="Calibri" w:hAnsi="Verdana" w:cs="Arial"/>
          <w:sz w:val="22"/>
          <w:szCs w:val="22"/>
          <w:lang w:val="es-ES" w:eastAsia="es-CO"/>
        </w:rPr>
        <w:t>mantener</w:t>
      </w:r>
      <w:r w:rsidRPr="00954F93">
        <w:rPr>
          <w:rFonts w:ascii="Verdana" w:eastAsia="Calibri" w:hAnsi="Verdana" w:cs="Arial"/>
          <w:sz w:val="22"/>
          <w:szCs w:val="22"/>
          <w:lang w:val="es-ES" w:eastAsia="es-CO"/>
        </w:rPr>
        <w:t xml:space="preserve"> este criterio</w:t>
      </w:r>
      <w:r w:rsidR="00441707" w:rsidRPr="00954F93">
        <w:rPr>
          <w:rFonts w:ascii="Verdana" w:eastAsia="Calibri" w:hAnsi="Verdana" w:cs="Arial"/>
          <w:sz w:val="22"/>
          <w:szCs w:val="22"/>
          <w:lang w:val="es-ES" w:eastAsia="es-CO"/>
        </w:rPr>
        <w:t>.</w:t>
      </w:r>
      <w:r w:rsidR="00330DA4" w:rsidRPr="00954F93">
        <w:rPr>
          <w:rFonts w:ascii="Verdana" w:eastAsia="Calibri" w:hAnsi="Verdana" w:cs="Arial"/>
          <w:sz w:val="22"/>
          <w:szCs w:val="22"/>
          <w:lang w:val="es-ES" w:eastAsia="es-CO"/>
        </w:rPr>
        <w:t xml:space="preserve"> </w:t>
      </w:r>
      <w:r w:rsidR="00441707" w:rsidRPr="00954F93">
        <w:rPr>
          <w:rFonts w:ascii="Verdana" w:eastAsia="Calibri" w:hAnsi="Verdana" w:cs="Arial"/>
          <w:sz w:val="22"/>
          <w:szCs w:val="22"/>
          <w:lang w:val="es-ES" w:eastAsia="es-CO"/>
        </w:rPr>
        <w:t>Ahora bien</w:t>
      </w:r>
      <w:r w:rsidR="007135CE" w:rsidRPr="00954F93">
        <w:rPr>
          <w:rFonts w:ascii="Verdana" w:eastAsia="Calibri" w:hAnsi="Verdana" w:cs="Arial"/>
          <w:sz w:val="22"/>
          <w:szCs w:val="22"/>
          <w:lang w:val="es-ES" w:eastAsia="es-CO"/>
        </w:rPr>
        <w:t xml:space="preserve">, teniendo como referencia que el decreto 287 de 2026, establece las consideraciones para incorporar </w:t>
      </w:r>
      <w:r w:rsidR="00EC3BB9" w:rsidRPr="00954F93">
        <w:rPr>
          <w:rFonts w:ascii="Verdana" w:eastAsia="Calibri" w:hAnsi="Verdana" w:cs="Arial"/>
          <w:sz w:val="22"/>
          <w:szCs w:val="22"/>
          <w:lang w:val="es-ES" w:eastAsia="es-CO"/>
        </w:rPr>
        <w:t xml:space="preserve">condiciones más flexibles para acreditar la experiencia de los emprendimientos y empresas </w:t>
      </w:r>
      <w:r w:rsidR="007135CE" w:rsidRPr="00954F93">
        <w:rPr>
          <w:rFonts w:ascii="Verdana" w:eastAsia="Calibri" w:hAnsi="Verdana" w:cs="Arial"/>
          <w:sz w:val="22"/>
          <w:szCs w:val="22"/>
          <w:lang w:val="es-ES" w:eastAsia="es-CO"/>
        </w:rPr>
        <w:t>de discapacitados</w:t>
      </w:r>
      <w:r w:rsidR="00EC3BB9" w:rsidRPr="00954F93">
        <w:rPr>
          <w:rFonts w:ascii="Verdana" w:eastAsia="Calibri" w:hAnsi="Verdana" w:cs="Arial"/>
          <w:sz w:val="22"/>
          <w:szCs w:val="22"/>
          <w:lang w:val="es-ES" w:eastAsia="es-CO"/>
        </w:rPr>
        <w:t>,</w:t>
      </w:r>
      <w:r w:rsidR="003671BD" w:rsidRPr="00954F93">
        <w:rPr>
          <w:rFonts w:ascii="Verdana" w:eastAsia="Calibri" w:hAnsi="Verdana" w:cs="Arial"/>
          <w:sz w:val="22"/>
          <w:szCs w:val="22"/>
          <w:lang w:val="es-ES" w:eastAsia="es-CO"/>
        </w:rPr>
        <w:t xml:space="preserve"> </w:t>
      </w:r>
      <w:r w:rsidR="00A56C68" w:rsidRPr="00954F93">
        <w:rPr>
          <w:rFonts w:ascii="Verdana" w:eastAsia="Calibri" w:hAnsi="Verdana" w:cs="Arial"/>
          <w:sz w:val="22"/>
          <w:szCs w:val="22"/>
          <w:lang w:val="es-ES" w:eastAsia="es-CO"/>
        </w:rPr>
        <w:t xml:space="preserve">y </w:t>
      </w:r>
      <w:r w:rsidR="00EC3BB9" w:rsidRPr="00954F93">
        <w:rPr>
          <w:rFonts w:ascii="Verdana" w:eastAsia="Calibri" w:hAnsi="Verdana" w:cs="Arial"/>
          <w:sz w:val="22"/>
          <w:szCs w:val="22"/>
          <w:lang w:val="es-ES" w:eastAsia="es-CO"/>
        </w:rPr>
        <w:t>garantiza</w:t>
      </w:r>
      <w:r w:rsidR="003671BD" w:rsidRPr="00954F93">
        <w:rPr>
          <w:rFonts w:ascii="Verdana" w:eastAsia="Calibri" w:hAnsi="Verdana" w:cs="Arial"/>
          <w:sz w:val="22"/>
          <w:szCs w:val="22"/>
          <w:lang w:val="es-ES" w:eastAsia="es-CO"/>
        </w:rPr>
        <w:t>r</w:t>
      </w:r>
      <w:r w:rsidR="00EC3BB9" w:rsidRPr="00954F93">
        <w:rPr>
          <w:rFonts w:ascii="Verdana" w:eastAsia="Calibri" w:hAnsi="Verdana" w:cs="Arial"/>
          <w:sz w:val="22"/>
          <w:szCs w:val="22"/>
          <w:lang w:val="es-ES" w:eastAsia="es-CO"/>
        </w:rPr>
        <w:t xml:space="preserve"> una mayor pluralidad de oferentes que ostentan tal calidad </w:t>
      </w:r>
      <w:r w:rsidR="00A56C68" w:rsidRPr="00954F93">
        <w:rPr>
          <w:rFonts w:ascii="Verdana" w:eastAsia="Calibri" w:hAnsi="Verdana" w:cs="Arial"/>
          <w:sz w:val="22"/>
          <w:szCs w:val="22"/>
          <w:lang w:val="es-ES" w:eastAsia="es-CO"/>
        </w:rPr>
        <w:t xml:space="preserve">y </w:t>
      </w:r>
      <w:r w:rsidR="00EC3BB9" w:rsidRPr="00954F93">
        <w:rPr>
          <w:rFonts w:ascii="Verdana" w:eastAsia="Calibri" w:hAnsi="Verdana" w:cs="Arial"/>
          <w:sz w:val="22"/>
          <w:szCs w:val="22"/>
          <w:lang w:val="es-ES" w:eastAsia="es-CO"/>
        </w:rPr>
        <w:t>al tiempo que la Entidad Estatal asegur</w:t>
      </w:r>
      <w:r w:rsidR="00875FCA" w:rsidRPr="00954F93">
        <w:rPr>
          <w:rFonts w:ascii="Verdana" w:eastAsia="Calibri" w:hAnsi="Verdana" w:cs="Arial"/>
          <w:sz w:val="22"/>
          <w:szCs w:val="22"/>
          <w:lang w:val="es-ES" w:eastAsia="es-CO"/>
        </w:rPr>
        <w:t>e</w:t>
      </w:r>
      <w:r w:rsidR="00EC3BB9" w:rsidRPr="00954F93">
        <w:rPr>
          <w:rFonts w:ascii="Verdana" w:eastAsia="Calibri" w:hAnsi="Verdana" w:cs="Arial"/>
          <w:sz w:val="22"/>
          <w:szCs w:val="22"/>
          <w:lang w:val="es-ES" w:eastAsia="es-CO"/>
        </w:rPr>
        <w:t xml:space="preserve"> que tiene la idoneidad para ejecutar el objeto a contratar</w:t>
      </w:r>
      <w:r w:rsidR="00875FCA" w:rsidRPr="00954F93">
        <w:rPr>
          <w:rFonts w:ascii="Verdana" w:eastAsia="Calibri" w:hAnsi="Verdana" w:cs="Arial"/>
          <w:sz w:val="22"/>
          <w:szCs w:val="22"/>
          <w:lang w:val="es-ES" w:eastAsia="es-CO"/>
        </w:rPr>
        <w:t xml:space="preserve">, se </w:t>
      </w:r>
      <w:r w:rsidR="009E7155" w:rsidRPr="00954F93">
        <w:rPr>
          <w:rFonts w:ascii="Verdana" w:eastAsia="Calibri" w:hAnsi="Verdana" w:cs="Arial"/>
          <w:sz w:val="22"/>
          <w:szCs w:val="22"/>
          <w:lang w:val="es-ES" w:eastAsia="es-CO"/>
        </w:rPr>
        <w:t>incorpora</w:t>
      </w:r>
      <w:r w:rsidR="00EC3BB9" w:rsidRPr="00954F93">
        <w:rPr>
          <w:rFonts w:ascii="Verdana" w:eastAsia="Calibri" w:hAnsi="Verdana" w:cs="Arial"/>
          <w:sz w:val="22"/>
          <w:szCs w:val="22"/>
          <w:lang w:val="es-ES" w:eastAsia="es-CO"/>
        </w:rPr>
        <w:t xml:space="preserve"> el criterio que establece, que para el proponente que acredite la calidad de emprendimiento y empresa de </w:t>
      </w:r>
      <w:r w:rsidR="009E7155" w:rsidRPr="00954F93">
        <w:rPr>
          <w:rFonts w:ascii="Verdana" w:eastAsia="Calibri" w:hAnsi="Verdana" w:cs="Arial"/>
          <w:sz w:val="22"/>
          <w:szCs w:val="22"/>
          <w:lang w:val="es-ES" w:eastAsia="es-CO"/>
        </w:rPr>
        <w:t xml:space="preserve">discapacitados </w:t>
      </w:r>
      <w:r w:rsidR="00EC3BB9" w:rsidRPr="00954F93">
        <w:rPr>
          <w:rFonts w:ascii="Verdana" w:eastAsia="Calibri" w:hAnsi="Verdana" w:cs="Arial"/>
          <w:sz w:val="22"/>
          <w:szCs w:val="22"/>
          <w:lang w:val="es-ES" w:eastAsia="es-CO"/>
        </w:rPr>
        <w:t xml:space="preserve">con domicilio en el territorio nacional podrá probar la experiencia solicitada con un (1) contrato adicional a los cinco (5) inicialmente previstos, para un máximo de seis (6) contratos, </w:t>
      </w:r>
    </w:p>
    <w:p w14:paraId="65DF2CAA" w14:textId="77777777" w:rsidR="009E7155" w:rsidRPr="00954F93" w:rsidRDefault="009E7155" w:rsidP="00EC3BB9">
      <w:pPr>
        <w:jc w:val="both"/>
        <w:rPr>
          <w:rFonts w:ascii="Verdana" w:eastAsia="Calibri" w:hAnsi="Verdana" w:cs="Arial"/>
          <w:sz w:val="22"/>
          <w:szCs w:val="22"/>
          <w:lang w:val="es-ES" w:eastAsia="es-CO"/>
        </w:rPr>
      </w:pPr>
    </w:p>
    <w:p w14:paraId="1A0FEF37" w14:textId="326F88B8" w:rsidR="00EC3BB9" w:rsidRPr="00954F93" w:rsidRDefault="009E7155" w:rsidP="00EC3BB9">
      <w:pPr>
        <w:jc w:val="both"/>
        <w:rPr>
          <w:rFonts w:ascii="Verdana" w:eastAsia="Calibri" w:hAnsi="Verdana" w:cs="Arial"/>
          <w:sz w:val="22"/>
          <w:szCs w:val="22"/>
          <w:lang w:val="es-ES" w:eastAsia="es-CO"/>
        </w:rPr>
      </w:pPr>
      <w:r w:rsidRPr="00954F93">
        <w:rPr>
          <w:rFonts w:ascii="Verdana" w:eastAsia="Calibri" w:hAnsi="Verdana" w:cs="Arial"/>
          <w:sz w:val="22"/>
          <w:szCs w:val="22"/>
          <w:lang w:val="es-ES" w:eastAsia="es-CO"/>
        </w:rPr>
        <w:t xml:space="preserve">Lo anterior, </w:t>
      </w:r>
      <w:r w:rsidR="00EC3BB9" w:rsidRPr="00954F93">
        <w:rPr>
          <w:rFonts w:ascii="Verdana" w:eastAsia="Calibri" w:hAnsi="Verdana" w:cs="Arial"/>
          <w:sz w:val="22"/>
          <w:szCs w:val="22"/>
          <w:lang w:val="es-ES" w:eastAsia="es-CO"/>
        </w:rPr>
        <w:t xml:space="preserve">se considera a juicio de esta Agencia, como un aspecto objetivo, proporcional y razonable, en la medida que se pretende que más proponentes con esta condición puedan habilitarse en procesos de selección, a la vez que hace más exigente cumplir con el requisito para los demás proponentes dado que los emprendimientos y empresas de </w:t>
      </w:r>
      <w:r w:rsidRPr="00954F93">
        <w:rPr>
          <w:rFonts w:ascii="Verdana" w:eastAsia="Calibri" w:hAnsi="Verdana" w:cs="Arial"/>
          <w:sz w:val="22"/>
          <w:szCs w:val="22"/>
          <w:lang w:val="es-ES" w:eastAsia="es-CO"/>
        </w:rPr>
        <w:t>discapacitados</w:t>
      </w:r>
      <w:r w:rsidR="00EC3BB9" w:rsidRPr="00954F93">
        <w:rPr>
          <w:rFonts w:ascii="Verdana" w:eastAsia="Calibri" w:hAnsi="Verdana" w:cs="Arial"/>
          <w:sz w:val="22"/>
          <w:szCs w:val="22"/>
          <w:lang w:val="es-ES" w:eastAsia="es-CO"/>
        </w:rPr>
        <w:t xml:space="preserve"> podrán aportar un número mayor de contratos. </w:t>
      </w:r>
    </w:p>
    <w:p w14:paraId="7058C80D" w14:textId="77777777" w:rsidR="00EC3BB9" w:rsidRPr="00954F93" w:rsidRDefault="00EC3BB9" w:rsidP="00EC3BB9">
      <w:pPr>
        <w:jc w:val="both"/>
        <w:rPr>
          <w:rFonts w:ascii="Verdana" w:eastAsia="Calibri" w:hAnsi="Verdana" w:cs="Arial"/>
          <w:sz w:val="22"/>
          <w:szCs w:val="22"/>
          <w:lang w:val="es-ES" w:eastAsia="es-CO"/>
        </w:rPr>
      </w:pPr>
    </w:p>
    <w:p w14:paraId="1F4F6217" w14:textId="77777777" w:rsidR="006F4196" w:rsidRPr="00954F93" w:rsidRDefault="009E7155" w:rsidP="00EC3BB9">
      <w:pPr>
        <w:jc w:val="both"/>
        <w:rPr>
          <w:rFonts w:ascii="Verdana" w:hAnsi="Verdana" w:cs="Arial"/>
          <w:iCs/>
          <w:sz w:val="22"/>
          <w:szCs w:val="22"/>
          <w:lang w:eastAsia="es-ES"/>
        </w:rPr>
      </w:pPr>
      <w:r w:rsidRPr="00954F93">
        <w:rPr>
          <w:rFonts w:ascii="Verdana" w:hAnsi="Verdana" w:cs="Arial"/>
          <w:iCs/>
          <w:sz w:val="22"/>
          <w:szCs w:val="22"/>
          <w:lang w:eastAsia="es-ES"/>
        </w:rPr>
        <w:t xml:space="preserve">En tal sentido, en el documento base se establece </w:t>
      </w:r>
      <w:r w:rsidR="00EC3BB9" w:rsidRPr="00954F93">
        <w:rPr>
          <w:rFonts w:ascii="Verdana" w:hAnsi="Verdana" w:cs="Arial"/>
          <w:iCs/>
          <w:sz w:val="22"/>
          <w:szCs w:val="22"/>
          <w:lang w:eastAsia="es-ES"/>
        </w:rPr>
        <w:t>que</w:t>
      </w:r>
      <w:r w:rsidRPr="00954F93">
        <w:rPr>
          <w:rFonts w:ascii="Verdana" w:hAnsi="Verdana" w:cs="Arial"/>
          <w:iCs/>
          <w:sz w:val="22"/>
          <w:szCs w:val="22"/>
          <w:lang w:eastAsia="es-ES"/>
        </w:rPr>
        <w:t>:</w:t>
      </w:r>
      <w:r w:rsidR="00EC3BB9" w:rsidRPr="00954F93">
        <w:rPr>
          <w:rFonts w:ascii="Verdana" w:hAnsi="Verdana" w:cs="Arial"/>
          <w:iCs/>
          <w:sz w:val="22"/>
          <w:szCs w:val="22"/>
          <w:lang w:eastAsia="es-ES"/>
        </w:rPr>
        <w:t xml:space="preserve"> </w:t>
      </w:r>
    </w:p>
    <w:p w14:paraId="6242106D" w14:textId="77777777" w:rsidR="00C33393" w:rsidRPr="00611315" w:rsidRDefault="00C33393" w:rsidP="00C33393">
      <w:pPr>
        <w:jc w:val="both"/>
        <w:rPr>
          <w:rFonts w:ascii="Verdana" w:hAnsi="Verdana" w:cs="Arial"/>
          <w:sz w:val="22"/>
          <w:szCs w:val="22"/>
          <w:lang w:val="es-MX"/>
        </w:rPr>
      </w:pPr>
    </w:p>
    <w:p w14:paraId="1B7D1A30" w14:textId="77777777" w:rsidR="00C33393" w:rsidRPr="00611315" w:rsidRDefault="00C33393" w:rsidP="00C33393">
      <w:pPr>
        <w:ind w:left="720"/>
        <w:jc w:val="both"/>
        <w:rPr>
          <w:rFonts w:ascii="Verdana" w:hAnsi="Verdana" w:cs="Arial"/>
          <w:sz w:val="22"/>
          <w:szCs w:val="22"/>
          <w:lang w:val="es-MX"/>
        </w:rPr>
      </w:pPr>
      <w:r w:rsidRPr="00611315">
        <w:rPr>
          <w:rFonts w:ascii="Verdana" w:hAnsi="Verdana" w:cs="Arial"/>
          <w:sz w:val="22"/>
          <w:szCs w:val="22"/>
          <w:lang w:val="es-MX"/>
        </w:rPr>
        <w:lastRenderedPageBreak/>
        <w:t xml:space="preserve">“Tratándose de Proponentes que acrediten la calidad de </w:t>
      </w:r>
      <w:proofErr w:type="spellStart"/>
      <w:r w:rsidRPr="00611315">
        <w:rPr>
          <w:rFonts w:ascii="Verdana" w:hAnsi="Verdana" w:cs="Arial"/>
          <w:sz w:val="22"/>
          <w:szCs w:val="22"/>
          <w:lang w:val="es-MX"/>
        </w:rPr>
        <w:t>Mipyme</w:t>
      </w:r>
      <w:proofErr w:type="spellEnd"/>
      <w:r w:rsidRPr="00611315">
        <w:rPr>
          <w:rFonts w:ascii="Verdana" w:hAnsi="Verdana" w:cs="Arial"/>
          <w:sz w:val="22"/>
          <w:szCs w:val="22"/>
          <w:lang w:val="es-MX"/>
        </w:rPr>
        <w:t xml:space="preserve"> o emprendimiento y empresa de mujer con domicilio en el territorio nacional o emprendimiento y empresa de personas con discapacidad, se tendrá en cuenta como máximo los seis (6) contratos aportados de mayor valor.</w:t>
      </w:r>
    </w:p>
    <w:p w14:paraId="29626F31" w14:textId="77777777" w:rsidR="00C33393" w:rsidRPr="00611315" w:rsidRDefault="00C33393" w:rsidP="00C33393">
      <w:pPr>
        <w:ind w:left="720"/>
        <w:jc w:val="both"/>
        <w:rPr>
          <w:rFonts w:ascii="Verdana" w:hAnsi="Verdana" w:cs="Arial"/>
          <w:sz w:val="22"/>
          <w:szCs w:val="22"/>
          <w:lang w:val="es-MX"/>
        </w:rPr>
      </w:pPr>
    </w:p>
    <w:p w14:paraId="405076C7" w14:textId="77777777" w:rsidR="00C33393" w:rsidRPr="00611315" w:rsidRDefault="00C33393" w:rsidP="00C33393">
      <w:pPr>
        <w:ind w:left="720"/>
        <w:jc w:val="both"/>
        <w:rPr>
          <w:rFonts w:ascii="Verdana" w:hAnsi="Verdana" w:cs="Arial"/>
          <w:sz w:val="22"/>
          <w:szCs w:val="22"/>
          <w:lang w:val="es-MX"/>
        </w:rPr>
      </w:pPr>
      <w:r w:rsidRPr="00611315">
        <w:rPr>
          <w:rFonts w:ascii="Verdana" w:hAnsi="Verdana" w:cs="Arial"/>
          <w:sz w:val="22"/>
          <w:szCs w:val="22"/>
          <w:lang w:val="es-MX"/>
        </w:rPr>
        <w:t xml:space="preserve">En caso de que el Proponente acredite al menos dos (2) de las siguientes condiciones: (i) calidad de </w:t>
      </w:r>
      <w:proofErr w:type="spellStart"/>
      <w:r w:rsidRPr="00611315">
        <w:rPr>
          <w:rFonts w:ascii="Verdana" w:hAnsi="Verdana" w:cs="Arial"/>
          <w:sz w:val="22"/>
          <w:szCs w:val="22"/>
          <w:lang w:val="es-MX"/>
        </w:rPr>
        <w:t>Mipyme</w:t>
      </w:r>
      <w:proofErr w:type="spellEnd"/>
      <w:r w:rsidRPr="00611315">
        <w:rPr>
          <w:rFonts w:ascii="Verdana" w:hAnsi="Verdana" w:cs="Arial"/>
          <w:sz w:val="22"/>
          <w:szCs w:val="22"/>
          <w:lang w:val="es-MX"/>
        </w:rPr>
        <w:t xml:space="preserve"> con domicilio en el territorio nacional, (</w:t>
      </w:r>
      <w:proofErr w:type="spellStart"/>
      <w:r w:rsidRPr="00611315">
        <w:rPr>
          <w:rFonts w:ascii="Verdana" w:hAnsi="Verdana" w:cs="Arial"/>
          <w:sz w:val="22"/>
          <w:szCs w:val="22"/>
          <w:lang w:val="es-MX"/>
        </w:rPr>
        <w:t>ii</w:t>
      </w:r>
      <w:proofErr w:type="spellEnd"/>
      <w:r w:rsidRPr="00611315">
        <w:rPr>
          <w:rFonts w:ascii="Verdana" w:hAnsi="Verdana" w:cs="Arial"/>
          <w:sz w:val="22"/>
          <w:szCs w:val="22"/>
          <w:lang w:val="es-MX"/>
        </w:rPr>
        <w:t>) emprendimiento y empresa de mujer con domicilio en el territorio nacional y/o (</w:t>
      </w:r>
      <w:proofErr w:type="spellStart"/>
      <w:r w:rsidRPr="00611315">
        <w:rPr>
          <w:rFonts w:ascii="Verdana" w:hAnsi="Verdana" w:cs="Arial"/>
          <w:sz w:val="22"/>
          <w:szCs w:val="22"/>
          <w:lang w:val="es-MX"/>
        </w:rPr>
        <w:t>iii</w:t>
      </w:r>
      <w:proofErr w:type="spellEnd"/>
      <w:r w:rsidRPr="00611315">
        <w:rPr>
          <w:rFonts w:ascii="Verdana" w:hAnsi="Verdana" w:cs="Arial"/>
          <w:sz w:val="22"/>
          <w:szCs w:val="22"/>
          <w:lang w:val="es-MX"/>
        </w:rPr>
        <w:t xml:space="preserve">) emprendimiento y empresa de personas con discapacidad, se valdrán como máximo los siete (7) contratos aportados de mayor valor. </w:t>
      </w:r>
    </w:p>
    <w:p w14:paraId="69E9912C" w14:textId="77777777" w:rsidR="00C33393" w:rsidRPr="00611315" w:rsidRDefault="00C33393" w:rsidP="00C33393">
      <w:pPr>
        <w:ind w:left="720"/>
        <w:jc w:val="both"/>
        <w:rPr>
          <w:rFonts w:ascii="Verdana" w:hAnsi="Verdana" w:cs="Arial"/>
          <w:sz w:val="22"/>
          <w:szCs w:val="22"/>
          <w:lang w:val="es-MX"/>
        </w:rPr>
      </w:pPr>
    </w:p>
    <w:p w14:paraId="40733FDE" w14:textId="77777777" w:rsidR="00C33393" w:rsidRPr="00611315" w:rsidRDefault="00C33393" w:rsidP="00C33393">
      <w:pPr>
        <w:ind w:left="720"/>
        <w:jc w:val="both"/>
        <w:rPr>
          <w:rFonts w:ascii="Verdana" w:hAnsi="Verdana" w:cs="Arial"/>
          <w:sz w:val="22"/>
          <w:szCs w:val="22"/>
          <w:lang w:val="es-MX"/>
        </w:rPr>
      </w:pPr>
      <w:r w:rsidRPr="00611315">
        <w:rPr>
          <w:rFonts w:ascii="Verdana" w:hAnsi="Verdana" w:cs="Arial"/>
          <w:sz w:val="22"/>
          <w:szCs w:val="22"/>
          <w:lang w:val="es-MX"/>
        </w:rPr>
        <w:t xml:space="preserve">Cuando el Proponente acredite la calidad de </w:t>
      </w:r>
      <w:proofErr w:type="spellStart"/>
      <w:r w:rsidRPr="00611315">
        <w:rPr>
          <w:rFonts w:ascii="Verdana" w:hAnsi="Verdana" w:cs="Arial"/>
          <w:sz w:val="22"/>
          <w:szCs w:val="22"/>
          <w:lang w:val="es-MX"/>
        </w:rPr>
        <w:t>Mipyme</w:t>
      </w:r>
      <w:proofErr w:type="spellEnd"/>
      <w:r w:rsidRPr="00611315">
        <w:rPr>
          <w:rFonts w:ascii="Verdana" w:hAnsi="Verdana" w:cs="Arial"/>
          <w:sz w:val="22"/>
          <w:szCs w:val="22"/>
          <w:lang w:val="es-MX"/>
        </w:rPr>
        <w:t xml:space="preserve"> y de emprendimiento y empresa de mujer con domicilio en el territorio nacional y de emprendimiento y empresa de personas con discapacidad, de manera conjunta, se tendrá en cuenta como máximo los ocho (8) contratos aportados de mayor valor.”</w:t>
      </w:r>
    </w:p>
    <w:p w14:paraId="37599802" w14:textId="77777777" w:rsidR="00E561C0" w:rsidRPr="00611315" w:rsidRDefault="00E561C0" w:rsidP="00C33393">
      <w:pPr>
        <w:ind w:left="720"/>
        <w:jc w:val="both"/>
        <w:rPr>
          <w:rFonts w:ascii="Verdana" w:hAnsi="Verdana" w:cs="Arial"/>
          <w:sz w:val="22"/>
          <w:szCs w:val="22"/>
          <w:lang w:val="es-MX"/>
        </w:rPr>
      </w:pPr>
    </w:p>
    <w:p w14:paraId="48B46080" w14:textId="77777777" w:rsidR="00C33393" w:rsidRPr="00611315" w:rsidRDefault="00C33393" w:rsidP="001C56C9">
      <w:pPr>
        <w:jc w:val="both"/>
        <w:rPr>
          <w:rFonts w:ascii="Verdana" w:hAnsi="Verdana" w:cs="Arial"/>
          <w:b/>
          <w:sz w:val="22"/>
          <w:szCs w:val="22"/>
          <w:highlight w:val="yellow"/>
        </w:rPr>
      </w:pPr>
    </w:p>
    <w:p w14:paraId="180FFBE9" w14:textId="77777777" w:rsidR="00C33393" w:rsidRPr="006D7EC6" w:rsidRDefault="00C33393" w:rsidP="001C56C9">
      <w:pPr>
        <w:jc w:val="both"/>
        <w:rPr>
          <w:rFonts w:ascii="Verdana" w:hAnsi="Verdana" w:cs="Arial"/>
          <w:b/>
          <w:sz w:val="22"/>
          <w:szCs w:val="22"/>
        </w:rPr>
      </w:pPr>
    </w:p>
    <w:p w14:paraId="0F64F68E" w14:textId="3AF31061" w:rsidR="001C56C9" w:rsidRPr="006D7EC6" w:rsidRDefault="001C56C9" w:rsidP="001C56C9">
      <w:pPr>
        <w:jc w:val="both"/>
        <w:rPr>
          <w:rFonts w:ascii="Verdana" w:hAnsi="Verdana" w:cs="Arial"/>
          <w:b/>
          <w:sz w:val="22"/>
          <w:szCs w:val="22"/>
        </w:rPr>
      </w:pPr>
      <w:r w:rsidRPr="006D7EC6">
        <w:rPr>
          <w:rFonts w:ascii="Verdana" w:hAnsi="Verdana" w:cs="Arial"/>
          <w:b/>
          <w:sz w:val="22"/>
          <w:szCs w:val="22"/>
        </w:rPr>
        <w:t>Financieros</w:t>
      </w:r>
    </w:p>
    <w:p w14:paraId="301A3AEA" w14:textId="77777777" w:rsidR="001C56C9" w:rsidRDefault="001C56C9" w:rsidP="001C56C9">
      <w:pPr>
        <w:jc w:val="both"/>
        <w:rPr>
          <w:rFonts w:ascii="Verdana" w:hAnsi="Verdana" w:cs="Arial"/>
          <w:b/>
          <w:sz w:val="22"/>
          <w:szCs w:val="22"/>
          <w:highlight w:val="yellow"/>
        </w:rPr>
      </w:pPr>
    </w:p>
    <w:p w14:paraId="09657CB1" w14:textId="77777777" w:rsidR="00652009" w:rsidRPr="00611315" w:rsidRDefault="00652009" w:rsidP="00652009">
      <w:pPr>
        <w:jc w:val="both"/>
        <w:rPr>
          <w:rFonts w:ascii="Verdana" w:eastAsia="Calibri" w:hAnsi="Verdana" w:cs="Arial"/>
          <w:sz w:val="22"/>
          <w:szCs w:val="22"/>
        </w:rPr>
      </w:pPr>
      <w:r w:rsidRPr="00E006F9">
        <w:rPr>
          <w:rFonts w:ascii="Verdana" w:eastAsia="Calibri" w:hAnsi="Verdana" w:cs="Arial"/>
          <w:sz w:val="22"/>
          <w:szCs w:val="22"/>
        </w:rPr>
        <w:t>Toda vez que no se cuenta con información que permita caracterizar y ponderar la participación de este tipo de población dentro del universo de empresas que sustentaron el análisis financiero, no se considera viable la inclusión de criterios diferenciales en el componente financiero en favor de este grupo poblacional.</w:t>
      </w:r>
    </w:p>
    <w:p w14:paraId="14616859" w14:textId="77777777" w:rsidR="00652009" w:rsidRDefault="00652009" w:rsidP="001C56C9">
      <w:pPr>
        <w:jc w:val="both"/>
        <w:rPr>
          <w:rFonts w:ascii="Verdana" w:hAnsi="Verdana" w:cs="Arial"/>
          <w:b/>
          <w:sz w:val="22"/>
          <w:szCs w:val="22"/>
          <w:highlight w:val="yellow"/>
        </w:rPr>
      </w:pPr>
    </w:p>
    <w:p w14:paraId="5433D89E" w14:textId="77777777" w:rsidR="00652009" w:rsidRPr="00611315" w:rsidRDefault="00652009" w:rsidP="001C56C9">
      <w:pPr>
        <w:jc w:val="both"/>
        <w:rPr>
          <w:rFonts w:ascii="Verdana" w:hAnsi="Verdana" w:cs="Arial"/>
          <w:b/>
          <w:sz w:val="22"/>
          <w:szCs w:val="22"/>
          <w:highlight w:val="yellow"/>
        </w:rPr>
      </w:pPr>
    </w:p>
    <w:p w14:paraId="7C9EA653" w14:textId="1978FF04" w:rsidR="001C56C9" w:rsidRPr="006D7EC6" w:rsidRDefault="001C56C9" w:rsidP="001C56C9">
      <w:pPr>
        <w:jc w:val="both"/>
        <w:rPr>
          <w:rFonts w:ascii="Verdana" w:hAnsi="Verdana" w:cs="Arial"/>
          <w:b/>
          <w:sz w:val="22"/>
          <w:szCs w:val="22"/>
        </w:rPr>
      </w:pPr>
      <w:r w:rsidRPr="006D7EC6">
        <w:rPr>
          <w:rFonts w:ascii="Verdana" w:hAnsi="Verdana" w:cs="Arial"/>
          <w:b/>
          <w:sz w:val="22"/>
          <w:szCs w:val="22"/>
        </w:rPr>
        <w:t>Jurídicos</w:t>
      </w:r>
    </w:p>
    <w:p w14:paraId="5D3A2E40"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Con fundamento en el análisis normativo aplicable y en atención a las disposiciones contenidas en el Decreto 287 de 2026, no se considera procedente incorporar un criterio diferencial respecto de la garantía de seriedad de la oferta en favor de personas o empresas con discapacidad dentro de los requisitos habilitantes previstos en los documentos tipo.</w:t>
      </w:r>
    </w:p>
    <w:p w14:paraId="4D919138"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 xml:space="preserve">Lo anterior, teniendo en cuenta que el citado decreto no introdujo modificaciones relacionadas con los porcentajes, topes o condiciones económicas exigidas para la constitución de la garantía de seriedad de la oferta establecidos en el régimen vigente de contratación estatal. En consecuencia, no existe una disposición normativa expresa que habilite a las entidades estatales para disminuir, flexibilizar o establecer un </w:t>
      </w:r>
      <w:r w:rsidRPr="00954F93">
        <w:rPr>
          <w:rFonts w:ascii="Verdana" w:hAnsi="Verdana" w:cs="Arial"/>
          <w:sz w:val="22"/>
          <w:szCs w:val="22"/>
          <w:lang w:val="es-MX"/>
        </w:rPr>
        <w:lastRenderedPageBreak/>
        <w:t>tratamiento diferencial respecto del valor asegurado de dicha garantía con fundamento en la condición de discapacidad del proponente.</w:t>
      </w:r>
    </w:p>
    <w:p w14:paraId="43E2DE03" w14:textId="1DC379CB"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 xml:space="preserve">En ese sentido, debe precisarse que la garantía de seriedad de la oferta constituye un </w:t>
      </w:r>
      <w:r w:rsidR="00653434" w:rsidRPr="00653434">
        <w:rPr>
          <w:rFonts w:ascii="Verdana" w:hAnsi="Verdana" w:cs="Arial"/>
          <w:sz w:val="22"/>
          <w:szCs w:val="22"/>
          <w:lang w:val="es-MX"/>
        </w:rPr>
        <w:t>requisito orientado</w:t>
      </w:r>
      <w:r w:rsidRPr="00954F93">
        <w:rPr>
          <w:rFonts w:ascii="Verdana" w:hAnsi="Verdana" w:cs="Arial"/>
          <w:sz w:val="22"/>
          <w:szCs w:val="22"/>
          <w:lang w:val="es-MX"/>
        </w:rPr>
        <w:t xml:space="preserve"> a asegurar la permanencia y seriedad de las propuestas presentadas dentro del proceso de selección, razón por la cual sus condiciones deben sujetarse estrictamente a los parámetros definidos por el ordenamiento jurídico y a los lineamientos previstos en los documentos tipo.</w:t>
      </w:r>
    </w:p>
    <w:p w14:paraId="647CE377"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Así mismo, se observa que el Decreto 287 de 2026 incorpora medidas orientadas a promover acciones afirmativas y mecanismos de inclusión para personas con discapacidad; no obstante, dentro de su contenido no se establecieron instrumentos específicos encaminados a flexibilizar las condiciones asociadas a la garantía de seriedad de la oferta ni se contempló una modificación estructural de los requisitos habilitantes relacionados con su constitución.</w:t>
      </w:r>
    </w:p>
    <w:p w14:paraId="262F2912"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Bajo esa consideración, no se evidencia que la implementación de un criterio diferencial sobre el valor de la garantía de seriedad de la oferta constituya una medida objetiva, idónea o suficiente para materializar de manera efectiva la inclusión o ampliar la participación de personas o empresas con discapacidad en los procesos de contratación estatal. Ello, especialmente si se tiene en cuenta que la exigencia de la garantía responde a una condición uniforme aplicable a todos los oferentes y que el Decreto 287 de 2026 no identificó este requisito como una barrera específica de acceso susceptible de flexibilización.</w:t>
      </w:r>
    </w:p>
    <w:p w14:paraId="7A474D09"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En efecto, la adopción de un tratamiento diferencial sobre este aspecto podría desnaturalizar el alcance técnico y jurídico de la garantía de seriedad de la oferta, en la medida en que no existiría un sustento normativo que permita concluir que la reducción o modificación de sus condiciones económicas se traduce, de manera objetiva y verificable, en un mecanismo efectivo de inclusión o en un incentivo real para la participación de personas con discapacidad en los procedimientos contractuales.</w:t>
      </w:r>
    </w:p>
    <w:p w14:paraId="1C6346A3"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t>Adicionalmente, debe tenerse en cuenta que los documentos tipo tienen como finalidad garantizar criterios uniformes, objetivos y estandarizados dentro de los procesos de contratación pública, razón por la cual la incorporación de condiciones diferenciales requiere de una habilitación normativa clara y expresa, particularmente cuando se trata de requisitos habilitantes y condiciones relacionadas con garantías contractuales.</w:t>
      </w:r>
    </w:p>
    <w:p w14:paraId="27999224" w14:textId="77777777" w:rsidR="008C1E5D" w:rsidRPr="00954F93" w:rsidRDefault="008C1E5D" w:rsidP="00954F93">
      <w:pPr>
        <w:spacing w:before="100" w:beforeAutospacing="1" w:after="100" w:afterAutospacing="1"/>
        <w:jc w:val="both"/>
        <w:rPr>
          <w:rFonts w:ascii="Verdana" w:hAnsi="Verdana" w:cs="Arial"/>
          <w:sz w:val="22"/>
          <w:szCs w:val="22"/>
          <w:lang w:val="es-MX"/>
        </w:rPr>
      </w:pPr>
      <w:r w:rsidRPr="00954F93">
        <w:rPr>
          <w:rFonts w:ascii="Verdana" w:hAnsi="Verdana" w:cs="Arial"/>
          <w:sz w:val="22"/>
          <w:szCs w:val="22"/>
          <w:lang w:val="es-MX"/>
        </w:rPr>
        <w:lastRenderedPageBreak/>
        <w:t>Por consiguiente, y en observancia de los principios de legalidad, igualdad, transparencia y selección objetiva que rigen la contratación estatal, no resulta jurídicamente viable incorporar en los documentos tipo condiciones diferenciales respecto del valor de la garantía de seriedad de la oferta con fundamento en el Decreto 287 de 2026, dado que dicha normativa no modificó los porcentajes legalmente establecidos ni previó mecanismos específicos de flexibilización sobre este requisito habilitante.</w:t>
      </w:r>
    </w:p>
    <w:p w14:paraId="00DDFBE3" w14:textId="15BD2C7B" w:rsidR="00141D73" w:rsidRPr="00611315" w:rsidRDefault="007A72BC" w:rsidP="00447A32">
      <w:pPr>
        <w:pStyle w:val="Ttulo1"/>
        <w:numPr>
          <w:ilvl w:val="0"/>
          <w:numId w:val="44"/>
        </w:numPr>
        <w:jc w:val="both"/>
        <w:rPr>
          <w:rFonts w:ascii="Verdana" w:hAnsi="Verdana" w:cs="Arial"/>
          <w:color w:val="auto"/>
          <w:szCs w:val="22"/>
        </w:rPr>
      </w:pPr>
      <w:bookmarkStart w:id="564" w:name="_Toc199138484"/>
      <w:bookmarkStart w:id="565" w:name="_Toc199138603"/>
      <w:bookmarkStart w:id="566" w:name="_Toc199138770"/>
      <w:bookmarkStart w:id="567" w:name="_Toc199138937"/>
      <w:bookmarkStart w:id="568" w:name="_Toc199139103"/>
      <w:bookmarkStart w:id="569" w:name="_Toc199139268"/>
      <w:bookmarkStart w:id="570" w:name="_Toc199140250"/>
      <w:bookmarkStart w:id="571" w:name="_Toc199138485"/>
      <w:bookmarkStart w:id="572" w:name="_Toc199138604"/>
      <w:bookmarkStart w:id="573" w:name="_Toc199138771"/>
      <w:bookmarkStart w:id="574" w:name="_Toc199138938"/>
      <w:bookmarkStart w:id="575" w:name="_Toc199139104"/>
      <w:bookmarkStart w:id="576" w:name="_Toc199139269"/>
      <w:bookmarkStart w:id="577" w:name="_Toc199140251"/>
      <w:bookmarkStart w:id="578" w:name="_Toc199138486"/>
      <w:bookmarkStart w:id="579" w:name="_Toc199138605"/>
      <w:bookmarkStart w:id="580" w:name="_Toc199138772"/>
      <w:bookmarkStart w:id="581" w:name="_Toc199138939"/>
      <w:bookmarkStart w:id="582" w:name="_Toc199139105"/>
      <w:bookmarkStart w:id="583" w:name="_Toc199139270"/>
      <w:bookmarkStart w:id="584" w:name="_Toc199140252"/>
      <w:bookmarkStart w:id="585" w:name="_Toc199138487"/>
      <w:bookmarkStart w:id="586" w:name="_Toc199138606"/>
      <w:bookmarkStart w:id="587" w:name="_Toc199138773"/>
      <w:bookmarkStart w:id="588" w:name="_Toc199138940"/>
      <w:bookmarkStart w:id="589" w:name="_Toc199139106"/>
      <w:bookmarkStart w:id="590" w:name="_Toc199139271"/>
      <w:bookmarkStart w:id="591" w:name="_Toc199140253"/>
      <w:bookmarkStart w:id="592" w:name="_Toc199138488"/>
      <w:bookmarkStart w:id="593" w:name="_Toc199138607"/>
      <w:bookmarkStart w:id="594" w:name="_Toc199138774"/>
      <w:bookmarkStart w:id="595" w:name="_Toc199138941"/>
      <w:bookmarkStart w:id="596" w:name="_Toc199139107"/>
      <w:bookmarkStart w:id="597" w:name="_Toc199139272"/>
      <w:bookmarkStart w:id="598" w:name="_Toc199140254"/>
      <w:bookmarkStart w:id="599" w:name="_Toc199138489"/>
      <w:bookmarkStart w:id="600" w:name="_Toc199138608"/>
      <w:bookmarkStart w:id="601" w:name="_Toc199138775"/>
      <w:bookmarkStart w:id="602" w:name="_Toc199138942"/>
      <w:bookmarkStart w:id="603" w:name="_Toc199139108"/>
      <w:bookmarkStart w:id="604" w:name="_Toc199139273"/>
      <w:bookmarkStart w:id="605" w:name="_Toc199140255"/>
      <w:bookmarkStart w:id="606" w:name="_Toc199138490"/>
      <w:bookmarkStart w:id="607" w:name="_Toc199138609"/>
      <w:bookmarkStart w:id="608" w:name="_Toc199138776"/>
      <w:bookmarkStart w:id="609" w:name="_Toc199138943"/>
      <w:bookmarkStart w:id="610" w:name="_Toc199139109"/>
      <w:bookmarkStart w:id="611" w:name="_Toc199139274"/>
      <w:bookmarkStart w:id="612" w:name="_Toc199140256"/>
      <w:bookmarkStart w:id="613" w:name="_Toc199138491"/>
      <w:bookmarkStart w:id="614" w:name="_Toc199138610"/>
      <w:bookmarkStart w:id="615" w:name="_Toc199138777"/>
      <w:bookmarkStart w:id="616" w:name="_Toc199138944"/>
      <w:bookmarkStart w:id="617" w:name="_Toc199139110"/>
      <w:bookmarkStart w:id="618" w:name="_Toc199139275"/>
      <w:bookmarkStart w:id="619" w:name="_Toc199140257"/>
      <w:bookmarkStart w:id="620" w:name="_Toc199138492"/>
      <w:bookmarkStart w:id="621" w:name="_Toc199138611"/>
      <w:bookmarkStart w:id="622" w:name="_Toc199138778"/>
      <w:bookmarkStart w:id="623" w:name="_Toc199138945"/>
      <w:bookmarkStart w:id="624" w:name="_Toc199139111"/>
      <w:bookmarkStart w:id="625" w:name="_Toc199139276"/>
      <w:bookmarkStart w:id="626" w:name="_Toc199140258"/>
      <w:bookmarkStart w:id="627" w:name="_Toc199138493"/>
      <w:bookmarkStart w:id="628" w:name="_Toc199138612"/>
      <w:bookmarkStart w:id="629" w:name="_Toc199138779"/>
      <w:bookmarkStart w:id="630" w:name="_Toc199138946"/>
      <w:bookmarkStart w:id="631" w:name="_Toc199139112"/>
      <w:bookmarkStart w:id="632" w:name="_Toc199139277"/>
      <w:bookmarkStart w:id="633" w:name="_Toc199140259"/>
      <w:bookmarkStart w:id="634" w:name="_Toc199138494"/>
      <w:bookmarkStart w:id="635" w:name="_Toc199138613"/>
      <w:bookmarkStart w:id="636" w:name="_Toc199138780"/>
      <w:bookmarkStart w:id="637" w:name="_Toc199138947"/>
      <w:bookmarkStart w:id="638" w:name="_Toc199139113"/>
      <w:bookmarkStart w:id="639" w:name="_Toc199139278"/>
      <w:bookmarkStart w:id="640" w:name="_Toc199140260"/>
      <w:bookmarkStart w:id="641" w:name="_Toc199138495"/>
      <w:bookmarkStart w:id="642" w:name="_Toc199138614"/>
      <w:bookmarkStart w:id="643" w:name="_Toc199138781"/>
      <w:bookmarkStart w:id="644" w:name="_Toc199138948"/>
      <w:bookmarkStart w:id="645" w:name="_Toc199139114"/>
      <w:bookmarkStart w:id="646" w:name="_Toc199139279"/>
      <w:bookmarkStart w:id="647" w:name="_Toc199140261"/>
      <w:bookmarkStart w:id="648" w:name="_Toc199138496"/>
      <w:bookmarkStart w:id="649" w:name="_Toc199138615"/>
      <w:bookmarkStart w:id="650" w:name="_Toc199138782"/>
      <w:bookmarkStart w:id="651" w:name="_Toc199138949"/>
      <w:bookmarkStart w:id="652" w:name="_Toc199139115"/>
      <w:bookmarkStart w:id="653" w:name="_Toc199139280"/>
      <w:bookmarkStart w:id="654" w:name="_Toc199140262"/>
      <w:bookmarkStart w:id="655" w:name="_Toc199138497"/>
      <w:bookmarkStart w:id="656" w:name="_Toc199138616"/>
      <w:bookmarkStart w:id="657" w:name="_Toc199138783"/>
      <w:bookmarkStart w:id="658" w:name="_Toc199138950"/>
      <w:bookmarkStart w:id="659" w:name="_Toc199139116"/>
      <w:bookmarkStart w:id="660" w:name="_Toc199139281"/>
      <w:bookmarkStart w:id="661" w:name="_Toc199140263"/>
      <w:bookmarkStart w:id="662" w:name="_Toc199138498"/>
      <w:bookmarkStart w:id="663" w:name="_Toc199138617"/>
      <w:bookmarkStart w:id="664" w:name="_Toc199138784"/>
      <w:bookmarkStart w:id="665" w:name="_Toc199138951"/>
      <w:bookmarkStart w:id="666" w:name="_Toc199139117"/>
      <w:bookmarkStart w:id="667" w:name="_Toc199139282"/>
      <w:bookmarkStart w:id="668" w:name="_Toc199140264"/>
      <w:bookmarkStart w:id="669" w:name="_Toc199138499"/>
      <w:bookmarkStart w:id="670" w:name="_Toc199138618"/>
      <w:bookmarkStart w:id="671" w:name="_Toc199138785"/>
      <w:bookmarkStart w:id="672" w:name="_Toc199138952"/>
      <w:bookmarkStart w:id="673" w:name="_Toc199139118"/>
      <w:bookmarkStart w:id="674" w:name="_Toc199139283"/>
      <w:bookmarkStart w:id="675" w:name="_Toc199140265"/>
      <w:bookmarkStart w:id="676" w:name="_Toc199138500"/>
      <w:bookmarkStart w:id="677" w:name="_Toc199138619"/>
      <w:bookmarkStart w:id="678" w:name="_Toc199138786"/>
      <w:bookmarkStart w:id="679" w:name="_Toc199138953"/>
      <w:bookmarkStart w:id="680" w:name="_Toc199139119"/>
      <w:bookmarkStart w:id="681" w:name="_Toc199139284"/>
      <w:bookmarkStart w:id="682" w:name="_Toc199140266"/>
      <w:bookmarkStart w:id="683" w:name="_Toc199138501"/>
      <w:bookmarkStart w:id="684" w:name="_Toc199138620"/>
      <w:bookmarkStart w:id="685" w:name="_Toc199138787"/>
      <w:bookmarkStart w:id="686" w:name="_Toc199138954"/>
      <w:bookmarkStart w:id="687" w:name="_Toc199139120"/>
      <w:bookmarkStart w:id="688" w:name="_Toc199139285"/>
      <w:bookmarkStart w:id="689" w:name="_Toc199140267"/>
      <w:bookmarkStart w:id="690" w:name="_Toc199138502"/>
      <w:bookmarkStart w:id="691" w:name="_Toc199138621"/>
      <w:bookmarkStart w:id="692" w:name="_Toc199138788"/>
      <w:bookmarkStart w:id="693" w:name="_Toc199138955"/>
      <w:bookmarkStart w:id="694" w:name="_Toc199139121"/>
      <w:bookmarkStart w:id="695" w:name="_Toc199139286"/>
      <w:bookmarkStart w:id="696" w:name="_Toc199140268"/>
      <w:bookmarkStart w:id="697" w:name="_Toc199138503"/>
      <w:bookmarkStart w:id="698" w:name="_Toc199138622"/>
      <w:bookmarkStart w:id="699" w:name="_Toc199138789"/>
      <w:bookmarkStart w:id="700" w:name="_Toc199138956"/>
      <w:bookmarkStart w:id="701" w:name="_Toc199139122"/>
      <w:bookmarkStart w:id="702" w:name="_Toc199139287"/>
      <w:bookmarkStart w:id="703" w:name="_Toc199140269"/>
      <w:bookmarkStart w:id="704" w:name="_Toc199138504"/>
      <w:bookmarkStart w:id="705" w:name="_Toc199138623"/>
      <w:bookmarkStart w:id="706" w:name="_Toc199138790"/>
      <w:bookmarkStart w:id="707" w:name="_Toc199138957"/>
      <w:bookmarkStart w:id="708" w:name="_Toc199139123"/>
      <w:bookmarkStart w:id="709" w:name="_Toc199139288"/>
      <w:bookmarkStart w:id="710" w:name="_Toc199140270"/>
      <w:bookmarkStart w:id="711" w:name="_Toc199138505"/>
      <w:bookmarkStart w:id="712" w:name="_Toc199138624"/>
      <w:bookmarkStart w:id="713" w:name="_Toc199138791"/>
      <w:bookmarkStart w:id="714" w:name="_Toc199138958"/>
      <w:bookmarkStart w:id="715" w:name="_Toc199139124"/>
      <w:bookmarkStart w:id="716" w:name="_Toc199139289"/>
      <w:bookmarkStart w:id="717" w:name="_Toc199140271"/>
      <w:bookmarkStart w:id="718" w:name="_Toc199138538"/>
      <w:bookmarkStart w:id="719" w:name="_Toc199138657"/>
      <w:bookmarkStart w:id="720" w:name="_Toc199138824"/>
      <w:bookmarkStart w:id="721" w:name="_Toc199138991"/>
      <w:bookmarkStart w:id="722" w:name="_Toc199139157"/>
      <w:bookmarkStart w:id="723" w:name="_Toc199139322"/>
      <w:bookmarkStart w:id="724" w:name="_Toc199140304"/>
      <w:bookmarkStart w:id="725" w:name="_Toc199138577"/>
      <w:bookmarkStart w:id="726" w:name="_Toc199138696"/>
      <w:bookmarkStart w:id="727" w:name="_Toc199138863"/>
      <w:bookmarkStart w:id="728" w:name="_Toc199139030"/>
      <w:bookmarkStart w:id="729" w:name="_Toc199139196"/>
      <w:bookmarkStart w:id="730" w:name="_Toc199139361"/>
      <w:bookmarkStart w:id="731" w:name="_Toc199140343"/>
      <w:bookmarkStart w:id="732" w:name="_Toc199138578"/>
      <w:bookmarkStart w:id="733" w:name="_Toc199138697"/>
      <w:bookmarkStart w:id="734" w:name="_Toc199138864"/>
      <w:bookmarkStart w:id="735" w:name="_Toc199139031"/>
      <w:bookmarkStart w:id="736" w:name="_Toc199139197"/>
      <w:bookmarkStart w:id="737" w:name="_Toc199139362"/>
      <w:bookmarkStart w:id="738" w:name="_Toc199140344"/>
      <w:bookmarkStart w:id="739" w:name="_Toc199138579"/>
      <w:bookmarkStart w:id="740" w:name="_Toc199138698"/>
      <w:bookmarkStart w:id="741" w:name="_Toc199138865"/>
      <w:bookmarkStart w:id="742" w:name="_Toc199139032"/>
      <w:bookmarkStart w:id="743" w:name="_Toc199139198"/>
      <w:bookmarkStart w:id="744" w:name="_Toc199139363"/>
      <w:bookmarkStart w:id="745" w:name="_Toc199140345"/>
      <w:bookmarkStart w:id="746" w:name="_Toc199138580"/>
      <w:bookmarkStart w:id="747" w:name="_Toc199138699"/>
      <w:bookmarkStart w:id="748" w:name="_Toc199138866"/>
      <w:bookmarkStart w:id="749" w:name="_Toc199139033"/>
      <w:bookmarkStart w:id="750" w:name="_Toc199139199"/>
      <w:bookmarkStart w:id="751" w:name="_Toc199139364"/>
      <w:bookmarkStart w:id="752" w:name="_Toc199140346"/>
      <w:bookmarkStart w:id="753" w:name="_Toc199138581"/>
      <w:bookmarkStart w:id="754" w:name="_Toc199138700"/>
      <w:bookmarkStart w:id="755" w:name="_Toc199138867"/>
      <w:bookmarkStart w:id="756" w:name="_Toc199139034"/>
      <w:bookmarkStart w:id="757" w:name="_Toc199139200"/>
      <w:bookmarkStart w:id="758" w:name="_Toc199139365"/>
      <w:bookmarkStart w:id="759" w:name="_Toc199140347"/>
      <w:bookmarkStart w:id="760" w:name="_Toc198718830"/>
      <w:bookmarkStart w:id="761" w:name="_Toc231368622"/>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Pr="00611315">
        <w:rPr>
          <w:rFonts w:ascii="Verdana" w:hAnsi="Verdana" w:cs="Arial"/>
          <w:color w:val="auto"/>
          <w:szCs w:val="22"/>
        </w:rPr>
        <w:t xml:space="preserve">IMPACTO DE LAS MODIFICACIONES DE LOS DOCUMENTOS TIPO DE INFRAESTRUCTURA DE </w:t>
      </w:r>
      <w:bookmarkEnd w:id="760"/>
      <w:r w:rsidRPr="00611315">
        <w:rPr>
          <w:rFonts w:ascii="Verdana" w:hAnsi="Verdana" w:cs="Arial"/>
          <w:color w:val="auto"/>
          <w:szCs w:val="22"/>
        </w:rPr>
        <w:t>AGUA POTABLE Y SANEAMIENTO BÁSICO EN LA MODALIDAD DE LICITACIÓN PÚBLICA.</w:t>
      </w:r>
      <w:bookmarkEnd w:id="761"/>
    </w:p>
    <w:p w14:paraId="4A6500A1" w14:textId="64C3B93C" w:rsidR="331720D0" w:rsidRPr="00611315" w:rsidRDefault="331720D0" w:rsidP="007C7292">
      <w:pPr>
        <w:jc w:val="both"/>
        <w:rPr>
          <w:rFonts w:ascii="Verdana" w:eastAsia="Calibri" w:hAnsi="Verdana" w:cs="Arial"/>
          <w:sz w:val="22"/>
          <w:szCs w:val="22"/>
        </w:rPr>
      </w:pPr>
    </w:p>
    <w:p w14:paraId="53C55B4A" w14:textId="4792B80E" w:rsidR="00444C2B" w:rsidRPr="006D7EC6" w:rsidRDefault="00444C2B" w:rsidP="00444C2B">
      <w:pPr>
        <w:jc w:val="both"/>
        <w:rPr>
          <w:rFonts w:ascii="Verdana" w:hAnsi="Verdana" w:cs="Arial"/>
          <w:sz w:val="22"/>
          <w:szCs w:val="22"/>
        </w:rPr>
      </w:pPr>
      <w:r w:rsidRPr="006D7EC6">
        <w:rPr>
          <w:rFonts w:ascii="Verdana" w:hAnsi="Verdana" w:cs="Arial"/>
          <w:sz w:val="22"/>
          <w:szCs w:val="22"/>
        </w:rPr>
        <w:t xml:space="preserve">Finalmente, es importante reseñar el impacto que han tendrían las principales modificaciones realizadas a los documentos tipo para </w:t>
      </w:r>
      <w:r w:rsidR="006222FF" w:rsidRPr="006D7EC6">
        <w:rPr>
          <w:rFonts w:ascii="Verdana" w:hAnsi="Verdana" w:cs="Arial"/>
          <w:sz w:val="22"/>
          <w:szCs w:val="22"/>
        </w:rPr>
        <w:t xml:space="preserve">la </w:t>
      </w:r>
      <w:r w:rsidR="006222FF" w:rsidRPr="006D7EC6">
        <w:rPr>
          <w:rFonts w:ascii="Verdana" w:hAnsi="Verdana" w:cs="Arial"/>
          <w:i/>
          <w:iCs/>
          <w:sz w:val="22"/>
          <w:szCs w:val="22"/>
        </w:rPr>
        <w:t>infraestructura de agua potable, saneamiento básico y estructuras hidráulicas</w:t>
      </w:r>
      <w:r w:rsidR="006222FF" w:rsidRPr="00954F93">
        <w:rPr>
          <w:rFonts w:ascii="Verdana" w:hAnsi="Verdana" w:cs="Arial"/>
          <w:i/>
          <w:iCs/>
          <w:sz w:val="22"/>
          <w:szCs w:val="22"/>
        </w:rPr>
        <w:t xml:space="preserve"> </w:t>
      </w:r>
      <w:r w:rsidRPr="006D7EC6">
        <w:rPr>
          <w:rFonts w:ascii="Verdana" w:hAnsi="Verdana" w:cs="Arial"/>
          <w:sz w:val="22"/>
          <w:szCs w:val="22"/>
        </w:rPr>
        <w:t>en la modalidad de licitación pública, en los componentes técnicos, jurídicos y financieros.</w:t>
      </w:r>
    </w:p>
    <w:p w14:paraId="554C072D" w14:textId="77777777" w:rsidR="00444C2B" w:rsidRPr="006D7EC6" w:rsidRDefault="00444C2B" w:rsidP="00444C2B">
      <w:pPr>
        <w:jc w:val="both"/>
        <w:rPr>
          <w:rFonts w:ascii="Verdana" w:eastAsia="Verdana" w:hAnsi="Verdana" w:cs="Verdana"/>
          <w:sz w:val="22"/>
          <w:szCs w:val="22"/>
        </w:rPr>
      </w:pPr>
    </w:p>
    <w:p w14:paraId="2EB2822F" w14:textId="3A50BD24" w:rsidR="00444C2B" w:rsidRPr="00954F93" w:rsidRDefault="00444C2B" w:rsidP="00954F93">
      <w:pPr>
        <w:pStyle w:val="Prrafodelista"/>
        <w:numPr>
          <w:ilvl w:val="0"/>
          <w:numId w:val="99"/>
        </w:numPr>
        <w:rPr>
          <w:rFonts w:ascii="Verdana" w:eastAsia="Verdana" w:hAnsi="Verdana" w:cs="Verdana"/>
          <w:b/>
          <w:bCs/>
        </w:rPr>
      </w:pPr>
      <w:r w:rsidRPr="006D7EC6">
        <w:rPr>
          <w:rFonts w:ascii="Verdana" w:eastAsia="Verdana" w:hAnsi="Verdana" w:cs="Verdana"/>
          <w:b/>
          <w:bCs/>
        </w:rPr>
        <w:t xml:space="preserve"> Componente técnico</w:t>
      </w:r>
    </w:p>
    <w:p w14:paraId="11392356" w14:textId="1F54EA1C" w:rsidR="00444C2B" w:rsidRPr="006D7EC6" w:rsidRDefault="00444C2B" w:rsidP="00444C2B">
      <w:pPr>
        <w:jc w:val="both"/>
        <w:rPr>
          <w:rFonts w:ascii="Verdana" w:eastAsia="Verdana" w:hAnsi="Verdana" w:cs="Verdana"/>
          <w:sz w:val="22"/>
          <w:szCs w:val="22"/>
        </w:rPr>
      </w:pPr>
      <w:r w:rsidRPr="006D7EC6">
        <w:rPr>
          <w:rFonts w:ascii="Verdana" w:eastAsia="Verdana" w:hAnsi="Verdana" w:cs="Verdana"/>
          <w:sz w:val="22"/>
          <w:szCs w:val="22"/>
        </w:rPr>
        <w:t xml:space="preserve">En relación con las modificaciones propuestas en materia técnica, es importante resaltar que todas ellas están orientadas a </w:t>
      </w:r>
      <w:r w:rsidR="005704A9" w:rsidRPr="006D7EC6">
        <w:rPr>
          <w:rFonts w:ascii="Verdana" w:eastAsia="Verdana" w:hAnsi="Verdana" w:cs="Verdana"/>
          <w:sz w:val="22"/>
          <w:szCs w:val="22"/>
        </w:rPr>
        <w:t>robustecer tanto</w:t>
      </w:r>
      <w:r w:rsidRPr="006D7EC6">
        <w:rPr>
          <w:rFonts w:ascii="Verdana" w:eastAsia="Verdana" w:hAnsi="Verdana" w:cs="Verdana"/>
          <w:sz w:val="22"/>
          <w:szCs w:val="22"/>
        </w:rPr>
        <w:t xml:space="preserve"> los capítulos como las actividades de las matrices de experiencia y el glosario, situación que fue revisada en las mesas de trabajo que adelantaron tanto para la vigencia 2025, como para el </w:t>
      </w:r>
      <w:proofErr w:type="gramStart"/>
      <w:r w:rsidRPr="006D7EC6">
        <w:rPr>
          <w:rFonts w:ascii="Verdana" w:eastAsia="Verdana" w:hAnsi="Verdana" w:cs="Verdana"/>
          <w:sz w:val="22"/>
          <w:szCs w:val="22"/>
        </w:rPr>
        <w:t>2026,  en</w:t>
      </w:r>
      <w:proofErr w:type="gramEnd"/>
      <w:r w:rsidRPr="006D7EC6">
        <w:rPr>
          <w:rFonts w:ascii="Verdana" w:eastAsia="Verdana" w:hAnsi="Verdana" w:cs="Verdana"/>
          <w:sz w:val="22"/>
          <w:szCs w:val="22"/>
        </w:rPr>
        <w:t xml:space="preserve"> este sentido las modificaciones relevantes tienen que ver con:</w:t>
      </w:r>
    </w:p>
    <w:p w14:paraId="580D610C" w14:textId="77777777" w:rsidR="00444C2B" w:rsidRPr="006D7EC6" w:rsidRDefault="00444C2B" w:rsidP="00444C2B">
      <w:pPr>
        <w:jc w:val="both"/>
        <w:rPr>
          <w:rFonts w:ascii="Verdana" w:eastAsia="Verdana" w:hAnsi="Verdana" w:cs="Verdana"/>
          <w:sz w:val="22"/>
          <w:szCs w:val="22"/>
        </w:rPr>
      </w:pPr>
    </w:p>
    <w:p w14:paraId="1450FC27" w14:textId="1706F04C"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 xml:space="preserve">En razón a la incorporación de los nuevos capítulos se </w:t>
      </w:r>
      <w:r w:rsidR="00A7446E" w:rsidRPr="006D7EC6">
        <w:rPr>
          <w:rFonts w:ascii="Verdana" w:eastAsia="Verdana" w:hAnsi="Verdana" w:cs="Verdana"/>
        </w:rPr>
        <w:t>denominó</w:t>
      </w:r>
      <w:r w:rsidRPr="006D7EC6">
        <w:rPr>
          <w:rFonts w:ascii="Verdana" w:eastAsia="Verdana" w:hAnsi="Verdana" w:cs="Verdana"/>
        </w:rPr>
        <w:t xml:space="preserve"> la matriz de </w:t>
      </w:r>
      <w:proofErr w:type="gramStart"/>
      <w:r w:rsidRPr="006D7EC6">
        <w:rPr>
          <w:rFonts w:ascii="Verdana" w:eastAsia="Verdana" w:hAnsi="Verdana" w:cs="Verdana"/>
        </w:rPr>
        <w:t>estas documentos</w:t>
      </w:r>
      <w:proofErr w:type="gramEnd"/>
      <w:r w:rsidRPr="006D7EC6">
        <w:rPr>
          <w:rFonts w:ascii="Verdana" w:eastAsia="Verdana" w:hAnsi="Verdana" w:cs="Verdana"/>
        </w:rPr>
        <w:t xml:space="preserve"> tipo como Matriz </w:t>
      </w:r>
      <w:r w:rsidR="005704A9" w:rsidRPr="006D7EC6">
        <w:rPr>
          <w:rFonts w:ascii="Verdana" w:eastAsia="Verdana" w:hAnsi="Verdana" w:cs="Verdana"/>
        </w:rPr>
        <w:t>1 -</w:t>
      </w:r>
      <w:r w:rsidRPr="006D7EC6">
        <w:rPr>
          <w:rFonts w:ascii="Verdana" w:eastAsia="Verdana" w:hAnsi="Verdana" w:cs="Verdana"/>
        </w:rPr>
        <w:t xml:space="preserve"> Experiencia de Documento tipo de licitación de obra pública para proyectos de Infraestructura Agua </w:t>
      </w:r>
      <w:proofErr w:type="gramStart"/>
      <w:r w:rsidRPr="006D7EC6">
        <w:rPr>
          <w:rFonts w:ascii="Verdana" w:eastAsia="Verdana" w:hAnsi="Verdana" w:cs="Verdana"/>
        </w:rPr>
        <w:t>potable,  Saneamiento</w:t>
      </w:r>
      <w:proofErr w:type="gramEnd"/>
      <w:r w:rsidRPr="006D7EC6">
        <w:rPr>
          <w:rFonts w:ascii="Verdana" w:eastAsia="Verdana" w:hAnsi="Verdana" w:cs="Verdana"/>
        </w:rPr>
        <w:t xml:space="preserve"> Básico y Estructuras hidráulicas</w:t>
      </w:r>
    </w:p>
    <w:p w14:paraId="01E62223"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Ajustar y robustecer los criterios ambientales y sociales dentro de los DT del Sector Agua Potable y Saneamiento Básico.</w:t>
      </w:r>
    </w:p>
    <w:p w14:paraId="74B85481"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Se amplían el ti</w:t>
      </w:r>
      <w:r w:rsidRPr="006D7EC6">
        <w:rPr>
          <w:rFonts w:ascii="Verdana" w:eastAsia="Verdana" w:hAnsi="Verdana" w:cs="Verdana"/>
          <w:lang w:eastAsia="es-MX"/>
        </w:rPr>
        <w:t>po de intervenciones tanto dentro de las actividades para proyectos de obra, como para interventoría, así: construcción, ampliación, reconstrucción, adecuación, conservación. intervención, instalación, mantenimiento, mejoramiento, modificación, optimización, rehabilitación, remodelación, reposición, reparación locativa, restauración, restitución y terminación.</w:t>
      </w:r>
    </w:p>
    <w:p w14:paraId="5E8ED71E"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Se enmarca el ámbito de aplicación de los DT en la normativa del sector vivienda y agua potable y saneamiento básico del Ministerio de Vivienda en sus decretos reglamentarios:</w:t>
      </w:r>
    </w:p>
    <w:p w14:paraId="28DF8D37" w14:textId="77777777" w:rsidR="00444C2B" w:rsidRPr="006D7EC6" w:rsidRDefault="00444C2B" w:rsidP="00444C2B">
      <w:pPr>
        <w:pStyle w:val="Prrafodelista"/>
        <w:ind w:left="426"/>
        <w:rPr>
          <w:rFonts w:ascii="Verdana" w:eastAsia="Verdana" w:hAnsi="Verdana" w:cs="Verdana"/>
          <w:i/>
          <w:iCs/>
        </w:rPr>
      </w:pPr>
    </w:p>
    <w:p w14:paraId="23393F5D" w14:textId="77777777" w:rsidR="00444C2B" w:rsidRPr="006D7EC6" w:rsidRDefault="00444C2B" w:rsidP="00444C2B">
      <w:pPr>
        <w:pStyle w:val="Prrafodelista"/>
        <w:ind w:left="426"/>
        <w:rPr>
          <w:rFonts w:ascii="Verdana" w:eastAsia="Verdana" w:hAnsi="Verdana" w:cs="Verdana"/>
          <w:i/>
          <w:iCs/>
        </w:rPr>
      </w:pPr>
      <w:r w:rsidRPr="006D7EC6">
        <w:rPr>
          <w:rFonts w:ascii="Verdana" w:eastAsia="Verdana" w:hAnsi="Verdana" w:cs="Verdana"/>
          <w:i/>
          <w:iCs/>
        </w:rPr>
        <w:t>“[La Entidad Estatal deberá incorporar en orden alfabético los conceptos adicionales que apliquen al Proceso de Contratación que no estén incluidos en el presente anexo. De igual forma, la Entidad utilizará las definiciones o conceptos establecidos en el Reglamento Técnico para el Sector de Agua Potable y Saneamiento Básico – RAS, así como lo establecido en la Resolución 330 del 2017 del Ministerio de Vivienda, Ciudad y Territorio, o aquella que la modifique, adicione o sustituya.]</w:t>
      </w:r>
    </w:p>
    <w:p w14:paraId="66409818" w14:textId="77777777" w:rsidR="00444C2B" w:rsidRPr="006D7EC6" w:rsidRDefault="00444C2B" w:rsidP="00444C2B">
      <w:pPr>
        <w:pStyle w:val="Prrafodelista"/>
        <w:ind w:left="426"/>
        <w:rPr>
          <w:rFonts w:ascii="Verdana" w:eastAsia="Verdana" w:hAnsi="Verdana" w:cs="Verdana"/>
          <w:i/>
          <w:iCs/>
        </w:rPr>
      </w:pPr>
    </w:p>
    <w:p w14:paraId="5717AB3B" w14:textId="4BEDD0DE" w:rsidR="00444C2B" w:rsidRPr="006D7EC6" w:rsidRDefault="00444C2B" w:rsidP="00444C2B">
      <w:pPr>
        <w:pStyle w:val="Prrafodelista"/>
        <w:ind w:left="426"/>
        <w:rPr>
          <w:rFonts w:ascii="Verdana" w:eastAsia="Verdana" w:hAnsi="Verdana" w:cs="Verdana"/>
          <w:i/>
          <w:iCs/>
        </w:rPr>
      </w:pPr>
      <w:r w:rsidRPr="006D7EC6">
        <w:rPr>
          <w:rFonts w:ascii="Verdana" w:eastAsia="Verdana" w:hAnsi="Verdana" w:cs="Verdana"/>
          <w:i/>
          <w:iCs/>
        </w:rPr>
        <w:t xml:space="preserve">En materia ambiental, deben considerar lo previsto en la ley 99 de 1993, el decreto 1076 de 2015 “Por medio del cual se expide el Decreto Único Reglamentario del Sector Ambiente y Desarrollo Sostenible”, así </w:t>
      </w:r>
      <w:r w:rsidR="005704A9" w:rsidRPr="006D7EC6">
        <w:rPr>
          <w:rFonts w:ascii="Verdana" w:eastAsia="Verdana" w:hAnsi="Verdana" w:cs="Verdana"/>
          <w:i/>
          <w:iCs/>
        </w:rPr>
        <w:t>como la</w:t>
      </w:r>
      <w:r w:rsidRPr="006D7EC6">
        <w:rPr>
          <w:rFonts w:ascii="Verdana" w:eastAsia="Verdana" w:hAnsi="Verdana" w:cs="Verdana"/>
          <w:i/>
          <w:iCs/>
        </w:rPr>
        <w:t xml:space="preserve"> Ley 1682 de 2013, el Decreto - Ley 2811 de 1974 (Código Nacional de Recursos Naturales Renovables), Ley 373 de 1997 Por la cual se establece el programa para el uso eficiente y ahorro del agua, entre otras o aquellas que modifiquen, sustituyan o adicionen.”</w:t>
      </w:r>
    </w:p>
    <w:p w14:paraId="4210E075" w14:textId="77777777" w:rsidR="00444C2B" w:rsidRPr="006D7EC6" w:rsidRDefault="00444C2B" w:rsidP="00444C2B">
      <w:pPr>
        <w:pStyle w:val="Prrafodelista"/>
        <w:ind w:left="426"/>
        <w:rPr>
          <w:rFonts w:ascii="Verdana" w:eastAsia="Verdana" w:hAnsi="Verdana" w:cs="Verdana"/>
        </w:rPr>
      </w:pPr>
    </w:p>
    <w:p w14:paraId="1C7FC32B"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Se incorporaron nuevos códigos de clasificación de bienes y servicios del clasificador de las naciones unidas para este sector.</w:t>
      </w:r>
    </w:p>
    <w:p w14:paraId="6C6F1A37"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Para la modalidad de Llave en mano se incorporaron en cada uno de los capítulos actividades relacionadas con “operación y puesta en marca” para cada uno de los tipos de infraestructura.</w:t>
      </w:r>
    </w:p>
    <w:p w14:paraId="7D4DA8C3"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Para la matriz de “llave en mano” se incorporaron las siguientes actividades para el capítulo de diseño:</w:t>
      </w:r>
    </w:p>
    <w:p w14:paraId="2750398D"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11.4 Estudios y/o diseños para proyectos y/u obras de infraestructura para estructuras hidráulicas relacionadas con manejo y/o conducción y/o captación y/o almacenamiento de agua cruda y/o agua potable y/u obras complementarias.</w:t>
      </w:r>
    </w:p>
    <w:p w14:paraId="4BBCA1AD"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11.5 Estudios y/o diseños para proyectos y/u obras de infraestructura para riego y/o drenaje y/o protección contra inundaciones para adecuación de tierras.</w:t>
      </w:r>
    </w:p>
    <w:p w14:paraId="1E934051" w14:textId="77777777" w:rsidR="00444C2B"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Inclusión de nuevos capítulos que se presentan en la siguiente tabla y que están relacionados con: 7)</w:t>
      </w:r>
      <w:r w:rsidRPr="006D7EC6">
        <w:rPr>
          <w:rFonts w:ascii="Verdana" w:hAnsi="Verdana"/>
        </w:rPr>
        <w:t xml:space="preserve"> </w:t>
      </w:r>
      <w:r w:rsidRPr="006D7EC6">
        <w:rPr>
          <w:rFonts w:ascii="Verdana" w:eastAsia="Verdana" w:hAnsi="Verdana" w:cs="Verdana"/>
        </w:rPr>
        <w:t>proyectos y/u obras de infraestructura para la atención, prevención o mitigación de emergencias diferentes a contratación directa, 8) Proyectos y/u obras de infraestructura para vías de acceso o parqueaderos o zonas de circulación (vehicular o peatonal) o plazas o plazuelas o áreas comunes, 9) Proyectos y/u obras de infraestructura para estructuras hidráulicas relacionadas con manejo y/o conducción y/o captación y/o almacenamiento de agua cruda y/o agua potable y 10) Proyectos y/u obras de infraestructura para riego y/o, drenaje y/o protección contra inundaciones para adecuación de tierras:</w:t>
      </w:r>
    </w:p>
    <w:p w14:paraId="34E482BA" w14:textId="77777777" w:rsidR="005704A9" w:rsidRDefault="005704A9" w:rsidP="005704A9">
      <w:pPr>
        <w:rPr>
          <w:rFonts w:ascii="Verdana" w:eastAsia="Verdana" w:hAnsi="Verdana" w:cs="Verdana"/>
        </w:rPr>
      </w:pPr>
    </w:p>
    <w:p w14:paraId="244B99BD" w14:textId="77777777" w:rsidR="005704A9" w:rsidRPr="005704A9" w:rsidRDefault="005704A9" w:rsidP="005704A9">
      <w:pPr>
        <w:rPr>
          <w:rFonts w:ascii="Verdana" w:eastAsia="Verdana" w:hAnsi="Verdana" w:cs="Verdana"/>
        </w:rPr>
      </w:pPr>
    </w:p>
    <w:p w14:paraId="12172E6F" w14:textId="77777777" w:rsidR="00444C2B" w:rsidRPr="006D7EC6" w:rsidRDefault="00444C2B" w:rsidP="00444C2B">
      <w:pPr>
        <w:pStyle w:val="Prrafodelista"/>
        <w:ind w:hanging="630"/>
        <w:rPr>
          <w:rFonts w:ascii="Verdana" w:eastAsia="Verdana" w:hAnsi="Verdana" w:cs="Verdana"/>
          <w:b/>
          <w:bCs/>
        </w:rPr>
      </w:pPr>
    </w:p>
    <w:p w14:paraId="1E5D04FC" w14:textId="1AFB4580" w:rsidR="00444C2B" w:rsidRPr="005704A9" w:rsidRDefault="005704A9" w:rsidP="005704A9">
      <w:pPr>
        <w:pStyle w:val="Descripcin"/>
        <w:jc w:val="center"/>
        <w:rPr>
          <w:rFonts w:ascii="Verdana" w:eastAsia="Verdana" w:hAnsi="Verdana" w:cs="Verdana"/>
          <w:b w:val="0"/>
          <w:bCs w:val="0"/>
          <w:sz w:val="22"/>
          <w:szCs w:val="22"/>
        </w:rPr>
      </w:pPr>
      <w:bookmarkStart w:id="762" w:name="_Toc231368843"/>
      <w:r w:rsidRPr="005704A9">
        <w:rPr>
          <w:rFonts w:ascii="Verdana" w:hAnsi="Verdana"/>
          <w:sz w:val="22"/>
          <w:szCs w:val="22"/>
        </w:rPr>
        <w:lastRenderedPageBreak/>
        <w:t xml:space="preserve">Gráfica </w:t>
      </w:r>
      <w:r w:rsidRPr="005704A9">
        <w:rPr>
          <w:rFonts w:ascii="Verdana" w:hAnsi="Verdana"/>
          <w:sz w:val="22"/>
          <w:szCs w:val="22"/>
        </w:rPr>
        <w:fldChar w:fldCharType="begin"/>
      </w:r>
      <w:r w:rsidRPr="005704A9">
        <w:rPr>
          <w:rFonts w:ascii="Verdana" w:hAnsi="Verdana"/>
          <w:sz w:val="22"/>
          <w:szCs w:val="22"/>
        </w:rPr>
        <w:instrText xml:space="preserve"> SEQ Gráfica \* ARABIC </w:instrText>
      </w:r>
      <w:r w:rsidRPr="005704A9">
        <w:rPr>
          <w:rFonts w:ascii="Verdana" w:hAnsi="Verdana"/>
          <w:sz w:val="22"/>
          <w:szCs w:val="22"/>
        </w:rPr>
        <w:fldChar w:fldCharType="separate"/>
      </w:r>
      <w:r w:rsidR="00973CF5">
        <w:rPr>
          <w:rFonts w:ascii="Verdana" w:hAnsi="Verdana"/>
          <w:noProof/>
          <w:sz w:val="22"/>
          <w:szCs w:val="22"/>
        </w:rPr>
        <w:t>68</w:t>
      </w:r>
      <w:r w:rsidRPr="005704A9">
        <w:rPr>
          <w:rFonts w:ascii="Verdana" w:hAnsi="Verdana"/>
          <w:sz w:val="22"/>
          <w:szCs w:val="22"/>
        </w:rPr>
        <w:fldChar w:fldCharType="end"/>
      </w:r>
      <w:r w:rsidRPr="005704A9">
        <w:rPr>
          <w:rFonts w:ascii="Verdana" w:hAnsi="Verdana"/>
          <w:sz w:val="22"/>
          <w:szCs w:val="22"/>
        </w:rPr>
        <w:t>. Nuevos capítulos incorporados en las matrices de APSB</w:t>
      </w:r>
      <w:bookmarkEnd w:id="762"/>
    </w:p>
    <w:p w14:paraId="7194F4E9" w14:textId="77777777" w:rsidR="00444C2B" w:rsidRPr="006D7EC6" w:rsidRDefault="00444C2B" w:rsidP="00444C2B">
      <w:pPr>
        <w:pStyle w:val="Prrafodelista"/>
        <w:ind w:hanging="630"/>
        <w:jc w:val="center"/>
        <w:rPr>
          <w:rFonts w:ascii="Verdana" w:eastAsia="Verdana" w:hAnsi="Verdana" w:cs="Verdana"/>
          <w:b/>
          <w:bCs/>
        </w:rPr>
      </w:pPr>
      <w:r w:rsidRPr="006D7EC6">
        <w:rPr>
          <w:rFonts w:ascii="Verdana" w:eastAsia="Verdana" w:hAnsi="Verdana" w:cs="Verdana"/>
          <w:b/>
          <w:bCs/>
          <w:noProof/>
        </w:rPr>
        <w:drawing>
          <wp:inline distT="0" distB="0" distL="0" distR="0" wp14:anchorId="7C58DF72" wp14:editId="5E836257">
            <wp:extent cx="5816896" cy="3040911"/>
            <wp:effectExtent l="0" t="0" r="0" b="7620"/>
            <wp:docPr id="1943002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02425" name=""/>
                    <pic:cNvPicPr/>
                  </pic:nvPicPr>
                  <pic:blipFill>
                    <a:blip r:embed="rId117"/>
                    <a:stretch>
                      <a:fillRect/>
                    </a:stretch>
                  </pic:blipFill>
                  <pic:spPr>
                    <a:xfrm>
                      <a:off x="0" y="0"/>
                      <a:ext cx="5864441" cy="3065766"/>
                    </a:xfrm>
                    <a:prstGeom prst="rect">
                      <a:avLst/>
                    </a:prstGeom>
                  </pic:spPr>
                </pic:pic>
              </a:graphicData>
            </a:graphic>
          </wp:inline>
        </w:drawing>
      </w:r>
    </w:p>
    <w:p w14:paraId="7A8485C7" w14:textId="77777777" w:rsidR="00444C2B" w:rsidRPr="006D7EC6" w:rsidRDefault="00444C2B" w:rsidP="00444C2B">
      <w:pPr>
        <w:rPr>
          <w:rFonts w:ascii="Verdana" w:eastAsia="Verdana" w:hAnsi="Verdana" w:cs="Verdana"/>
          <w:b/>
          <w:bCs/>
        </w:rPr>
      </w:pPr>
    </w:p>
    <w:p w14:paraId="490D1C27" w14:textId="77777777" w:rsidR="00444C2B" w:rsidRPr="006D7EC6" w:rsidRDefault="00444C2B" w:rsidP="00444C2B">
      <w:pPr>
        <w:pStyle w:val="Prrafodelista"/>
        <w:ind w:hanging="630"/>
        <w:jc w:val="center"/>
        <w:rPr>
          <w:rFonts w:ascii="Verdana" w:eastAsia="Verdana" w:hAnsi="Verdana" w:cs="Verdana"/>
          <w:b/>
          <w:bCs/>
        </w:rPr>
      </w:pPr>
      <w:r w:rsidRPr="006D7EC6">
        <w:rPr>
          <w:rFonts w:ascii="Verdana" w:eastAsia="Verdana" w:hAnsi="Verdana" w:cs="Verdana"/>
          <w:b/>
          <w:bCs/>
          <w:noProof/>
        </w:rPr>
        <w:drawing>
          <wp:inline distT="0" distB="0" distL="0" distR="0" wp14:anchorId="0B3B5B57" wp14:editId="18F08957">
            <wp:extent cx="5730240" cy="2128111"/>
            <wp:effectExtent l="0" t="0" r="3810" b="5715"/>
            <wp:docPr id="8347548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54820" name=""/>
                    <pic:cNvPicPr/>
                  </pic:nvPicPr>
                  <pic:blipFill>
                    <a:blip r:embed="rId118"/>
                    <a:stretch>
                      <a:fillRect/>
                    </a:stretch>
                  </pic:blipFill>
                  <pic:spPr>
                    <a:xfrm>
                      <a:off x="0" y="0"/>
                      <a:ext cx="5797808" cy="2153205"/>
                    </a:xfrm>
                    <a:prstGeom prst="rect">
                      <a:avLst/>
                    </a:prstGeom>
                  </pic:spPr>
                </pic:pic>
              </a:graphicData>
            </a:graphic>
          </wp:inline>
        </w:drawing>
      </w:r>
    </w:p>
    <w:p w14:paraId="16FDDD8F" w14:textId="77777777" w:rsidR="00444C2B" w:rsidRPr="006D7EC6" w:rsidRDefault="00444C2B" w:rsidP="00444C2B">
      <w:pPr>
        <w:pStyle w:val="Prrafodelista"/>
        <w:ind w:hanging="630"/>
        <w:rPr>
          <w:rFonts w:ascii="Verdana" w:eastAsia="Verdana" w:hAnsi="Verdana" w:cs="Verdana"/>
          <w:b/>
          <w:bCs/>
        </w:rPr>
      </w:pPr>
    </w:p>
    <w:p w14:paraId="2429852D" w14:textId="77777777" w:rsidR="00444C2B" w:rsidRPr="006D7EC6" w:rsidRDefault="00444C2B" w:rsidP="00444C2B">
      <w:pPr>
        <w:pStyle w:val="Prrafodelista"/>
        <w:ind w:hanging="630"/>
        <w:jc w:val="center"/>
        <w:rPr>
          <w:rFonts w:ascii="Verdana" w:eastAsia="Verdana" w:hAnsi="Verdana" w:cs="Verdana"/>
          <w:b/>
          <w:bCs/>
        </w:rPr>
      </w:pPr>
      <w:r w:rsidRPr="006D7EC6">
        <w:rPr>
          <w:rFonts w:ascii="Verdana" w:eastAsia="Verdana" w:hAnsi="Verdana" w:cs="Verdana"/>
          <w:b/>
          <w:bCs/>
          <w:noProof/>
        </w:rPr>
        <w:lastRenderedPageBreak/>
        <w:drawing>
          <wp:inline distT="0" distB="0" distL="0" distR="0" wp14:anchorId="5154AFDD" wp14:editId="55DE0BF3">
            <wp:extent cx="5366330" cy="5816009"/>
            <wp:effectExtent l="0" t="0" r="6350" b="0"/>
            <wp:docPr id="5083911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391127" name=""/>
                    <pic:cNvPicPr/>
                  </pic:nvPicPr>
                  <pic:blipFill>
                    <a:blip r:embed="rId119"/>
                    <a:stretch>
                      <a:fillRect/>
                    </a:stretch>
                  </pic:blipFill>
                  <pic:spPr>
                    <a:xfrm>
                      <a:off x="0" y="0"/>
                      <a:ext cx="5378342" cy="5829028"/>
                    </a:xfrm>
                    <a:prstGeom prst="rect">
                      <a:avLst/>
                    </a:prstGeom>
                  </pic:spPr>
                </pic:pic>
              </a:graphicData>
            </a:graphic>
          </wp:inline>
        </w:drawing>
      </w:r>
    </w:p>
    <w:p w14:paraId="67E6DB19" w14:textId="77777777" w:rsidR="00444C2B" w:rsidRPr="006D7EC6" w:rsidRDefault="00444C2B" w:rsidP="00444C2B">
      <w:pPr>
        <w:pStyle w:val="Prrafodelista"/>
        <w:ind w:hanging="630"/>
        <w:rPr>
          <w:rFonts w:ascii="Verdana" w:eastAsia="Verdana" w:hAnsi="Verdana" w:cs="Verdana"/>
          <w:b/>
          <w:bCs/>
        </w:rPr>
      </w:pPr>
    </w:p>
    <w:p w14:paraId="1E70406D" w14:textId="77777777" w:rsidR="00444C2B" w:rsidRPr="006D7EC6" w:rsidRDefault="00444C2B" w:rsidP="00444C2B">
      <w:pPr>
        <w:pStyle w:val="Prrafodelista"/>
        <w:ind w:hanging="630"/>
        <w:rPr>
          <w:rFonts w:ascii="Verdana" w:eastAsia="Verdana" w:hAnsi="Verdana" w:cs="Verdana"/>
          <w:b/>
          <w:bCs/>
        </w:rPr>
      </w:pPr>
    </w:p>
    <w:p w14:paraId="5364501E" w14:textId="77777777" w:rsidR="00444C2B" w:rsidRPr="006D7EC6" w:rsidRDefault="00444C2B" w:rsidP="00444C2B">
      <w:pPr>
        <w:pStyle w:val="Prrafodelista"/>
        <w:ind w:hanging="630"/>
        <w:jc w:val="center"/>
        <w:rPr>
          <w:rFonts w:ascii="Verdana" w:eastAsia="Verdana" w:hAnsi="Verdana" w:cs="Verdana"/>
          <w:b/>
          <w:bCs/>
        </w:rPr>
      </w:pPr>
      <w:r w:rsidRPr="006D7EC6">
        <w:rPr>
          <w:rFonts w:ascii="Verdana" w:eastAsia="Verdana" w:hAnsi="Verdana" w:cs="Verdana"/>
          <w:b/>
          <w:bCs/>
          <w:noProof/>
        </w:rPr>
        <w:lastRenderedPageBreak/>
        <w:drawing>
          <wp:inline distT="0" distB="0" distL="0" distR="0" wp14:anchorId="42757792" wp14:editId="2F78E1F3">
            <wp:extent cx="5459809" cy="5250230"/>
            <wp:effectExtent l="0" t="0" r="1270" b="0"/>
            <wp:docPr id="5076834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83422" name=""/>
                    <pic:cNvPicPr/>
                  </pic:nvPicPr>
                  <pic:blipFill>
                    <a:blip r:embed="rId120"/>
                    <a:stretch>
                      <a:fillRect/>
                    </a:stretch>
                  </pic:blipFill>
                  <pic:spPr>
                    <a:xfrm>
                      <a:off x="0" y="0"/>
                      <a:ext cx="5460716" cy="5251102"/>
                    </a:xfrm>
                    <a:prstGeom prst="rect">
                      <a:avLst/>
                    </a:prstGeom>
                  </pic:spPr>
                </pic:pic>
              </a:graphicData>
            </a:graphic>
          </wp:inline>
        </w:drawing>
      </w:r>
    </w:p>
    <w:p w14:paraId="4A62636B" w14:textId="4D65B9A4" w:rsidR="00444C2B" w:rsidRDefault="005704A9" w:rsidP="00444C2B">
      <w:pPr>
        <w:pStyle w:val="Prrafodelista"/>
        <w:ind w:hanging="630"/>
        <w:jc w:val="center"/>
        <w:rPr>
          <w:rFonts w:ascii="Verdana" w:eastAsia="Verdana" w:hAnsi="Verdana" w:cs="Verdana"/>
          <w:b/>
          <w:bCs/>
        </w:rPr>
      </w:pPr>
      <w:r>
        <w:rPr>
          <w:rFonts w:ascii="Verdana" w:eastAsia="Verdana" w:hAnsi="Verdana" w:cs="Verdana"/>
          <w:b/>
          <w:bCs/>
        </w:rPr>
        <w:t xml:space="preserve">Fuente: </w:t>
      </w:r>
      <w:r w:rsidRPr="005704A9">
        <w:rPr>
          <w:rFonts w:ascii="Verdana" w:eastAsia="Verdana" w:hAnsi="Verdana" w:cs="Verdana"/>
        </w:rPr>
        <w:t>documento base</w:t>
      </w:r>
    </w:p>
    <w:p w14:paraId="5DCEE1AD" w14:textId="77777777" w:rsidR="005704A9" w:rsidRDefault="005704A9" w:rsidP="00444C2B">
      <w:pPr>
        <w:pStyle w:val="Prrafodelista"/>
        <w:ind w:hanging="630"/>
        <w:jc w:val="center"/>
        <w:rPr>
          <w:rFonts w:ascii="Verdana" w:eastAsia="Verdana" w:hAnsi="Verdana" w:cs="Verdana"/>
          <w:b/>
          <w:bCs/>
        </w:rPr>
      </w:pPr>
    </w:p>
    <w:p w14:paraId="7F20C698" w14:textId="77777777" w:rsidR="005704A9" w:rsidRDefault="005704A9" w:rsidP="00444C2B">
      <w:pPr>
        <w:pStyle w:val="Prrafodelista"/>
        <w:ind w:hanging="630"/>
        <w:jc w:val="center"/>
        <w:rPr>
          <w:rFonts w:ascii="Verdana" w:eastAsia="Verdana" w:hAnsi="Verdana" w:cs="Verdana"/>
          <w:b/>
          <w:bCs/>
        </w:rPr>
      </w:pPr>
    </w:p>
    <w:p w14:paraId="020BB35F" w14:textId="77777777" w:rsidR="005704A9" w:rsidRPr="006D7EC6" w:rsidRDefault="005704A9" w:rsidP="00444C2B">
      <w:pPr>
        <w:pStyle w:val="Prrafodelista"/>
        <w:ind w:hanging="630"/>
        <w:jc w:val="center"/>
        <w:rPr>
          <w:rFonts w:ascii="Verdana" w:eastAsia="Verdana" w:hAnsi="Verdana" w:cs="Verdana"/>
          <w:b/>
          <w:bCs/>
        </w:rPr>
      </w:pPr>
    </w:p>
    <w:p w14:paraId="3B8CD584" w14:textId="77777777" w:rsidR="00444C2B" w:rsidRPr="006D7EC6" w:rsidRDefault="00444C2B" w:rsidP="00444C2B">
      <w:pPr>
        <w:pStyle w:val="Prrafodelista"/>
        <w:numPr>
          <w:ilvl w:val="0"/>
          <w:numId w:val="90"/>
        </w:numPr>
        <w:ind w:left="426"/>
        <w:rPr>
          <w:rFonts w:ascii="Verdana" w:eastAsia="Verdana" w:hAnsi="Verdana" w:cs="Verdana"/>
        </w:rPr>
      </w:pPr>
      <w:r w:rsidRPr="006D7EC6">
        <w:rPr>
          <w:rFonts w:ascii="Verdana" w:eastAsia="Verdana" w:hAnsi="Verdana" w:cs="Verdana"/>
        </w:rPr>
        <w:t>Para cada uno de los capítulos existentes se incorporaron nuevas actividades relacionadas con:</w:t>
      </w:r>
    </w:p>
    <w:p w14:paraId="24E7F409" w14:textId="77777777" w:rsidR="00444C2B" w:rsidRPr="006D7EC6" w:rsidRDefault="00444C2B" w:rsidP="00444C2B">
      <w:pPr>
        <w:pStyle w:val="Prrafodelista"/>
        <w:ind w:left="426"/>
        <w:rPr>
          <w:rFonts w:ascii="Verdana" w:eastAsia="Verdana" w:hAnsi="Verdana" w:cs="Verdana"/>
        </w:rPr>
      </w:pPr>
    </w:p>
    <w:p w14:paraId="7189B0E4"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Para el capítulo - 1. PROYECTOS Y/U OBRAS DE INFRAESTRUCTURA DE ACUEDUCTOS, se incorporaron las actividades de:</w:t>
      </w:r>
    </w:p>
    <w:p w14:paraId="4A5420CD" w14:textId="77777777" w:rsidR="00444C2B" w:rsidRPr="006D7EC6" w:rsidRDefault="00444C2B" w:rsidP="00444C2B">
      <w:pPr>
        <w:pStyle w:val="Prrafodelista"/>
        <w:ind w:left="426"/>
        <w:rPr>
          <w:rFonts w:ascii="Verdana" w:eastAsia="Verdana" w:hAnsi="Verdana" w:cs="Verdana"/>
        </w:rPr>
      </w:pPr>
    </w:p>
    <w:p w14:paraId="187B299F" w14:textId="3984A1EC"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1.3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w:t>
      </w:r>
      <w:r w:rsidR="00973CF5" w:rsidRPr="006D7EC6">
        <w:rPr>
          <w:rFonts w:ascii="Verdana" w:eastAsia="Verdana" w:hAnsi="Verdana" w:cs="Verdana"/>
        </w:rPr>
        <w:t>reposición y</w:t>
      </w:r>
      <w:r w:rsidRPr="006D7EC6">
        <w:rPr>
          <w:rFonts w:ascii="Verdana" w:eastAsia="Verdana" w:hAnsi="Verdana" w:cs="Verdana"/>
        </w:rPr>
        <w:t>/o modernización y/o mantenimiento y/o ampliación de sistemas no convencionales de abastecimiento de agua para el consumo humano</w:t>
      </w:r>
    </w:p>
    <w:p w14:paraId="47F887B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1.4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modernización y/o mantenimiento y/o ampliación de gaviones y/o estructuras de contención y/o protección de taludes para control de erosión en obras complementarias de acueductos</w:t>
      </w:r>
    </w:p>
    <w:p w14:paraId="247C225F"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1.5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modernización y/o mantenimiento y/o ampliación de tanques de almacenamiento de agua potable </w:t>
      </w:r>
    </w:p>
    <w:p w14:paraId="493F5FA4"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1.6 Proyectos de construcción y/o ampliación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cerramientos para obras complementarias de acueductos</w:t>
      </w:r>
    </w:p>
    <w:p w14:paraId="1F44FB36"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1.7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acueductos con métodos alternativos de instalación de tuberías en zonas urbanas</w:t>
      </w:r>
    </w:p>
    <w:p w14:paraId="3465F7E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1.8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redes domiciliarias de acueductos en zonas urbanas</w:t>
      </w:r>
    </w:p>
    <w:p w14:paraId="46E4E024" w14:textId="53580509" w:rsidR="00444C2B" w:rsidRPr="006D7EC6" w:rsidRDefault="00973CF5" w:rsidP="00444C2B">
      <w:pPr>
        <w:pStyle w:val="Prrafodelista"/>
        <w:ind w:left="426"/>
        <w:rPr>
          <w:rFonts w:ascii="Verdana" w:eastAsia="Verdana" w:hAnsi="Verdana" w:cs="Verdana"/>
        </w:rPr>
      </w:pPr>
      <w:r w:rsidRPr="006D7EC6">
        <w:rPr>
          <w:rFonts w:ascii="Verdana" w:eastAsia="Verdana" w:hAnsi="Verdana" w:cs="Verdana"/>
        </w:rPr>
        <w:t>1.9 Proyectos</w:t>
      </w:r>
      <w:r w:rsidR="00444C2B" w:rsidRPr="006D7EC6">
        <w:rPr>
          <w:rFonts w:ascii="Verdana" w:eastAsia="Verdana" w:hAnsi="Verdana" w:cs="Verdana"/>
        </w:rPr>
        <w:t xml:space="preserve"> de instalación y/u operación y/o mantenimiento correctivo y/o mantenimiento preventivo y/o ampliación de equipos de bombeo.</w:t>
      </w:r>
    </w:p>
    <w:p w14:paraId="5577A2E3" w14:textId="77777777" w:rsidR="00444C2B" w:rsidRPr="006D7EC6" w:rsidRDefault="00444C2B" w:rsidP="00444C2B">
      <w:pPr>
        <w:pStyle w:val="Prrafodelista"/>
        <w:ind w:left="426"/>
        <w:rPr>
          <w:rFonts w:ascii="Verdana" w:eastAsia="Verdana" w:hAnsi="Verdana" w:cs="Verdana"/>
        </w:rPr>
      </w:pPr>
    </w:p>
    <w:p w14:paraId="69B0C830"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Para el capítulo 2. OBRAS DE ALCANTARILLADOS (SANITARIOS Y/O PLUVIALES Y/O COMBINADOS):</w:t>
      </w:r>
    </w:p>
    <w:p w14:paraId="3DFCBE97" w14:textId="77777777" w:rsidR="00444C2B" w:rsidRPr="006D7EC6" w:rsidRDefault="00444C2B" w:rsidP="00444C2B">
      <w:pPr>
        <w:pStyle w:val="Prrafodelista"/>
        <w:ind w:left="426"/>
        <w:rPr>
          <w:rFonts w:ascii="Verdana" w:eastAsia="Verdana" w:hAnsi="Verdana" w:cs="Verdana"/>
        </w:rPr>
      </w:pPr>
    </w:p>
    <w:p w14:paraId="242888F0" w14:textId="32A3CBD1"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 xml:space="preserve">2.3 proyectos de mantenimiento y/o limpieza y/o descolmatación de los sistemas de alcantarillado sanitario y/o </w:t>
      </w:r>
      <w:r w:rsidR="00973CF5" w:rsidRPr="006D7EC6">
        <w:rPr>
          <w:rFonts w:ascii="Verdana" w:eastAsia="Verdana" w:hAnsi="Verdana" w:cs="Verdana"/>
        </w:rPr>
        <w:t>pluvial urbano</w:t>
      </w:r>
      <w:r w:rsidRPr="006D7EC6">
        <w:rPr>
          <w:rFonts w:ascii="Verdana" w:eastAsia="Verdana" w:hAnsi="Verdana" w:cs="Verdana"/>
        </w:rPr>
        <w:t xml:space="preserve"> y/o rural</w:t>
      </w:r>
    </w:p>
    <w:p w14:paraId="421A301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2.4 proyectos de ampliación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box </w:t>
      </w:r>
      <w:proofErr w:type="spellStart"/>
      <w:r w:rsidRPr="006D7EC6">
        <w:rPr>
          <w:rFonts w:ascii="Verdana" w:eastAsia="Verdana" w:hAnsi="Verdana" w:cs="Verdana"/>
        </w:rPr>
        <w:t>coulvert</w:t>
      </w:r>
      <w:proofErr w:type="spellEnd"/>
      <w:r w:rsidRPr="006D7EC6">
        <w:rPr>
          <w:rFonts w:ascii="Verdana" w:eastAsia="Verdana" w:hAnsi="Verdana" w:cs="Verdana"/>
        </w:rPr>
        <w:t xml:space="preserve"> de alcantarillado sanitario urbano y/o rural</w:t>
      </w:r>
    </w:p>
    <w:p w14:paraId="01B4829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2.5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modernización y/o mantenimiento y/o ampliación de gaviones y/o estructuras de contención y/o protección de taludes </w:t>
      </w:r>
      <w:r w:rsidRPr="006D7EC6">
        <w:rPr>
          <w:rFonts w:ascii="Verdana" w:eastAsia="Verdana" w:hAnsi="Verdana" w:cs="Verdana"/>
        </w:rPr>
        <w:lastRenderedPageBreak/>
        <w:t>para control de erosión en obras complementarias de alcantarillados sanitarios y/o pluviales</w:t>
      </w:r>
    </w:p>
    <w:p w14:paraId="05034563"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2.6.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alcantarillados sanitarios y/o pluviales con métodos alternativos de instalación de tuberías en zonas urbanas</w:t>
      </w:r>
    </w:p>
    <w:p w14:paraId="6989889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2.7.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modernización y/o mantenimiento y/o ampliación y/o adecuación de sistemas de canalización de agua lluvias en zonas urbanas y/o rurales</w:t>
      </w:r>
    </w:p>
    <w:p w14:paraId="5C4AA880"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2.8.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modernización y/o mantenimiento y/o ampliación y/o adecuación de sumideros y/o cajas de inspección en zonas urbanas y/o rurales</w:t>
      </w:r>
    </w:p>
    <w:p w14:paraId="372F14E9"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2.9. Proyectos de construcción y/u optimización y/o mejoramiento y/o rehabilitación y/o reforzamiento y/o reconstrucción y/o modernización y/o mantenimiento y/o ampliación y/o reposición de tapas de pozos de inspección en zonas urbanas y/o rurales</w:t>
      </w:r>
    </w:p>
    <w:p w14:paraId="24420364"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2.10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redes domiciliarias de alcantarillado en zonas urbanas</w:t>
      </w:r>
    </w:p>
    <w:p w14:paraId="1388D784" w14:textId="77777777" w:rsidR="00444C2B" w:rsidRPr="006D7EC6" w:rsidRDefault="00444C2B" w:rsidP="00444C2B">
      <w:pPr>
        <w:pStyle w:val="Prrafodelista"/>
        <w:ind w:left="426"/>
        <w:rPr>
          <w:rFonts w:ascii="Verdana" w:eastAsia="Verdana" w:hAnsi="Verdana" w:cs="Verdana"/>
        </w:rPr>
      </w:pPr>
    </w:p>
    <w:p w14:paraId="03C0A1A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Para el capítulo 3. OBRAS DE ASEO Y/O MANEJO DE RESIDUOS:</w:t>
      </w:r>
    </w:p>
    <w:p w14:paraId="1006F83D" w14:textId="77777777" w:rsidR="00444C2B" w:rsidRPr="006D7EC6" w:rsidRDefault="00444C2B" w:rsidP="00444C2B">
      <w:pPr>
        <w:pStyle w:val="Prrafodelista"/>
        <w:ind w:left="426"/>
        <w:rPr>
          <w:rFonts w:ascii="Verdana" w:eastAsia="Verdana" w:hAnsi="Verdana" w:cs="Verdana"/>
        </w:rPr>
      </w:pPr>
    </w:p>
    <w:p w14:paraId="766DEAD6"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3.3 proyectos de construcción y/u optimización y/o ampliación y/o rehabilitación y/o mantenimiento y/o conservación de sistemas de aprovechamiento de residuos y/u obras complementarias.</w:t>
      </w:r>
    </w:p>
    <w:p w14:paraId="71D71A29"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3.4 proyectos relacionados con limpieza, lavado de vías y áreas públicas.</w:t>
      </w:r>
    </w:p>
    <w:p w14:paraId="641391DA"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3.5 proyectos de construcción y/u optimización y/o ampliación y/o rehabilitación y/o mantenimiento y/o adaptación de estaciones de clasificación y aprovechamiento (ECA) y/o áreas de separación de residuos aprovechables.</w:t>
      </w:r>
    </w:p>
    <w:p w14:paraId="5DCF34E1"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3.6 proyectos de ampliación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construcción y/o mejoramiento y/o reposición y/o mantenimiento y/o rehabilitación y/o conservación y/o aprovechamiento de sistemas alternativos para disposición final de residuos y/u obras complementarias.</w:t>
      </w:r>
    </w:p>
    <w:p w14:paraId="712C9006" w14:textId="2D1132E0"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 xml:space="preserve">3.7 proyectos de operación y/o administración y/o puesta en funcionamiento de la infraestructura </w:t>
      </w:r>
      <w:r w:rsidR="00973CF5" w:rsidRPr="006D7EC6">
        <w:rPr>
          <w:rFonts w:ascii="Verdana" w:eastAsia="Verdana" w:hAnsi="Verdana" w:cs="Verdana"/>
        </w:rPr>
        <w:t>de obras</w:t>
      </w:r>
      <w:r w:rsidRPr="006D7EC6">
        <w:rPr>
          <w:rFonts w:ascii="Verdana" w:eastAsia="Verdana" w:hAnsi="Verdana" w:cs="Verdana"/>
        </w:rPr>
        <w:t xml:space="preserve"> de aseo y/o manejo de residuos.</w:t>
      </w:r>
    </w:p>
    <w:p w14:paraId="559E32C9" w14:textId="77777777" w:rsidR="00444C2B" w:rsidRPr="006D7EC6" w:rsidRDefault="00444C2B" w:rsidP="00444C2B">
      <w:pPr>
        <w:pStyle w:val="Prrafodelista"/>
        <w:ind w:left="426"/>
        <w:rPr>
          <w:rFonts w:ascii="Verdana" w:eastAsia="Verdana" w:hAnsi="Verdana" w:cs="Verdana"/>
        </w:rPr>
      </w:pPr>
    </w:p>
    <w:p w14:paraId="310F258F"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lastRenderedPageBreak/>
        <w:t>Para el capítulo 4. OBRAS PARA PTAP (Plantas de Tratamiento de Agua Potable) Y/O PTAR (Plantas de Tratamiento de Aguas Residuales):</w:t>
      </w:r>
    </w:p>
    <w:p w14:paraId="2D209EF1" w14:textId="77777777" w:rsidR="00444C2B" w:rsidRPr="006D7EC6" w:rsidRDefault="00444C2B" w:rsidP="00444C2B">
      <w:pPr>
        <w:pStyle w:val="Prrafodelista"/>
        <w:ind w:left="426"/>
        <w:rPr>
          <w:rFonts w:ascii="Verdana" w:eastAsia="Verdana" w:hAnsi="Verdana" w:cs="Verdana"/>
        </w:rPr>
      </w:pPr>
    </w:p>
    <w:p w14:paraId="577E3BAC"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4.5 Proyectos de construcción y/o ampliación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de cerramientos y/</w:t>
      </w:r>
      <w:proofErr w:type="spellStart"/>
      <w:r w:rsidRPr="006D7EC6">
        <w:rPr>
          <w:rFonts w:ascii="Verdana" w:eastAsia="Verdana" w:hAnsi="Verdana" w:cs="Verdana"/>
        </w:rPr>
        <w:t>o</w:t>
      </w:r>
      <w:proofErr w:type="spellEnd"/>
      <w:r w:rsidRPr="006D7EC6">
        <w:rPr>
          <w:rFonts w:ascii="Verdana" w:eastAsia="Verdana" w:hAnsi="Verdana" w:cs="Verdana"/>
        </w:rPr>
        <w:t xml:space="preserve"> obras complementarias en PTAR y PTAP</w:t>
      </w:r>
    </w:p>
    <w:p w14:paraId="20C41133"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4.6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de gaviones y/o estructuras de contención y/o protección de taludes en PTAR o PTAP y/o en obras complementarias</w:t>
      </w:r>
    </w:p>
    <w:p w14:paraId="1CD49198"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4.7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reconstrucción de equipos eléctricos y/o electromecánicos y/o de control para PTAR y/o PTAP</w:t>
      </w:r>
    </w:p>
    <w:p w14:paraId="21E2334F" w14:textId="768B3C74"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4.8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reconstrucción y/o expansión y/o adecuación de alumbrado </w:t>
      </w:r>
      <w:r w:rsidR="00973CF5" w:rsidRPr="006D7EC6">
        <w:rPr>
          <w:rFonts w:ascii="Verdana" w:eastAsia="Verdana" w:hAnsi="Verdana" w:cs="Verdana"/>
        </w:rPr>
        <w:t>público</w:t>
      </w:r>
      <w:r w:rsidRPr="006D7EC6">
        <w:rPr>
          <w:rFonts w:ascii="Verdana" w:eastAsia="Verdana" w:hAnsi="Verdana" w:cs="Verdana"/>
        </w:rPr>
        <w:t xml:space="preserve"> y redes eléctricas de media y baja tensión en PTAR y/o PTAP</w:t>
      </w:r>
    </w:p>
    <w:p w14:paraId="7DD73549"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4.9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adecuación y/o instalación de señalización en PTAR y/o PTAP</w:t>
      </w:r>
    </w:p>
    <w:p w14:paraId="44243EAF" w14:textId="412CF16E"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 xml:space="preserve">4.10 proyectos de construcción y/o habilitación y/o ampliación y/o reconstrucción y/o adecuación y/o conservación y/o intervención y/o instalación y/o mantenimiento y/o mejoramiento y/o modificación y/u optimización y/o rehabilitación y/o reposición y/o </w:t>
      </w:r>
      <w:r w:rsidR="00973CF5" w:rsidRPr="006D7EC6">
        <w:rPr>
          <w:rFonts w:ascii="Verdana" w:eastAsia="Verdana" w:hAnsi="Verdana" w:cs="Verdana"/>
        </w:rPr>
        <w:t>terminación de</w:t>
      </w:r>
      <w:r w:rsidRPr="006D7EC6">
        <w:rPr>
          <w:rFonts w:ascii="Verdana" w:eastAsia="Verdana" w:hAnsi="Verdana" w:cs="Verdana"/>
        </w:rPr>
        <w:t xml:space="preserve"> zonas verdes, y/o actividades de urbanismo y/o de paisajismo asociadas a la infraestructura de agua potable y saneamiento básico</w:t>
      </w:r>
    </w:p>
    <w:p w14:paraId="3D85A182" w14:textId="1B61AB4E" w:rsidR="00444C2B" w:rsidRPr="006D7EC6" w:rsidRDefault="00973CF5" w:rsidP="00444C2B">
      <w:pPr>
        <w:pStyle w:val="Prrafodelista"/>
        <w:ind w:left="426"/>
        <w:rPr>
          <w:rFonts w:ascii="Verdana" w:eastAsia="Verdana" w:hAnsi="Verdana" w:cs="Verdana"/>
        </w:rPr>
      </w:pPr>
      <w:r w:rsidRPr="006D7EC6">
        <w:rPr>
          <w:rFonts w:ascii="Verdana" w:eastAsia="Verdana" w:hAnsi="Verdana" w:cs="Verdana"/>
        </w:rPr>
        <w:t>4.11 proyectos</w:t>
      </w:r>
      <w:r w:rsidR="00444C2B" w:rsidRPr="006D7EC6">
        <w:rPr>
          <w:rFonts w:ascii="Verdana" w:eastAsia="Verdana" w:hAnsi="Verdana" w:cs="Verdana"/>
        </w:rPr>
        <w:t xml:space="preserve"> de instalación y/u operación y/o mantenimiento correctivo y/o mantenimiento preventivo y/o ampliación de equipos de bombeo y/o equipos eléctricos y/o equipos electromecánicos y/o equipos de control asociados a la infraestructura de PTAR y/o PTAP.</w:t>
      </w:r>
    </w:p>
    <w:p w14:paraId="4A91BB36" w14:textId="77777777" w:rsidR="00444C2B" w:rsidRPr="006D7EC6" w:rsidRDefault="00444C2B" w:rsidP="00444C2B">
      <w:pPr>
        <w:pStyle w:val="Prrafodelista"/>
        <w:ind w:left="426"/>
        <w:rPr>
          <w:rFonts w:ascii="Verdana" w:eastAsia="Verdana" w:hAnsi="Verdana" w:cs="Verdana"/>
        </w:rPr>
      </w:pPr>
    </w:p>
    <w:p w14:paraId="53C7EF4B"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Para el capítulo 5. UNIDADES SANITARIAS PARA VIVIENDA RURAL DISPERSA</w:t>
      </w:r>
    </w:p>
    <w:p w14:paraId="3833E092" w14:textId="77777777" w:rsidR="00444C2B" w:rsidRPr="006D7EC6" w:rsidRDefault="00444C2B" w:rsidP="00444C2B">
      <w:pPr>
        <w:pStyle w:val="Prrafodelista"/>
        <w:ind w:left="426"/>
        <w:rPr>
          <w:rFonts w:ascii="Verdana" w:eastAsia="Verdana" w:hAnsi="Verdana" w:cs="Verdana"/>
        </w:rPr>
      </w:pPr>
    </w:p>
    <w:p w14:paraId="393B1017"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5.</w:t>
      </w:r>
      <w:proofErr w:type="gramStart"/>
      <w:r w:rsidRPr="006D7EC6">
        <w:rPr>
          <w:rFonts w:ascii="Verdana" w:eastAsia="Verdana" w:hAnsi="Verdana" w:cs="Verdana"/>
        </w:rPr>
        <w:t>3.Proyectos</w:t>
      </w:r>
      <w:proofErr w:type="gramEnd"/>
      <w:r w:rsidRPr="006D7EC6">
        <w:rPr>
          <w:rFonts w:ascii="Verdana" w:eastAsia="Verdana" w:hAnsi="Verdana" w:cs="Verdana"/>
        </w:rPr>
        <w:t xml:space="preserve"> de construcción y/o ampliación y/o reconstrucción y/o adecuación y/o conservación y/o intervención y/o instalación y/o mantenimiento y/o mejoramiento y/o modificación y/u optimización y/o rehabilitación y/o remodelación y/o reposición y/o restauración y/o restitución y/o terminación de unidades y/o baterías sanitarias y/o letrinas y/o tanques sépticos y/o sistemas de tratamiento para vivienda(s) rural(es) dispersa.</w:t>
      </w:r>
    </w:p>
    <w:p w14:paraId="29E50E09"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5.</w:t>
      </w:r>
      <w:proofErr w:type="gramStart"/>
      <w:r w:rsidRPr="006D7EC6">
        <w:rPr>
          <w:rFonts w:ascii="Verdana" w:eastAsia="Verdana" w:hAnsi="Verdana" w:cs="Verdana"/>
        </w:rPr>
        <w:t>4.Proyectos</w:t>
      </w:r>
      <w:proofErr w:type="gramEnd"/>
      <w:r w:rsidRPr="006D7EC6">
        <w:rPr>
          <w:rFonts w:ascii="Verdana" w:eastAsia="Verdana" w:hAnsi="Verdana" w:cs="Verdana"/>
        </w:rPr>
        <w:t xml:space="preserve"> de construcción y/o ampliación y/o reconstrucción y/o adecuación y/o conservación y/o intervención y/o instalación y/o mantenimiento y/o mejoramiento y/o modificación u optimización y/o rehabilitación y/o remodelación y/o reposición y/o reparación locativa y/o restauración y/o restitución y/o terminación de tanques </w:t>
      </w:r>
      <w:r w:rsidRPr="006D7EC6">
        <w:rPr>
          <w:rFonts w:ascii="Verdana" w:eastAsia="Verdana" w:hAnsi="Verdana" w:cs="Verdana"/>
        </w:rPr>
        <w:lastRenderedPageBreak/>
        <w:t>elevados y/o tanques sépticos y/u obras complementarias para proyectos de comunidades indígenas</w:t>
      </w:r>
    </w:p>
    <w:p w14:paraId="53583447"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5.</w:t>
      </w:r>
      <w:proofErr w:type="gramStart"/>
      <w:r w:rsidRPr="006D7EC6">
        <w:rPr>
          <w:rFonts w:ascii="Verdana" w:eastAsia="Verdana" w:hAnsi="Verdana" w:cs="Verdana"/>
        </w:rPr>
        <w:t>5.Proyectos</w:t>
      </w:r>
      <w:proofErr w:type="gramEnd"/>
      <w:r w:rsidRPr="006D7EC6">
        <w:rPr>
          <w:rFonts w:ascii="Verdana" w:eastAsia="Verdana" w:hAnsi="Verdana" w:cs="Verdana"/>
        </w:rPr>
        <w:t xml:space="preserve"> de construcción y/o ampliación y/o reconstrucción y/o adecuación y/o conservación y/o intervención y/o instalación y/o mantenimiento y/o mejoramiento y/o modificación y/u optimización y/o rehabilitación y/o remodelación y/o reposición y/o restauración y/o restitución y/o terminación de pozos profundos para proyectos de vivienda en comunidades indígenas.</w:t>
      </w:r>
    </w:p>
    <w:p w14:paraId="79DA6CCB" w14:textId="77777777" w:rsidR="00444C2B" w:rsidRPr="006D7EC6" w:rsidRDefault="00444C2B" w:rsidP="00444C2B">
      <w:pPr>
        <w:pStyle w:val="Prrafodelista"/>
        <w:ind w:left="426"/>
        <w:rPr>
          <w:rFonts w:ascii="Verdana" w:eastAsia="Verdana" w:hAnsi="Verdana" w:cs="Verdana"/>
        </w:rPr>
      </w:pPr>
    </w:p>
    <w:p w14:paraId="4B8CA241"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Para el capítulo 6. SISTEMAS NO CONVENCIONALES DE POTABILIZACIÓN Y DE TRATAMIENTO DE AGUAS RESIDUALES</w:t>
      </w:r>
    </w:p>
    <w:p w14:paraId="6D3970DA" w14:textId="77777777" w:rsidR="00444C2B" w:rsidRPr="006D7EC6" w:rsidRDefault="00444C2B" w:rsidP="00444C2B">
      <w:pPr>
        <w:pStyle w:val="Prrafodelista"/>
        <w:ind w:left="426"/>
        <w:rPr>
          <w:rFonts w:ascii="Verdana" w:eastAsia="Verdana" w:hAnsi="Verdana" w:cs="Verdana"/>
        </w:rPr>
      </w:pPr>
    </w:p>
    <w:p w14:paraId="4FAB41D9" w14:textId="77777777"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6.4 Proyectos de optimización y/o mejoramiento y/o adecuación y/o ampliación y/o reforzamiento y/o rehabilitación y/o mantenimiento y/o reconstrucción y/o conservación y/o intervención y/o instalación y/o modificación y/o remodelación y/o reposición y/o reparación y/o restauración y/o restitución de sistemas convencionales y/o no convencionales de tratamiento de aguas residuales</w:t>
      </w:r>
    </w:p>
    <w:p w14:paraId="7809F5D3" w14:textId="1831C28B" w:rsidR="00444C2B" w:rsidRPr="006D7EC6" w:rsidRDefault="00444C2B" w:rsidP="00444C2B">
      <w:pPr>
        <w:pStyle w:val="Prrafodelista"/>
        <w:ind w:left="426"/>
        <w:rPr>
          <w:rFonts w:ascii="Verdana" w:eastAsia="Verdana" w:hAnsi="Verdana" w:cs="Verdana"/>
        </w:rPr>
      </w:pPr>
      <w:r w:rsidRPr="006D7EC6">
        <w:rPr>
          <w:rFonts w:ascii="Verdana" w:eastAsia="Verdana" w:hAnsi="Verdana" w:cs="Verdana"/>
        </w:rPr>
        <w:t>6.5 Proyectos de construcción y/</w:t>
      </w:r>
      <w:proofErr w:type="spellStart"/>
      <w:r w:rsidRPr="006D7EC6">
        <w:rPr>
          <w:rFonts w:ascii="Verdana" w:eastAsia="Verdana" w:hAnsi="Verdana" w:cs="Verdana"/>
        </w:rPr>
        <w:t>o</w:t>
      </w:r>
      <w:proofErr w:type="spellEnd"/>
      <w:r w:rsidRPr="006D7EC6">
        <w:rPr>
          <w:rFonts w:ascii="Verdana" w:eastAsia="Verdana" w:hAnsi="Verdana" w:cs="Verdana"/>
        </w:rPr>
        <w:t xml:space="preserve"> optimización y/o mejoramiento y/o rehabilitación y/o reforzamiento y/o reconstrucción y/o reposición y/o modernización y/o mantenimiento y/o ampliación de sistemas sépticos en zonas rurales</w:t>
      </w:r>
      <w:r w:rsidR="00511B1A" w:rsidRPr="006D7EC6">
        <w:rPr>
          <w:rFonts w:ascii="Verdana" w:eastAsia="Verdana" w:hAnsi="Verdana" w:cs="Verdana"/>
        </w:rPr>
        <w:t>.</w:t>
      </w:r>
    </w:p>
    <w:p w14:paraId="69C0FE9C" w14:textId="77777777" w:rsidR="00511B1A" w:rsidRPr="006D7EC6" w:rsidRDefault="00511B1A" w:rsidP="00444C2B">
      <w:pPr>
        <w:pStyle w:val="Prrafodelista"/>
        <w:ind w:left="426"/>
        <w:rPr>
          <w:rFonts w:ascii="Verdana" w:eastAsia="Verdana" w:hAnsi="Verdana" w:cs="Verdana"/>
        </w:rPr>
      </w:pPr>
    </w:p>
    <w:p w14:paraId="61290E46" w14:textId="77777777" w:rsidR="00511B1A" w:rsidRPr="006D7EC6" w:rsidRDefault="00511B1A" w:rsidP="00444C2B">
      <w:pPr>
        <w:pStyle w:val="Prrafodelista"/>
        <w:ind w:left="426"/>
        <w:rPr>
          <w:rFonts w:ascii="Verdana" w:eastAsia="Verdana" w:hAnsi="Verdana" w:cs="Verdana"/>
        </w:rPr>
      </w:pPr>
    </w:p>
    <w:p w14:paraId="695343DD" w14:textId="07A86D22" w:rsidR="00511B1A" w:rsidRPr="006D7EC6" w:rsidRDefault="00511B1A" w:rsidP="00444C2B">
      <w:pPr>
        <w:pStyle w:val="Prrafodelista"/>
        <w:ind w:left="426"/>
        <w:rPr>
          <w:rFonts w:ascii="Verdana" w:eastAsia="Verdana" w:hAnsi="Verdana" w:cs="Verdana"/>
        </w:rPr>
      </w:pPr>
      <w:r w:rsidRPr="006D7EC6">
        <w:rPr>
          <w:rFonts w:ascii="Verdana" w:eastAsia="Verdana" w:hAnsi="Verdana" w:cs="Verdana"/>
        </w:rPr>
        <w:t>En el siguiente gráfico se muestra el resumen de los capítulos que se incluyen en la presente modificación:</w:t>
      </w:r>
    </w:p>
    <w:p w14:paraId="7E93DE94" w14:textId="77777777" w:rsidR="00A57385" w:rsidRPr="006D7EC6" w:rsidRDefault="00A57385" w:rsidP="00444C2B">
      <w:pPr>
        <w:pStyle w:val="Prrafodelista"/>
        <w:ind w:left="426"/>
        <w:rPr>
          <w:rFonts w:ascii="Verdana" w:eastAsia="Verdana" w:hAnsi="Verdana" w:cs="Verdana"/>
        </w:rPr>
      </w:pPr>
    </w:p>
    <w:p w14:paraId="27A3270B" w14:textId="3DEB2773" w:rsidR="00A57385" w:rsidRPr="006D7EC6" w:rsidRDefault="00973CF5" w:rsidP="00973CF5">
      <w:pPr>
        <w:pStyle w:val="Descripcin"/>
        <w:jc w:val="center"/>
        <w:rPr>
          <w:rFonts w:ascii="Verdana" w:eastAsia="Verdana" w:hAnsi="Verdana" w:cs="Verdana"/>
        </w:rPr>
      </w:pPr>
      <w:bookmarkStart w:id="763" w:name="_Toc231368844"/>
      <w:r w:rsidRPr="00973CF5">
        <w:rPr>
          <w:rFonts w:ascii="Verdana" w:hAnsi="Verdana"/>
          <w:sz w:val="22"/>
          <w:szCs w:val="22"/>
        </w:rPr>
        <w:t xml:space="preserve">Gráfica </w:t>
      </w:r>
      <w:r w:rsidRPr="00973CF5">
        <w:rPr>
          <w:rFonts w:ascii="Verdana" w:hAnsi="Verdana"/>
          <w:sz w:val="22"/>
          <w:szCs w:val="22"/>
        </w:rPr>
        <w:fldChar w:fldCharType="begin"/>
      </w:r>
      <w:r w:rsidRPr="00973CF5">
        <w:rPr>
          <w:rFonts w:ascii="Verdana" w:hAnsi="Verdana"/>
          <w:sz w:val="22"/>
          <w:szCs w:val="22"/>
        </w:rPr>
        <w:instrText xml:space="preserve"> SEQ Gráfica \* ARABIC </w:instrText>
      </w:r>
      <w:r w:rsidRPr="00973CF5">
        <w:rPr>
          <w:rFonts w:ascii="Verdana" w:hAnsi="Verdana"/>
          <w:sz w:val="22"/>
          <w:szCs w:val="22"/>
        </w:rPr>
        <w:fldChar w:fldCharType="separate"/>
      </w:r>
      <w:r w:rsidRPr="00973CF5">
        <w:rPr>
          <w:rFonts w:ascii="Verdana" w:hAnsi="Verdana"/>
          <w:noProof/>
          <w:sz w:val="22"/>
          <w:szCs w:val="22"/>
        </w:rPr>
        <w:t>69</w:t>
      </w:r>
      <w:r w:rsidRPr="00973CF5">
        <w:rPr>
          <w:rFonts w:ascii="Verdana" w:hAnsi="Verdana"/>
          <w:sz w:val="22"/>
          <w:szCs w:val="22"/>
        </w:rPr>
        <w:fldChar w:fldCharType="end"/>
      </w:r>
      <w:r w:rsidRPr="00973CF5">
        <w:rPr>
          <w:rFonts w:ascii="Verdana" w:hAnsi="Verdana"/>
          <w:sz w:val="22"/>
          <w:szCs w:val="22"/>
        </w:rPr>
        <w:t>. Capítulos propuestos en las Matrices de Experiencia del sector APSB</w:t>
      </w:r>
      <w:bookmarkEnd w:id="763"/>
    </w:p>
    <w:p w14:paraId="7198FB94" w14:textId="363250B1" w:rsidR="00511B1A" w:rsidRPr="006D7EC6" w:rsidRDefault="00DE0ADB" w:rsidP="00444C2B">
      <w:pPr>
        <w:pStyle w:val="Prrafodelista"/>
        <w:ind w:left="426"/>
        <w:rPr>
          <w:rFonts w:ascii="Verdana" w:eastAsia="Verdana" w:hAnsi="Verdana" w:cs="Verdana"/>
        </w:rPr>
      </w:pPr>
      <w:r w:rsidRPr="006D7EC6">
        <w:rPr>
          <w:rFonts w:ascii="Verdana" w:eastAsia="Verdana" w:hAnsi="Verdana" w:cs="Verdana"/>
          <w:noProof/>
        </w:rPr>
        <w:drawing>
          <wp:inline distT="0" distB="0" distL="0" distR="0" wp14:anchorId="434E60A2" wp14:editId="575B187C">
            <wp:extent cx="6119437" cy="1703425"/>
            <wp:effectExtent l="19050" t="19050" r="15240" b="11430"/>
            <wp:docPr id="4047407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40769" name=""/>
                    <pic:cNvPicPr/>
                  </pic:nvPicPr>
                  <pic:blipFill rotWithShape="1">
                    <a:blip r:embed="rId121"/>
                    <a:srcRect t="13439" b="11800"/>
                    <a:stretch>
                      <a:fillRect/>
                    </a:stretch>
                  </pic:blipFill>
                  <pic:spPr bwMode="auto">
                    <a:xfrm>
                      <a:off x="0" y="0"/>
                      <a:ext cx="6120765" cy="1703795"/>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B8BDC02" w14:textId="3CB1A02C" w:rsidR="00313A36" w:rsidRPr="00973CF5" w:rsidRDefault="00973CF5" w:rsidP="00973CF5">
      <w:pPr>
        <w:jc w:val="center"/>
        <w:rPr>
          <w:rFonts w:ascii="Verdana" w:eastAsia="Calibri" w:hAnsi="Verdana"/>
          <w:sz w:val="22"/>
          <w:szCs w:val="22"/>
        </w:rPr>
      </w:pPr>
      <w:r w:rsidRPr="00973CF5">
        <w:rPr>
          <w:rFonts w:ascii="Verdana" w:eastAsia="Calibri" w:hAnsi="Verdana"/>
          <w:b/>
          <w:bCs/>
          <w:sz w:val="22"/>
          <w:szCs w:val="22"/>
        </w:rPr>
        <w:t>Fuente</w:t>
      </w:r>
      <w:r w:rsidRPr="00973CF5">
        <w:rPr>
          <w:rFonts w:ascii="Verdana" w:eastAsia="Calibri" w:hAnsi="Verdana"/>
          <w:sz w:val="22"/>
          <w:szCs w:val="22"/>
        </w:rPr>
        <w:t>: Matrices de experiencia documento tipo</w:t>
      </w:r>
    </w:p>
    <w:p w14:paraId="6F84333B" w14:textId="77777777" w:rsidR="00313A36" w:rsidRPr="0021313A" w:rsidRDefault="00313A36" w:rsidP="00313A36">
      <w:pPr>
        <w:pStyle w:val="Prrafodelista"/>
        <w:numPr>
          <w:ilvl w:val="0"/>
          <w:numId w:val="99"/>
        </w:numPr>
        <w:rPr>
          <w:rFonts w:ascii="Verdana" w:eastAsia="Verdana" w:hAnsi="Verdana" w:cs="Verdana"/>
          <w:b/>
          <w:bCs/>
        </w:rPr>
      </w:pPr>
      <w:r w:rsidRPr="0021313A">
        <w:rPr>
          <w:rFonts w:ascii="Verdana" w:eastAsia="Verdana" w:hAnsi="Verdana" w:cs="Verdana"/>
          <w:b/>
          <w:bCs/>
        </w:rPr>
        <w:lastRenderedPageBreak/>
        <w:t>Componente financiero</w:t>
      </w:r>
    </w:p>
    <w:p w14:paraId="3DAE5E09" w14:textId="77777777" w:rsidR="00313A36" w:rsidRPr="0021313A" w:rsidRDefault="00313A36" w:rsidP="00313A36">
      <w:pPr>
        <w:jc w:val="both"/>
        <w:rPr>
          <w:rFonts w:ascii="Verdana" w:hAnsi="Verdana" w:cs="Arial"/>
          <w:sz w:val="22"/>
          <w:szCs w:val="22"/>
        </w:rPr>
      </w:pPr>
    </w:p>
    <w:p w14:paraId="4D2F6DE9" w14:textId="044EDFB9" w:rsidR="00910394" w:rsidRPr="0021313A" w:rsidRDefault="00313A36" w:rsidP="00313A36">
      <w:pPr>
        <w:jc w:val="both"/>
        <w:rPr>
          <w:rFonts w:ascii="Verdana" w:hAnsi="Verdana" w:cs="Arial"/>
          <w:sz w:val="22"/>
          <w:szCs w:val="22"/>
        </w:rPr>
      </w:pPr>
      <w:r w:rsidRPr="0021313A">
        <w:rPr>
          <w:rFonts w:ascii="Verdana" w:hAnsi="Verdana" w:cs="Arial"/>
          <w:sz w:val="22"/>
          <w:szCs w:val="22"/>
        </w:rPr>
        <w:t>Respecto a las modificaciones realizadas a los requisitos habilitantes de capacidad financiera y organizacional, es importante señalar que establecer requisitos más proporcionales a la particularidad de cada proceso de selección, permitirá fortalecer los mecanismos para seleccionar al contratista más idóneo, pero atendiendo a las particularidades del servicio requerido y a las condiciones específicas del proyecto. Esto supondrá por ejemplo la determinación del capital de trabajo, reconociendo no solo las necesidades de apalancamiento iniciales, también considerando el flujo normal de negocios que puede tener un contratista cuando el plazo estimado de ejecución es mayor.</w:t>
      </w:r>
    </w:p>
    <w:p w14:paraId="5807C299" w14:textId="77777777" w:rsidR="00313A36" w:rsidRPr="0021313A" w:rsidRDefault="00313A36" w:rsidP="00313A36">
      <w:pPr>
        <w:jc w:val="both"/>
        <w:rPr>
          <w:rFonts w:ascii="Verdana" w:hAnsi="Verdana" w:cs="Arial"/>
          <w:sz w:val="22"/>
          <w:szCs w:val="22"/>
        </w:rPr>
      </w:pPr>
    </w:p>
    <w:p w14:paraId="61D02E2B" w14:textId="43FBF475" w:rsidR="0021313A" w:rsidRDefault="0021313A" w:rsidP="0021313A">
      <w:pPr>
        <w:jc w:val="both"/>
        <w:rPr>
          <w:rFonts w:ascii="Verdana" w:hAnsi="Verdana" w:cs="Arial"/>
          <w:sz w:val="22"/>
          <w:szCs w:val="22"/>
        </w:rPr>
      </w:pPr>
      <w:r w:rsidRPr="0021313A">
        <w:rPr>
          <w:rFonts w:ascii="Verdana" w:hAnsi="Verdana" w:cs="Arial"/>
          <w:sz w:val="22"/>
          <w:szCs w:val="22"/>
        </w:rPr>
        <w:t xml:space="preserve">La definición de los requisitos por rangos de cuantías de presupuesto (SMMLV) está pensado en promover dicho objetivo, toda vez que se están incrementando los requisitos cuando el proyecto tiene un mayor alcance (desde la perspectiva presupuestal). Esto supondrá por ejemplo la solicitud del indicador de Patrimonio en los proyectos de infraestructura </w:t>
      </w:r>
      <w:r w:rsidR="00741454">
        <w:rPr>
          <w:rFonts w:ascii="Verdana" w:hAnsi="Verdana" w:cs="Arial"/>
          <w:sz w:val="22"/>
          <w:szCs w:val="22"/>
        </w:rPr>
        <w:t>de agua potable y saneamiento básico</w:t>
      </w:r>
      <w:r w:rsidRPr="0021313A">
        <w:rPr>
          <w:rFonts w:ascii="Verdana" w:hAnsi="Verdana" w:cs="Arial"/>
          <w:sz w:val="22"/>
          <w:szCs w:val="22"/>
        </w:rPr>
        <w:t xml:space="preserve"> con mayor alcance a nivel de presupuesto y plazo, por ejemplo, o la determinación del capital de trabajo, reconociendo no solo las necesidades de apalancamiento iniciales, también considerando el flujo normal de negocios que puede tener un contratista cuando el plazo estimado de ejecución es mayor.</w:t>
      </w:r>
    </w:p>
    <w:p w14:paraId="75886897" w14:textId="77777777" w:rsidR="00910394" w:rsidRDefault="00910394" w:rsidP="0021313A">
      <w:pPr>
        <w:jc w:val="both"/>
        <w:rPr>
          <w:rFonts w:ascii="Verdana" w:hAnsi="Verdana" w:cs="Arial"/>
          <w:sz w:val="22"/>
          <w:szCs w:val="22"/>
        </w:rPr>
      </w:pPr>
    </w:p>
    <w:p w14:paraId="5FE8BC05" w14:textId="1D902BE4" w:rsidR="00313A36" w:rsidRDefault="0021313A" w:rsidP="0021313A">
      <w:pPr>
        <w:jc w:val="both"/>
        <w:rPr>
          <w:rFonts w:ascii="Verdana" w:hAnsi="Verdana" w:cs="Arial"/>
          <w:sz w:val="22"/>
          <w:szCs w:val="22"/>
        </w:rPr>
      </w:pPr>
      <w:r w:rsidRPr="0021313A">
        <w:rPr>
          <w:rFonts w:ascii="Verdana" w:hAnsi="Verdana" w:cs="Arial"/>
          <w:sz w:val="22"/>
          <w:szCs w:val="22"/>
        </w:rPr>
        <w:t>Igualmente, considerar el anticipo o pago anticipado dentro de los mecanismos para apalancar el requisito de capital de trabajo demandado (en los eventos en los cuales la Entidad determine otorgarlo), impactará positivamente en el aumento de la participación de los proponentes interesados en participar en los procesos de selección, sin afectar las necesidades de apalancamiento del proyecto.</w:t>
      </w:r>
    </w:p>
    <w:p w14:paraId="32548110" w14:textId="77777777" w:rsidR="00910394" w:rsidRDefault="00910394" w:rsidP="0021313A">
      <w:pPr>
        <w:jc w:val="both"/>
        <w:rPr>
          <w:rFonts w:ascii="Verdana" w:hAnsi="Verdana" w:cs="Arial"/>
          <w:sz w:val="22"/>
          <w:szCs w:val="22"/>
        </w:rPr>
      </w:pPr>
    </w:p>
    <w:p w14:paraId="1218DEC1" w14:textId="76A61BA0" w:rsidR="00910394" w:rsidRPr="00611315" w:rsidRDefault="00910394" w:rsidP="00910394">
      <w:pPr>
        <w:ind w:left="66"/>
        <w:jc w:val="both"/>
        <w:rPr>
          <w:rFonts w:ascii="Verdana" w:hAnsi="Verdana"/>
          <w:sz w:val="22"/>
          <w:szCs w:val="22"/>
        </w:rPr>
      </w:pPr>
      <w:r>
        <w:rPr>
          <w:rFonts w:ascii="Verdana" w:hAnsi="Verdana" w:cs="Arial"/>
          <w:sz w:val="22"/>
          <w:szCs w:val="22"/>
        </w:rPr>
        <w:t xml:space="preserve">A manera de conclusión, y como se pudo evidenciar en el </w:t>
      </w:r>
      <w:proofErr w:type="spellStart"/>
      <w:r>
        <w:rPr>
          <w:rFonts w:ascii="Verdana" w:hAnsi="Verdana" w:cs="Arial"/>
          <w:sz w:val="22"/>
          <w:szCs w:val="22"/>
        </w:rPr>
        <w:t>capitulo</w:t>
      </w:r>
      <w:proofErr w:type="spellEnd"/>
      <w:r>
        <w:rPr>
          <w:rFonts w:ascii="Verdana" w:hAnsi="Verdana" w:cs="Arial"/>
          <w:sz w:val="22"/>
          <w:szCs w:val="22"/>
        </w:rPr>
        <w:t xml:space="preserve"> II de documento, </w:t>
      </w:r>
      <w:r>
        <w:rPr>
          <w:rFonts w:ascii="Verdana" w:hAnsi="Verdana"/>
          <w:sz w:val="22"/>
          <w:szCs w:val="22"/>
        </w:rPr>
        <w:t xml:space="preserve">se pudo evidenciar que </w:t>
      </w:r>
      <w:r w:rsidRPr="00C463B0">
        <w:rPr>
          <w:rFonts w:ascii="Verdana" w:hAnsi="Verdana"/>
          <w:sz w:val="22"/>
          <w:szCs w:val="22"/>
        </w:rPr>
        <w:t>los indicadores propuestos para la actualización de los documentos tipo de infraestructura de agua potable y saneamiento básico, son acordes con las particularidades del servicio a contratar y proporcionales a las condiciones del proceso (modalidad, presupuesto y plazo estimado de ejecución). Adicionalmente, se puede observar que los requisitos permiten la concurrencia de las empresas identificadas como potenciales proveedores, asegurando así la pluralidad de oferentes dentro de los procesos de selección, lo cual se evidencia en que se están incrementando la cantidad de proponentes que cumplirían con los requerimientos en comparación con aquellos que han participado en los procesos de selección utilizados de referencia en cada escenario analizado.</w:t>
      </w:r>
    </w:p>
    <w:p w14:paraId="55F40EA1" w14:textId="5F264BF5" w:rsidR="00910394" w:rsidRPr="0021313A" w:rsidRDefault="00910394" w:rsidP="0021313A">
      <w:pPr>
        <w:jc w:val="both"/>
        <w:rPr>
          <w:rFonts w:ascii="Verdana" w:hAnsi="Verdana" w:cs="Arial"/>
          <w:sz w:val="22"/>
          <w:szCs w:val="22"/>
        </w:rPr>
      </w:pPr>
    </w:p>
    <w:p w14:paraId="5D2DF7D5" w14:textId="77777777" w:rsidR="00313A36" w:rsidRPr="001F4E8B" w:rsidRDefault="00313A36" w:rsidP="00313A36">
      <w:pPr>
        <w:jc w:val="both"/>
        <w:rPr>
          <w:rFonts w:ascii="Verdana" w:hAnsi="Verdana" w:cs="Arial"/>
          <w:sz w:val="22"/>
          <w:szCs w:val="22"/>
        </w:rPr>
      </w:pPr>
    </w:p>
    <w:p w14:paraId="478996B2" w14:textId="77777777" w:rsidR="00313A36" w:rsidRPr="001F4E8B" w:rsidRDefault="00313A36" w:rsidP="00313A36">
      <w:pPr>
        <w:pStyle w:val="Prrafodelista"/>
        <w:numPr>
          <w:ilvl w:val="0"/>
          <w:numId w:val="99"/>
        </w:numPr>
        <w:rPr>
          <w:rFonts w:ascii="Verdana" w:eastAsia="Verdana" w:hAnsi="Verdana" w:cs="Verdana"/>
          <w:b/>
          <w:bCs/>
        </w:rPr>
      </w:pPr>
      <w:r w:rsidRPr="001F4E8B">
        <w:rPr>
          <w:rFonts w:ascii="Verdana" w:eastAsia="Verdana" w:hAnsi="Verdana" w:cs="Verdana"/>
          <w:b/>
          <w:bCs/>
        </w:rPr>
        <w:t>Componente jurídico</w:t>
      </w:r>
    </w:p>
    <w:p w14:paraId="04670F39" w14:textId="77777777" w:rsidR="00313A36" w:rsidRPr="001F4E8B" w:rsidRDefault="00313A36" w:rsidP="00313A36">
      <w:pPr>
        <w:jc w:val="both"/>
        <w:rPr>
          <w:rFonts w:ascii="Verdana" w:hAnsi="Verdana" w:cs="Arial"/>
          <w:sz w:val="22"/>
          <w:szCs w:val="22"/>
        </w:rPr>
      </w:pPr>
    </w:p>
    <w:p w14:paraId="00BFA80C" w14:textId="77777777" w:rsidR="00313A36" w:rsidRPr="001F4E8B" w:rsidRDefault="00313A36" w:rsidP="00313A36">
      <w:pPr>
        <w:jc w:val="both"/>
        <w:rPr>
          <w:rFonts w:ascii="Verdana" w:hAnsi="Verdana" w:cs="Arial"/>
          <w:sz w:val="22"/>
          <w:szCs w:val="22"/>
        </w:rPr>
      </w:pPr>
      <w:r w:rsidRPr="001F4E8B">
        <w:rPr>
          <w:rFonts w:ascii="Verdana" w:hAnsi="Verdana" w:cs="Arial"/>
          <w:sz w:val="22"/>
          <w:szCs w:val="22"/>
        </w:rPr>
        <w:t xml:space="preserve">En el contexto actual, las modificaciones jurídicas apuestan por la inclusión dentro de los principios fundamentales de la contratación estatal se encuentra la </w:t>
      </w:r>
      <w:r w:rsidRPr="001F4E8B">
        <w:rPr>
          <w:rFonts w:ascii="Verdana" w:hAnsi="Verdana" w:cs="Arial"/>
          <w:bCs/>
          <w:sz w:val="22"/>
          <w:szCs w:val="22"/>
        </w:rPr>
        <w:t>selección objetiva</w:t>
      </w:r>
      <w:r w:rsidRPr="001F4E8B">
        <w:rPr>
          <w:rFonts w:ascii="Verdana" w:hAnsi="Verdana" w:cs="Arial"/>
          <w:sz w:val="22"/>
          <w:szCs w:val="22"/>
        </w:rPr>
        <w:t>, una premisa clave para asegurar la transparencia y eficacia en el proceso de adjudicación de contratos públicos. Este principio se centra en elegir la oferta que mejor se adapte a las necesidades de la entidad, sin dejar espacio para consideraciones subjetivas que puedan comprometer la integridad del proceso.</w:t>
      </w:r>
      <w:r w:rsidRPr="001F4E8B">
        <w:rPr>
          <w:rFonts w:ascii="Verdana" w:hAnsi="Verdana"/>
          <w:b/>
          <w:color w:val="000000"/>
          <w:sz w:val="22"/>
          <w:szCs w:val="22"/>
          <w:lang w:eastAsia="es-CO"/>
        </w:rPr>
        <w:t xml:space="preserve"> </w:t>
      </w:r>
      <w:r w:rsidRPr="001F4E8B">
        <w:rPr>
          <w:rFonts w:ascii="Verdana" w:hAnsi="Verdana" w:cs="Arial"/>
          <w:sz w:val="22"/>
          <w:szCs w:val="22"/>
        </w:rPr>
        <w:t>El presupuesto desempeña un papel crucial en el desarrollo de las modificaciones a los documentos tipo base, así como en la inclusión de nuevas modalidades de contratación.</w:t>
      </w:r>
    </w:p>
    <w:p w14:paraId="539E7986" w14:textId="77777777" w:rsidR="00313A36" w:rsidRPr="001F4E8B" w:rsidRDefault="00313A36" w:rsidP="00313A36">
      <w:pPr>
        <w:jc w:val="both"/>
        <w:rPr>
          <w:rFonts w:ascii="Verdana" w:hAnsi="Verdana" w:cs="Arial"/>
          <w:sz w:val="22"/>
          <w:szCs w:val="22"/>
        </w:rPr>
      </w:pPr>
    </w:p>
    <w:p w14:paraId="01A8E71F" w14:textId="77777777" w:rsidR="00313A36" w:rsidRPr="001F4E8B" w:rsidRDefault="00313A36" w:rsidP="00313A36">
      <w:pPr>
        <w:jc w:val="both"/>
        <w:rPr>
          <w:rFonts w:ascii="Verdana" w:hAnsi="Verdana" w:cs="Arial"/>
          <w:sz w:val="22"/>
          <w:szCs w:val="22"/>
        </w:rPr>
      </w:pPr>
      <w:r w:rsidRPr="001F4E8B">
        <w:rPr>
          <w:rFonts w:ascii="Verdana" w:hAnsi="Verdana" w:cs="Arial"/>
          <w:sz w:val="22"/>
          <w:szCs w:val="22"/>
        </w:rPr>
        <w:t>La contratación estatal debe fomentar la participación amplia asegurando que todas las partes interesadas tengan la oportunidad de presentar sus propuestas. Esto no solo mejora la competitividad, sino que también garantiza que se consideren diversas perspectivas y soluciones. La transparencia en el proceso de selección es esencial para mantener la confianza pública en las instituciones estatales.</w:t>
      </w:r>
    </w:p>
    <w:p w14:paraId="47B73C3F" w14:textId="77777777" w:rsidR="00313A36" w:rsidRPr="001F4E8B" w:rsidRDefault="00313A36" w:rsidP="00313A36">
      <w:pPr>
        <w:jc w:val="both"/>
        <w:rPr>
          <w:rFonts w:ascii="Verdana" w:hAnsi="Verdana" w:cs="Arial"/>
          <w:sz w:val="22"/>
          <w:szCs w:val="22"/>
        </w:rPr>
      </w:pPr>
    </w:p>
    <w:p w14:paraId="5B8F0844" w14:textId="77777777" w:rsidR="00313A36" w:rsidRPr="001F4E8B" w:rsidRDefault="00313A36" w:rsidP="00313A36">
      <w:pPr>
        <w:jc w:val="both"/>
        <w:rPr>
          <w:rFonts w:ascii="Verdana" w:hAnsi="Verdana" w:cs="Arial"/>
          <w:sz w:val="22"/>
          <w:szCs w:val="22"/>
        </w:rPr>
      </w:pPr>
      <w:r w:rsidRPr="001F4E8B">
        <w:rPr>
          <w:rFonts w:ascii="Verdana" w:hAnsi="Verdana" w:cs="Arial"/>
          <w:sz w:val="22"/>
          <w:szCs w:val="22"/>
        </w:rPr>
        <w:t xml:space="preserve">Dentro de los ajustes normativos y jurídicos encontramos: </w:t>
      </w:r>
    </w:p>
    <w:p w14:paraId="193CF3AB" w14:textId="77777777" w:rsidR="00313A36" w:rsidRPr="001F4E8B" w:rsidRDefault="00313A36" w:rsidP="00313A36">
      <w:pPr>
        <w:pStyle w:val="NormalWeb"/>
        <w:numPr>
          <w:ilvl w:val="0"/>
          <w:numId w:val="95"/>
        </w:numPr>
        <w:rPr>
          <w:rFonts w:ascii="Verdana" w:hAnsi="Verdana" w:cs="Arial"/>
          <w:sz w:val="22"/>
          <w:szCs w:val="22"/>
          <w:lang w:eastAsia="es-MX"/>
        </w:rPr>
      </w:pPr>
      <w:r w:rsidRPr="001F4E8B">
        <w:rPr>
          <w:rFonts w:ascii="Verdana" w:hAnsi="Verdana" w:cs="Arial"/>
          <w:b/>
          <w:bCs/>
          <w:sz w:val="22"/>
          <w:szCs w:val="22"/>
          <w:lang w:eastAsia="es-MX"/>
        </w:rPr>
        <w:t>Registro de Deudores Alimentarios (REDAM):</w:t>
      </w:r>
    </w:p>
    <w:p w14:paraId="525CAE3A" w14:textId="77777777" w:rsidR="00313A36" w:rsidRPr="001F4E8B" w:rsidRDefault="00313A36" w:rsidP="00313A36">
      <w:pPr>
        <w:pStyle w:val="NormalWeb"/>
        <w:ind w:left="720"/>
        <w:rPr>
          <w:rFonts w:ascii="Verdana" w:hAnsi="Verdana" w:cs="Arial"/>
          <w:sz w:val="22"/>
          <w:szCs w:val="22"/>
          <w:lang w:eastAsia="es-MX"/>
        </w:rPr>
      </w:pPr>
      <w:r w:rsidRPr="001F4E8B">
        <w:rPr>
          <w:rFonts w:ascii="Verdana" w:hAnsi="Verdana" w:cs="Arial"/>
          <w:sz w:val="22"/>
          <w:szCs w:val="22"/>
          <w:lang w:eastAsia="es-MX"/>
        </w:rPr>
        <w:t>Se incorpora la obligación de presentar el certificado REDAM, en cumplimiento del artículo 6 de la Ley 2097 de 2021.</w:t>
      </w:r>
    </w:p>
    <w:p w14:paraId="4894CF5F" w14:textId="77777777" w:rsidR="00313A36" w:rsidRPr="001F4E8B" w:rsidRDefault="00313A36" w:rsidP="00313A36">
      <w:pPr>
        <w:pStyle w:val="NormalWeb"/>
        <w:numPr>
          <w:ilvl w:val="0"/>
          <w:numId w:val="95"/>
        </w:numPr>
        <w:rPr>
          <w:rFonts w:ascii="Verdana" w:hAnsi="Verdana" w:cs="Arial"/>
          <w:sz w:val="22"/>
          <w:szCs w:val="22"/>
          <w:lang w:eastAsia="es-MX"/>
        </w:rPr>
      </w:pPr>
      <w:r w:rsidRPr="001F4E8B">
        <w:rPr>
          <w:rFonts w:ascii="Verdana" w:hAnsi="Verdana" w:cs="Arial"/>
          <w:b/>
          <w:bCs/>
          <w:sz w:val="22"/>
          <w:szCs w:val="22"/>
          <w:lang w:eastAsia="es-MX"/>
        </w:rPr>
        <w:t>Aportes y Seguridad Social:</w:t>
      </w:r>
    </w:p>
    <w:p w14:paraId="0FE4435C" w14:textId="77777777" w:rsidR="00313A36" w:rsidRPr="001F4E8B" w:rsidRDefault="00313A36" w:rsidP="00313A36">
      <w:pPr>
        <w:pStyle w:val="NormalWeb"/>
        <w:ind w:left="720"/>
        <w:rPr>
          <w:rFonts w:ascii="Verdana" w:hAnsi="Verdana" w:cs="Arial"/>
          <w:sz w:val="22"/>
          <w:szCs w:val="22"/>
          <w:lang w:eastAsia="es-MX"/>
        </w:rPr>
      </w:pPr>
      <w:r w:rsidRPr="001F4E8B">
        <w:rPr>
          <w:rFonts w:ascii="Verdana" w:hAnsi="Verdana" w:cs="Arial"/>
          <w:sz w:val="22"/>
          <w:szCs w:val="22"/>
          <w:lang w:eastAsia="es-MX"/>
        </w:rPr>
        <w:t>Se ajusta la forma de acreditar el cumplimiento de pagos de seguridad social y aportes legales, teniendo en cuenta los programas del Gobierno en materia pensional y el reconocimiento de sustitutivos de pensión.</w:t>
      </w:r>
    </w:p>
    <w:p w14:paraId="42F8DDB7" w14:textId="77777777" w:rsidR="00313A36" w:rsidRPr="001F4E8B" w:rsidRDefault="00313A36" w:rsidP="00313A36">
      <w:pPr>
        <w:pStyle w:val="NormalWeb"/>
        <w:numPr>
          <w:ilvl w:val="0"/>
          <w:numId w:val="95"/>
        </w:numPr>
        <w:spacing w:after="0" w:afterAutospacing="0"/>
        <w:rPr>
          <w:rFonts w:ascii="Verdana" w:hAnsi="Verdana" w:cs="Arial"/>
          <w:sz w:val="22"/>
          <w:szCs w:val="22"/>
          <w:lang w:eastAsia="es-MX"/>
        </w:rPr>
      </w:pPr>
      <w:r w:rsidRPr="001F4E8B">
        <w:rPr>
          <w:rFonts w:ascii="Verdana" w:hAnsi="Verdana" w:cs="Arial"/>
          <w:b/>
          <w:bCs/>
          <w:sz w:val="22"/>
          <w:szCs w:val="22"/>
          <w:lang w:eastAsia="es-MX"/>
        </w:rPr>
        <w:t>Ajustes jurídicos y de redacción:</w:t>
      </w:r>
    </w:p>
    <w:p w14:paraId="605E7F48" w14:textId="77777777" w:rsidR="00313A36" w:rsidRPr="001F4E8B" w:rsidRDefault="00313A36" w:rsidP="00313A36">
      <w:pPr>
        <w:pStyle w:val="NormalWeb"/>
        <w:spacing w:before="0" w:beforeAutospacing="0" w:after="0" w:afterAutospacing="0"/>
        <w:ind w:left="720"/>
        <w:rPr>
          <w:rFonts w:ascii="Verdana" w:hAnsi="Verdana" w:cs="Arial"/>
          <w:sz w:val="22"/>
          <w:szCs w:val="22"/>
          <w:lang w:eastAsia="es-MX"/>
        </w:rPr>
      </w:pPr>
    </w:p>
    <w:p w14:paraId="2445EA23" w14:textId="1F830D45" w:rsidR="00313A36" w:rsidRPr="001F4E8B" w:rsidRDefault="00313A36" w:rsidP="00313A36">
      <w:pPr>
        <w:pStyle w:val="NormalWeb"/>
        <w:numPr>
          <w:ilvl w:val="1"/>
          <w:numId w:val="95"/>
        </w:numPr>
        <w:spacing w:before="0" w:beforeAutospacing="0"/>
        <w:rPr>
          <w:rFonts w:ascii="Verdana" w:hAnsi="Verdana" w:cs="Arial"/>
          <w:sz w:val="22"/>
          <w:szCs w:val="22"/>
          <w:lang w:eastAsia="es-MX"/>
        </w:rPr>
      </w:pPr>
      <w:r w:rsidRPr="001F4E8B">
        <w:rPr>
          <w:rFonts w:ascii="Verdana" w:hAnsi="Verdana" w:cs="Arial"/>
          <w:sz w:val="22"/>
          <w:szCs w:val="22"/>
          <w:lang w:eastAsia="es-MX"/>
        </w:rPr>
        <w:t xml:space="preserve">Inclusión del Decreto 142 de 2023, que permite limitar procesos a </w:t>
      </w:r>
      <w:r w:rsidR="002A5B36" w:rsidRPr="001F4E8B">
        <w:rPr>
          <w:rFonts w:ascii="Verdana" w:hAnsi="Verdana" w:cs="Arial"/>
          <w:sz w:val="22"/>
          <w:szCs w:val="22"/>
          <w:lang w:eastAsia="es-MX"/>
        </w:rPr>
        <w:t>MiPymes</w:t>
      </w:r>
      <w:r w:rsidRPr="001F4E8B">
        <w:rPr>
          <w:rFonts w:ascii="Verdana" w:hAnsi="Verdana" w:cs="Arial"/>
          <w:sz w:val="22"/>
          <w:szCs w:val="22"/>
          <w:lang w:eastAsia="es-MX"/>
        </w:rPr>
        <w:t xml:space="preserve"> en ciertos lotes.</w:t>
      </w:r>
    </w:p>
    <w:p w14:paraId="293419A8" w14:textId="77777777" w:rsidR="00313A36" w:rsidRPr="001F4E8B" w:rsidRDefault="00313A36" w:rsidP="00313A36">
      <w:pPr>
        <w:pStyle w:val="NormalWeb"/>
        <w:numPr>
          <w:ilvl w:val="1"/>
          <w:numId w:val="95"/>
        </w:numPr>
        <w:rPr>
          <w:rFonts w:ascii="Verdana" w:hAnsi="Verdana" w:cs="Arial"/>
          <w:sz w:val="22"/>
          <w:szCs w:val="22"/>
          <w:lang w:eastAsia="es-MX"/>
        </w:rPr>
      </w:pPr>
      <w:r w:rsidRPr="001F4E8B">
        <w:rPr>
          <w:rFonts w:ascii="Verdana" w:hAnsi="Verdana" w:cs="Arial"/>
          <w:sz w:val="22"/>
          <w:szCs w:val="22"/>
          <w:lang w:eastAsia="es-MX"/>
        </w:rPr>
        <w:t>Posibilidad de que las entidades exijan garantías adicionales en la etapa contractual, más allá de lo previsto en el Decreto 1082 de 2015.</w:t>
      </w:r>
    </w:p>
    <w:p w14:paraId="4EC90CCF" w14:textId="77777777" w:rsidR="00313A36" w:rsidRPr="001F4E8B" w:rsidRDefault="00313A36" w:rsidP="00313A36">
      <w:pPr>
        <w:pStyle w:val="NormalWeb"/>
        <w:numPr>
          <w:ilvl w:val="1"/>
          <w:numId w:val="95"/>
        </w:numPr>
        <w:spacing w:after="0" w:afterAutospacing="0"/>
        <w:rPr>
          <w:rFonts w:ascii="Verdana" w:hAnsi="Verdana" w:cs="Arial"/>
          <w:sz w:val="22"/>
          <w:szCs w:val="22"/>
          <w:lang w:eastAsia="es-MX"/>
        </w:rPr>
      </w:pPr>
      <w:r w:rsidRPr="001F4E8B">
        <w:rPr>
          <w:rFonts w:ascii="Verdana" w:hAnsi="Verdana" w:cs="Arial"/>
          <w:sz w:val="22"/>
          <w:szCs w:val="22"/>
          <w:lang w:eastAsia="es-MX"/>
        </w:rPr>
        <w:lastRenderedPageBreak/>
        <w:t>Ajustes y nuevas causales de rechazo, incluyendo las relacionadas con el uso de la plataforma.</w:t>
      </w:r>
    </w:p>
    <w:p w14:paraId="640D1074" w14:textId="77777777" w:rsidR="00313A36" w:rsidRPr="001F4E8B" w:rsidRDefault="00313A36" w:rsidP="00313A36">
      <w:pPr>
        <w:pStyle w:val="NormalWeb"/>
        <w:spacing w:before="0" w:beforeAutospacing="0" w:after="0" w:afterAutospacing="0"/>
        <w:ind w:left="720"/>
        <w:rPr>
          <w:rFonts w:ascii="Verdana" w:hAnsi="Verdana" w:cs="Arial"/>
          <w:sz w:val="22"/>
          <w:szCs w:val="22"/>
          <w:lang w:eastAsia="es-MX"/>
        </w:rPr>
      </w:pPr>
    </w:p>
    <w:p w14:paraId="643D0C0D" w14:textId="77777777" w:rsidR="00313A36" w:rsidRPr="001F4E8B" w:rsidRDefault="00313A36" w:rsidP="00313A36">
      <w:pPr>
        <w:pStyle w:val="NormalWeb"/>
        <w:numPr>
          <w:ilvl w:val="0"/>
          <w:numId w:val="95"/>
        </w:numPr>
        <w:spacing w:before="0" w:beforeAutospacing="0" w:after="0" w:afterAutospacing="0"/>
        <w:rPr>
          <w:rFonts w:ascii="Verdana" w:hAnsi="Verdana" w:cs="Arial"/>
          <w:sz w:val="22"/>
          <w:szCs w:val="22"/>
          <w:lang w:eastAsia="es-MX"/>
        </w:rPr>
      </w:pPr>
      <w:r w:rsidRPr="001F4E8B">
        <w:rPr>
          <w:rFonts w:ascii="Verdana" w:hAnsi="Verdana" w:cs="Arial"/>
          <w:b/>
          <w:bCs/>
          <w:sz w:val="22"/>
          <w:szCs w:val="22"/>
          <w:lang w:eastAsia="es-MX"/>
        </w:rPr>
        <w:t>Notas aclaratorias:</w:t>
      </w:r>
    </w:p>
    <w:p w14:paraId="15044DBB" w14:textId="77777777" w:rsidR="00313A36" w:rsidRPr="001F4E8B" w:rsidRDefault="00313A36" w:rsidP="00313A36">
      <w:pPr>
        <w:pStyle w:val="NormalWeb"/>
        <w:spacing w:before="0" w:beforeAutospacing="0" w:after="0" w:afterAutospacing="0"/>
        <w:ind w:left="720"/>
        <w:rPr>
          <w:rFonts w:ascii="Verdana" w:hAnsi="Verdana" w:cs="Arial"/>
          <w:sz w:val="22"/>
          <w:szCs w:val="22"/>
          <w:lang w:eastAsia="es-MX"/>
        </w:rPr>
      </w:pPr>
    </w:p>
    <w:p w14:paraId="6126ADD6" w14:textId="77777777" w:rsidR="00313A36" w:rsidRPr="001F4E8B" w:rsidRDefault="00313A36" w:rsidP="00313A36">
      <w:pPr>
        <w:pStyle w:val="NormalWeb"/>
        <w:numPr>
          <w:ilvl w:val="1"/>
          <w:numId w:val="95"/>
        </w:numPr>
        <w:spacing w:before="0" w:beforeAutospacing="0"/>
        <w:rPr>
          <w:rFonts w:ascii="Verdana" w:hAnsi="Verdana" w:cs="Arial"/>
          <w:sz w:val="22"/>
          <w:szCs w:val="22"/>
          <w:lang w:eastAsia="es-MX"/>
        </w:rPr>
      </w:pPr>
      <w:r w:rsidRPr="001F4E8B">
        <w:rPr>
          <w:rFonts w:ascii="Verdana" w:hAnsi="Verdana" w:cs="Arial"/>
          <w:sz w:val="22"/>
          <w:szCs w:val="22"/>
          <w:lang w:eastAsia="es-MX"/>
        </w:rPr>
        <w:t>Las entidades pueden exigir garantías adicionales cuando lo justifiquen.</w:t>
      </w:r>
    </w:p>
    <w:p w14:paraId="0EA69A97" w14:textId="2A33FACF" w:rsidR="00702931" w:rsidRPr="001F4E8B" w:rsidRDefault="00702931" w:rsidP="00313A36">
      <w:pPr>
        <w:pStyle w:val="NormalWeb"/>
        <w:numPr>
          <w:ilvl w:val="1"/>
          <w:numId w:val="95"/>
        </w:numPr>
        <w:spacing w:before="0" w:beforeAutospacing="0"/>
        <w:rPr>
          <w:rFonts w:ascii="Verdana" w:hAnsi="Verdana" w:cs="Arial"/>
          <w:sz w:val="22"/>
          <w:szCs w:val="22"/>
          <w:lang w:eastAsia="es-MX"/>
        </w:rPr>
      </w:pPr>
      <w:r w:rsidRPr="001F4E8B">
        <w:rPr>
          <w:rFonts w:ascii="Verdana" w:hAnsi="Verdana" w:cs="Arial"/>
          <w:sz w:val="22"/>
          <w:szCs w:val="22"/>
          <w:lang w:eastAsia="es-MX"/>
        </w:rPr>
        <w:t xml:space="preserve">Se incorporan varias notas aclaratorias a lo largo de los documentos, con el objetivo de facilitar la comprensión e implementación de los pliegos tipo en los procesos de contratación. </w:t>
      </w:r>
    </w:p>
    <w:p w14:paraId="6641B5C0" w14:textId="1B0A746E" w:rsidR="00D76E3F" w:rsidRDefault="001507C6" w:rsidP="00F1396C">
      <w:pPr>
        <w:pStyle w:val="NormalWeb"/>
        <w:numPr>
          <w:ilvl w:val="1"/>
          <w:numId w:val="95"/>
        </w:numPr>
        <w:spacing w:before="0" w:beforeAutospacing="0" w:after="0" w:afterAutospacing="0"/>
        <w:rPr>
          <w:rFonts w:ascii="Verdana" w:hAnsi="Verdana" w:cs="Arial"/>
          <w:sz w:val="22"/>
          <w:szCs w:val="22"/>
          <w:lang w:eastAsia="es-MX"/>
        </w:rPr>
      </w:pPr>
      <w:r w:rsidRPr="002A5B36">
        <w:rPr>
          <w:rFonts w:ascii="Verdana" w:hAnsi="Verdana" w:cs="Arial"/>
          <w:sz w:val="22"/>
          <w:szCs w:val="22"/>
          <w:lang w:eastAsia="es-MX"/>
        </w:rPr>
        <w:t xml:space="preserve">Se incluyen notas en los puntos relacionados con requisitos habilitantes </w:t>
      </w:r>
      <w:r w:rsidR="00160E1A" w:rsidRPr="002A5B36">
        <w:rPr>
          <w:rFonts w:ascii="Verdana" w:hAnsi="Verdana" w:cs="Arial"/>
          <w:sz w:val="22"/>
          <w:szCs w:val="22"/>
          <w:lang w:eastAsia="es-MX"/>
        </w:rPr>
        <w:t xml:space="preserve">y factores de evaluación. En ese sentido, las notas pretenden una adecuada interpretación de los aspectos jurídicos, técnicos y financieros de los documentos tipo. </w:t>
      </w:r>
    </w:p>
    <w:p w14:paraId="7945F0DA" w14:textId="77777777" w:rsidR="002A5B36" w:rsidRPr="002A5B36" w:rsidRDefault="002A5B36" w:rsidP="002A5B36">
      <w:pPr>
        <w:pStyle w:val="NormalWeb"/>
        <w:spacing w:before="0" w:beforeAutospacing="0" w:after="0" w:afterAutospacing="0"/>
        <w:ind w:left="1440"/>
        <w:rPr>
          <w:rFonts w:ascii="Verdana" w:hAnsi="Verdana" w:cs="Arial"/>
          <w:sz w:val="22"/>
          <w:szCs w:val="22"/>
          <w:lang w:eastAsia="es-MX"/>
        </w:rPr>
      </w:pPr>
    </w:p>
    <w:p w14:paraId="26ACA349" w14:textId="77777777" w:rsidR="00313A36" w:rsidRPr="001F4E8B" w:rsidRDefault="00313A36" w:rsidP="002A5B36">
      <w:pPr>
        <w:pStyle w:val="NormalWeb"/>
        <w:numPr>
          <w:ilvl w:val="0"/>
          <w:numId w:val="95"/>
        </w:numPr>
        <w:spacing w:before="0" w:beforeAutospacing="0" w:after="0" w:afterAutospacing="0"/>
        <w:jc w:val="left"/>
        <w:rPr>
          <w:rFonts w:ascii="Verdana" w:hAnsi="Verdana" w:cs="Arial"/>
          <w:sz w:val="22"/>
          <w:szCs w:val="22"/>
          <w:lang w:eastAsia="es-MX"/>
        </w:rPr>
      </w:pPr>
      <w:r w:rsidRPr="001F4E8B">
        <w:rPr>
          <w:rFonts w:ascii="Verdana" w:hAnsi="Verdana" w:cs="Arial"/>
          <w:b/>
          <w:bCs/>
          <w:sz w:val="22"/>
          <w:szCs w:val="22"/>
          <w:lang w:eastAsia="es-MX"/>
        </w:rPr>
        <w:t>Consulta Previa:</w:t>
      </w:r>
      <w:r w:rsidRPr="001F4E8B">
        <w:rPr>
          <w:rFonts w:ascii="Verdana" w:hAnsi="Verdana" w:cs="Arial"/>
          <w:sz w:val="22"/>
          <w:szCs w:val="22"/>
          <w:lang w:eastAsia="es-MX"/>
        </w:rPr>
        <w:br/>
      </w:r>
    </w:p>
    <w:p w14:paraId="4800E3E9" w14:textId="77777777" w:rsidR="00313A36" w:rsidRPr="00611315" w:rsidRDefault="00313A36" w:rsidP="00313A36">
      <w:pPr>
        <w:pStyle w:val="NormalWeb"/>
        <w:ind w:left="720"/>
        <w:rPr>
          <w:rFonts w:ascii="Verdana" w:hAnsi="Verdana" w:cs="Arial"/>
          <w:sz w:val="22"/>
          <w:szCs w:val="22"/>
          <w:lang w:eastAsia="es-MX"/>
        </w:rPr>
      </w:pPr>
      <w:r w:rsidRPr="001F4E8B">
        <w:rPr>
          <w:rFonts w:ascii="Verdana" w:hAnsi="Verdana" w:cs="Arial"/>
          <w:sz w:val="22"/>
          <w:szCs w:val="22"/>
          <w:lang w:eastAsia="es-MX"/>
        </w:rPr>
        <w:t>En las obligaciones contractuales se incluye el deber del contratista de garantizar la consulta previa, para proteger los derechos de comunidades indígenas, afrodescendientes y tribales, en cumplimiento del Convenio 169 de la OIT y la Ley 21 de 1991.</w:t>
      </w:r>
    </w:p>
    <w:p w14:paraId="36BF75E9" w14:textId="630431D1" w:rsidR="005E1600" w:rsidRPr="00954F93" w:rsidRDefault="005E1600" w:rsidP="005E1600">
      <w:pPr>
        <w:pStyle w:val="NormalWeb"/>
        <w:numPr>
          <w:ilvl w:val="0"/>
          <w:numId w:val="95"/>
        </w:numPr>
        <w:rPr>
          <w:rFonts w:ascii="Verdana" w:hAnsi="Verdana" w:cs="Arial"/>
          <w:b/>
          <w:bCs/>
          <w:sz w:val="22"/>
          <w:szCs w:val="22"/>
          <w:lang w:eastAsia="es-MX"/>
        </w:rPr>
      </w:pPr>
      <w:r w:rsidRPr="00954F93">
        <w:rPr>
          <w:rFonts w:ascii="Verdana" w:hAnsi="Verdana" w:cs="Arial"/>
          <w:b/>
          <w:bCs/>
          <w:sz w:val="22"/>
          <w:szCs w:val="22"/>
          <w:lang w:eastAsia="es-MX"/>
        </w:rPr>
        <w:t>Emprendimientos y empresas de personas con discapacidad</w:t>
      </w:r>
      <w:r w:rsidR="000B213D" w:rsidRPr="00954F93">
        <w:rPr>
          <w:rFonts w:ascii="Verdana" w:hAnsi="Verdana" w:cs="Arial"/>
          <w:b/>
          <w:bCs/>
          <w:sz w:val="22"/>
          <w:szCs w:val="22"/>
          <w:lang w:eastAsia="es-MX"/>
        </w:rPr>
        <w:t>:</w:t>
      </w:r>
    </w:p>
    <w:p w14:paraId="6EBEA0FC" w14:textId="38F66AAF" w:rsidR="000B213D" w:rsidRPr="00611315" w:rsidRDefault="00D417A2" w:rsidP="005506C1">
      <w:pPr>
        <w:pStyle w:val="NormalWeb"/>
        <w:numPr>
          <w:ilvl w:val="0"/>
          <w:numId w:val="108"/>
        </w:numPr>
        <w:rPr>
          <w:rFonts w:ascii="Verdana" w:hAnsi="Verdana" w:cs="Arial"/>
          <w:sz w:val="22"/>
          <w:szCs w:val="22"/>
          <w:lang w:eastAsia="es-MX"/>
        </w:rPr>
      </w:pPr>
      <w:r w:rsidRPr="00611315">
        <w:rPr>
          <w:rFonts w:ascii="Verdana" w:hAnsi="Verdana" w:cs="Arial"/>
          <w:sz w:val="22"/>
          <w:szCs w:val="22"/>
          <w:lang w:eastAsia="es-MX"/>
        </w:rPr>
        <w:t>Se ajusta y complementa la acreditación de la condición de emprendimientos y empresas de personas con discapacidad, de conformidad con el Decreto 287 de 2026.</w:t>
      </w:r>
    </w:p>
    <w:p w14:paraId="0C171546" w14:textId="2C8C94EB" w:rsidR="00D417A2" w:rsidRPr="00611315" w:rsidRDefault="00E201F2" w:rsidP="005506C1">
      <w:pPr>
        <w:pStyle w:val="NormalWeb"/>
        <w:numPr>
          <w:ilvl w:val="0"/>
          <w:numId w:val="108"/>
        </w:numPr>
        <w:rPr>
          <w:rFonts w:ascii="Verdana" w:hAnsi="Verdana" w:cs="Arial"/>
          <w:sz w:val="22"/>
          <w:szCs w:val="22"/>
          <w:lang w:eastAsia="es-MX"/>
        </w:rPr>
      </w:pPr>
      <w:r w:rsidRPr="00611315">
        <w:rPr>
          <w:rFonts w:ascii="Verdana" w:hAnsi="Verdana" w:cs="Arial"/>
          <w:sz w:val="22"/>
          <w:szCs w:val="22"/>
          <w:lang w:eastAsia="es-MX"/>
        </w:rPr>
        <w:t>Se incorporan criterios habilitantes diferenciales en favor de emprendimientos y empresas de personas con discapacidad</w:t>
      </w:r>
      <w:r w:rsidR="00A0490B">
        <w:rPr>
          <w:rFonts w:ascii="Verdana" w:hAnsi="Verdana" w:cs="Arial"/>
          <w:sz w:val="22"/>
          <w:szCs w:val="22"/>
          <w:lang w:eastAsia="es-MX"/>
        </w:rPr>
        <w:t>.</w:t>
      </w:r>
      <w:r w:rsidR="001B01F1" w:rsidRPr="00611315">
        <w:rPr>
          <w:rFonts w:ascii="Verdana" w:hAnsi="Verdana" w:cs="Arial"/>
          <w:sz w:val="22"/>
          <w:szCs w:val="22"/>
          <w:lang w:eastAsia="es-MX"/>
        </w:rPr>
        <w:t xml:space="preserve"> </w:t>
      </w:r>
    </w:p>
    <w:p w14:paraId="4F8839B7" w14:textId="6E7F6615" w:rsidR="001B01F1" w:rsidRPr="00611315" w:rsidRDefault="001B01F1" w:rsidP="005506C1">
      <w:pPr>
        <w:pStyle w:val="NormalWeb"/>
        <w:numPr>
          <w:ilvl w:val="0"/>
          <w:numId w:val="108"/>
        </w:numPr>
        <w:rPr>
          <w:rFonts w:ascii="Verdana" w:hAnsi="Verdana" w:cs="Arial"/>
          <w:sz w:val="22"/>
          <w:szCs w:val="22"/>
          <w:lang w:eastAsia="es-MX"/>
        </w:rPr>
      </w:pPr>
      <w:r w:rsidRPr="00611315">
        <w:rPr>
          <w:rFonts w:ascii="Verdana" w:hAnsi="Verdana" w:cs="Arial"/>
          <w:sz w:val="22"/>
          <w:szCs w:val="22"/>
          <w:lang w:eastAsia="es-MX"/>
        </w:rPr>
        <w:t xml:space="preserve">Se </w:t>
      </w:r>
      <w:r w:rsidR="00BB36BB" w:rsidRPr="00611315">
        <w:rPr>
          <w:rFonts w:ascii="Verdana" w:hAnsi="Verdana" w:cs="Arial"/>
          <w:sz w:val="22"/>
          <w:szCs w:val="22"/>
          <w:lang w:eastAsia="es-MX"/>
        </w:rPr>
        <w:t>incorpora puntaje adicional en favor de los empleadores de personas con discapacidad y de los emprendimientos y empresas de personas con discapacidad.</w:t>
      </w:r>
    </w:p>
    <w:p w14:paraId="4ED0A802" w14:textId="588BEAA3" w:rsidR="00311574" w:rsidRPr="00611315" w:rsidRDefault="00311574">
      <w:pPr>
        <w:pStyle w:val="NormalWeb"/>
        <w:numPr>
          <w:ilvl w:val="0"/>
          <w:numId w:val="108"/>
        </w:numPr>
        <w:rPr>
          <w:rFonts w:ascii="Verdana" w:hAnsi="Verdana" w:cs="Arial"/>
          <w:sz w:val="22"/>
          <w:szCs w:val="22"/>
          <w:lang w:eastAsia="es-MX"/>
        </w:rPr>
      </w:pPr>
      <w:r w:rsidRPr="00611315">
        <w:rPr>
          <w:rFonts w:ascii="Verdana" w:hAnsi="Verdana" w:cs="Arial"/>
          <w:sz w:val="22"/>
          <w:szCs w:val="22"/>
          <w:lang w:eastAsia="es-MX"/>
        </w:rPr>
        <w:t xml:space="preserve">Se incorporan </w:t>
      </w:r>
      <w:r w:rsidR="00637550" w:rsidRPr="00611315">
        <w:rPr>
          <w:rFonts w:ascii="Verdana" w:hAnsi="Verdana" w:cs="Arial"/>
          <w:sz w:val="22"/>
          <w:szCs w:val="22"/>
          <w:lang w:eastAsia="es-MX"/>
        </w:rPr>
        <w:t>condiciones especiales de ejecución en favor de las personas con discapacidad</w:t>
      </w:r>
      <w:r w:rsidRPr="00611315">
        <w:rPr>
          <w:rFonts w:ascii="Verdana" w:hAnsi="Verdana" w:cs="Arial"/>
          <w:sz w:val="22"/>
          <w:szCs w:val="22"/>
          <w:lang w:eastAsia="es-MX"/>
        </w:rPr>
        <w:t>, específicamente, en el marco de las obligaciones de las entidades estatales y contratistas</w:t>
      </w:r>
      <w:r w:rsidR="00300D5A" w:rsidRPr="00611315">
        <w:rPr>
          <w:rFonts w:ascii="Verdana" w:hAnsi="Verdana" w:cs="Arial"/>
          <w:sz w:val="22"/>
          <w:szCs w:val="22"/>
          <w:lang w:eastAsia="es-MX"/>
        </w:rPr>
        <w:t>, así como el seguimiento a las mismas durante la ejecución contractual.</w:t>
      </w:r>
    </w:p>
    <w:p w14:paraId="6DA805E2" w14:textId="1267B769" w:rsidR="00175426" w:rsidRPr="00611315" w:rsidRDefault="00175426" w:rsidP="00175426">
      <w:pPr>
        <w:pStyle w:val="NormalWeb"/>
        <w:numPr>
          <w:ilvl w:val="0"/>
          <w:numId w:val="108"/>
        </w:numPr>
        <w:rPr>
          <w:rFonts w:ascii="Verdana" w:hAnsi="Verdana" w:cs="Arial"/>
          <w:sz w:val="22"/>
          <w:szCs w:val="22"/>
          <w:lang w:eastAsia="es-MX"/>
        </w:rPr>
      </w:pPr>
      <w:r>
        <w:rPr>
          <w:rFonts w:ascii="Verdana" w:hAnsi="Verdana" w:cs="Arial"/>
          <w:sz w:val="22"/>
          <w:szCs w:val="22"/>
          <w:lang w:eastAsia="es-MX"/>
        </w:rPr>
        <w:t xml:space="preserve">Se incluye un formato </w:t>
      </w:r>
      <w:r w:rsidR="000F0EDB">
        <w:rPr>
          <w:rFonts w:ascii="Verdana" w:hAnsi="Verdana" w:cs="Arial"/>
          <w:sz w:val="22"/>
          <w:szCs w:val="22"/>
          <w:lang w:eastAsia="es-MX"/>
        </w:rPr>
        <w:t>para em</w:t>
      </w:r>
      <w:r w:rsidR="00C76982">
        <w:rPr>
          <w:rFonts w:ascii="Verdana" w:hAnsi="Verdana" w:cs="Arial"/>
          <w:sz w:val="22"/>
          <w:szCs w:val="22"/>
          <w:lang w:eastAsia="es-MX"/>
        </w:rPr>
        <w:t xml:space="preserve">pleadores, emprendimientos y empresas de personas con discapacidad, con tres (3) opciones para </w:t>
      </w:r>
      <w:r w:rsidR="0089062F">
        <w:rPr>
          <w:rFonts w:ascii="Verdana" w:hAnsi="Verdana" w:cs="Arial"/>
          <w:sz w:val="22"/>
          <w:szCs w:val="22"/>
          <w:lang w:eastAsia="es-MX"/>
        </w:rPr>
        <w:t xml:space="preserve">acreditar el puntaje de dos (2) puntos, a saber: i) </w:t>
      </w:r>
      <w:r w:rsidR="0089062F" w:rsidRPr="0089062F">
        <w:rPr>
          <w:rFonts w:ascii="Verdana" w:hAnsi="Verdana" w:cs="Arial"/>
          <w:sz w:val="22"/>
          <w:szCs w:val="22"/>
          <w:lang w:eastAsia="es-MX"/>
        </w:rPr>
        <w:t xml:space="preserve">Opción 1. Incorporar si la participación accionaria de la persona jurídica en su mayoría corresponde a personas con discapacidad y los derechos de propiedad </w:t>
      </w:r>
      <w:r w:rsidR="0089062F" w:rsidRPr="0089062F">
        <w:rPr>
          <w:rFonts w:ascii="Verdana" w:hAnsi="Verdana" w:cs="Arial"/>
          <w:sz w:val="22"/>
          <w:szCs w:val="22"/>
          <w:lang w:eastAsia="es-MX"/>
        </w:rPr>
        <w:lastRenderedPageBreak/>
        <w:t>han pertenecido a estas durante el último año anterior a la fecha de cierre del proceso de selección</w:t>
      </w:r>
      <w:r w:rsidR="0089062F">
        <w:rPr>
          <w:rFonts w:ascii="Verdana" w:hAnsi="Verdana" w:cs="Arial"/>
          <w:sz w:val="22"/>
          <w:szCs w:val="22"/>
          <w:lang w:eastAsia="es-MX"/>
        </w:rPr>
        <w:t xml:space="preserve">; </w:t>
      </w:r>
      <w:proofErr w:type="spellStart"/>
      <w:r w:rsidR="0089062F">
        <w:rPr>
          <w:rFonts w:ascii="Verdana" w:hAnsi="Verdana" w:cs="Arial"/>
          <w:sz w:val="22"/>
          <w:szCs w:val="22"/>
          <w:lang w:eastAsia="es-MX"/>
        </w:rPr>
        <w:t>ii</w:t>
      </w:r>
      <w:proofErr w:type="spellEnd"/>
      <w:r w:rsidR="0089062F">
        <w:rPr>
          <w:rFonts w:ascii="Verdana" w:hAnsi="Verdana" w:cs="Arial"/>
          <w:sz w:val="22"/>
          <w:szCs w:val="22"/>
          <w:lang w:eastAsia="es-MX"/>
        </w:rPr>
        <w:t xml:space="preserve">) </w:t>
      </w:r>
      <w:r w:rsidR="00CD1166" w:rsidRPr="00CD1166">
        <w:rPr>
          <w:rFonts w:ascii="Verdana" w:hAnsi="Verdana" w:cs="Arial"/>
          <w:sz w:val="22"/>
          <w:szCs w:val="22"/>
          <w:lang w:eastAsia="es-MX"/>
        </w:rPr>
        <w:t>Opción 2. Incorporar si al menos una (1) persona con discapacidad está vinculada laboralmente en un empleo del nivel directivo durante al menos el último año anterior a la fecha de cierre del proceso de selección y ha permanecido en el mismo cargo u otro del mismo nivel</w:t>
      </w:r>
      <w:r w:rsidR="00CD1166">
        <w:rPr>
          <w:rFonts w:ascii="Verdana" w:hAnsi="Verdana" w:cs="Arial"/>
          <w:sz w:val="22"/>
          <w:szCs w:val="22"/>
          <w:lang w:eastAsia="es-MX"/>
        </w:rPr>
        <w:t xml:space="preserve">, y </w:t>
      </w:r>
      <w:proofErr w:type="spellStart"/>
      <w:r w:rsidR="00CD1166">
        <w:rPr>
          <w:rFonts w:ascii="Verdana" w:hAnsi="Verdana" w:cs="Arial"/>
          <w:sz w:val="22"/>
          <w:szCs w:val="22"/>
          <w:lang w:eastAsia="es-MX"/>
        </w:rPr>
        <w:t>iii</w:t>
      </w:r>
      <w:proofErr w:type="spellEnd"/>
      <w:r w:rsidR="00CD1166">
        <w:rPr>
          <w:rFonts w:ascii="Verdana" w:hAnsi="Verdana" w:cs="Arial"/>
          <w:sz w:val="22"/>
          <w:szCs w:val="22"/>
          <w:lang w:eastAsia="es-MX"/>
        </w:rPr>
        <w:t>)</w:t>
      </w:r>
      <w:r w:rsidR="003A5607">
        <w:rPr>
          <w:rFonts w:ascii="Verdana" w:hAnsi="Verdana" w:cs="Arial"/>
          <w:sz w:val="22"/>
          <w:szCs w:val="22"/>
          <w:lang w:eastAsia="es-MX"/>
        </w:rPr>
        <w:t xml:space="preserve"> Opción 3. In</w:t>
      </w:r>
      <w:r w:rsidR="003A5607" w:rsidRPr="003A5607">
        <w:rPr>
          <w:rFonts w:ascii="Verdana" w:hAnsi="Verdana" w:cs="Arial"/>
          <w:sz w:val="22"/>
          <w:szCs w:val="22"/>
          <w:lang w:eastAsia="es-MX"/>
        </w:rPr>
        <w:t>corporar cuando proponente acredite dentro de su planta de personal la vinculación de personas con discapacidad, con sujeción a todas las exigencias y garantías legalmente establecidas, mediante contrato laboral con dedicación exclusiva</w:t>
      </w:r>
      <w:r w:rsidR="003A5607">
        <w:rPr>
          <w:rFonts w:ascii="Verdana" w:hAnsi="Verdana" w:cs="Arial"/>
          <w:sz w:val="22"/>
          <w:szCs w:val="22"/>
          <w:lang w:eastAsia="es-MX"/>
        </w:rPr>
        <w:t>.</w:t>
      </w:r>
    </w:p>
    <w:p w14:paraId="65344AEB" w14:textId="561C12E6" w:rsidR="00313A36" w:rsidRPr="00611315" w:rsidRDefault="00720D11" w:rsidP="00D953D7">
      <w:pPr>
        <w:pStyle w:val="NormalWeb"/>
        <w:numPr>
          <w:ilvl w:val="0"/>
          <w:numId w:val="95"/>
        </w:numPr>
        <w:rPr>
          <w:rFonts w:eastAsia="Calibri"/>
        </w:rPr>
      </w:pPr>
      <w:r>
        <w:rPr>
          <w:rFonts w:ascii="Verdana" w:hAnsi="Verdana" w:cs="Arial"/>
          <w:b/>
          <w:bCs/>
          <w:sz w:val="22"/>
          <w:szCs w:val="22"/>
          <w:lang w:eastAsia="es-MX"/>
        </w:rPr>
        <w:t>Ajuste en la etapa del proceso para seleccionar la TRM con la cual ponderar la oferta económica</w:t>
      </w:r>
    </w:p>
    <w:p w14:paraId="0EDF789B" w14:textId="5DBA98BB" w:rsidR="00517A12" w:rsidRPr="00B8458C" w:rsidRDefault="00517A12" w:rsidP="0019285B">
      <w:pPr>
        <w:ind w:left="284"/>
        <w:jc w:val="both"/>
        <w:rPr>
          <w:rFonts w:ascii="Verdana" w:eastAsia="Calibri" w:hAnsi="Verdana" w:cs="Arial"/>
          <w:sz w:val="22"/>
          <w:szCs w:val="22"/>
        </w:rPr>
      </w:pPr>
      <w:r w:rsidRPr="00B8458C">
        <w:rPr>
          <w:rFonts w:ascii="Verdana" w:eastAsia="Calibri" w:hAnsi="Verdana" w:cs="Arial"/>
          <w:sz w:val="22"/>
          <w:szCs w:val="22"/>
        </w:rPr>
        <w:t>Es igualmente, importante resaltar las modificaciones incorporadas en el mecanismo para determinar el método de ponderación de la oferta económica. Estas modificaciones surgen con el objetivo de procurar que los proponentes conozcan la TRM con la cual se ponderará la oferta económica con posterioridad al proceso de subsanación o requerimiento por precios artificialmente bajos, evitando así que la subsanación o el pronunciamiento del proponente respecto a precios artificialmente bajos, pueda impactar en la ponderación de la oferta económica.</w:t>
      </w:r>
    </w:p>
    <w:p w14:paraId="4FDECA2C" w14:textId="77777777" w:rsidR="00517A12" w:rsidRPr="00B8458C" w:rsidRDefault="00517A12" w:rsidP="0019285B">
      <w:pPr>
        <w:ind w:left="284"/>
        <w:jc w:val="both"/>
        <w:rPr>
          <w:rFonts w:ascii="Verdana" w:eastAsia="Calibri" w:hAnsi="Verdana" w:cs="Arial"/>
          <w:sz w:val="22"/>
          <w:szCs w:val="22"/>
        </w:rPr>
      </w:pPr>
    </w:p>
    <w:p w14:paraId="222AFB14" w14:textId="57021EE6" w:rsidR="00313A36" w:rsidRPr="00B8458C" w:rsidRDefault="00517A12" w:rsidP="0019285B">
      <w:pPr>
        <w:ind w:left="284"/>
        <w:jc w:val="both"/>
        <w:rPr>
          <w:rFonts w:ascii="Verdana" w:eastAsia="Calibri" w:hAnsi="Verdana" w:cs="Arial"/>
          <w:sz w:val="22"/>
          <w:szCs w:val="22"/>
        </w:rPr>
      </w:pPr>
      <w:r w:rsidRPr="00B8458C">
        <w:rPr>
          <w:rFonts w:ascii="Verdana" w:eastAsia="Calibri" w:hAnsi="Verdana" w:cs="Arial"/>
          <w:sz w:val="22"/>
          <w:szCs w:val="22"/>
        </w:rPr>
        <w:t>En la nueva versión del documento tipo para licitación pública se incorporaron las siguientes precisiones procedimentales con posterioridad a la apertura del sobre No. 2:</w:t>
      </w:r>
    </w:p>
    <w:p w14:paraId="443EAE12" w14:textId="77777777" w:rsidR="00517A12" w:rsidRPr="00B8458C" w:rsidRDefault="00517A12" w:rsidP="0019285B">
      <w:pPr>
        <w:ind w:left="284"/>
        <w:jc w:val="both"/>
        <w:rPr>
          <w:rFonts w:ascii="Verdana" w:eastAsia="Calibri" w:hAnsi="Verdana" w:cs="Arial"/>
          <w:sz w:val="22"/>
          <w:szCs w:val="22"/>
        </w:rPr>
      </w:pPr>
    </w:p>
    <w:p w14:paraId="6BB75A99" w14:textId="3DA8C6AE" w:rsidR="00517A12" w:rsidRPr="00B8458C" w:rsidRDefault="00040265" w:rsidP="0019285B">
      <w:pPr>
        <w:ind w:left="284" w:right="283"/>
        <w:jc w:val="both"/>
        <w:rPr>
          <w:rFonts w:ascii="Verdana" w:eastAsia="Calibri" w:hAnsi="Verdana" w:cs="Arial"/>
          <w:i/>
          <w:iCs/>
          <w:sz w:val="22"/>
          <w:szCs w:val="22"/>
        </w:rPr>
      </w:pPr>
      <w:r w:rsidRPr="00B8458C">
        <w:rPr>
          <w:rFonts w:ascii="Verdana" w:eastAsia="Calibri" w:hAnsi="Verdana" w:cs="Arial"/>
          <w:i/>
          <w:iCs/>
          <w:sz w:val="22"/>
          <w:szCs w:val="22"/>
        </w:rPr>
        <w:t>El día de la audiencia efectiva de adjudicación, la Entidad iniciará respondiendo y resolviendo las observaciones presentadas al informe de evaluación, de conformidad con el numeral 2.6. Después, la Entidad iniciará la apertura de los sobres de las ofertas económicas, verificará, si procede, determinará las correcciones aritméticas y solicitará la justificación de precios artificialmente bajos a que haya lugar, si es necesario, la Entidad se pronunciará sobre las ofertas requeridas en los términos del numeral 4.1.3. Posteriormente, la Entidad definirá el método de ponderación de las propuestas de acuerdo con las siguientes reglas:</w:t>
      </w:r>
    </w:p>
    <w:p w14:paraId="4AB1E447" w14:textId="77777777" w:rsidR="00720D11" w:rsidRPr="00B8458C" w:rsidRDefault="00720D11" w:rsidP="0019285B">
      <w:pPr>
        <w:ind w:left="284" w:right="283"/>
        <w:jc w:val="both"/>
        <w:rPr>
          <w:rFonts w:ascii="Verdana" w:eastAsia="Calibri" w:hAnsi="Verdana" w:cs="Arial"/>
          <w:i/>
          <w:iCs/>
          <w:sz w:val="22"/>
          <w:szCs w:val="22"/>
        </w:rPr>
      </w:pPr>
    </w:p>
    <w:p w14:paraId="04AD7E68" w14:textId="57D97474" w:rsidR="00720D11" w:rsidRPr="00B8458C" w:rsidRDefault="00720D11" w:rsidP="0019285B">
      <w:pPr>
        <w:pStyle w:val="Prrafodelista"/>
        <w:numPr>
          <w:ilvl w:val="0"/>
          <w:numId w:val="99"/>
        </w:numPr>
        <w:ind w:left="284" w:right="283"/>
        <w:rPr>
          <w:rFonts w:ascii="Verdana" w:hAnsi="Verdana" w:cs="Arial"/>
          <w:i/>
          <w:iCs/>
        </w:rPr>
      </w:pPr>
      <w:r w:rsidRPr="00B8458C">
        <w:rPr>
          <w:rFonts w:ascii="Verdana" w:hAnsi="Verdana" w:cs="Arial"/>
          <w:i/>
          <w:iCs/>
        </w:rPr>
        <w:t>Una vez agotado el procedimiento anterior, la Entidad deberá pronunciarse sobre las propuestas que han sido rechazadas y las que se encuentran validas. Si este pronunciamiento, se realiza hasta las 3:00 pm, la Entidad tomará la TRM que rija para el día hábil siguiente. En caso contrario, cuando el pronunciamiento se dé después de las 3:00 pm, la Entidad tomará la TRM que rija para el segundo día hábil siguiente.</w:t>
      </w:r>
    </w:p>
    <w:p w14:paraId="022175E1" w14:textId="295BECD3" w:rsidR="00307F48" w:rsidRPr="00B8458C" w:rsidRDefault="00307F48" w:rsidP="0019285B">
      <w:pPr>
        <w:autoSpaceDE w:val="0"/>
        <w:autoSpaceDN w:val="0"/>
        <w:adjustRightInd w:val="0"/>
        <w:ind w:left="284" w:right="283"/>
        <w:jc w:val="both"/>
        <w:rPr>
          <w:rFonts w:ascii="Verdana" w:eastAsia="Calibri" w:hAnsi="Verdana" w:cs="Verdana-Italic"/>
          <w:i/>
          <w:iCs/>
          <w:color w:val="000000"/>
          <w:sz w:val="22"/>
          <w:szCs w:val="22"/>
        </w:rPr>
      </w:pPr>
      <w:r w:rsidRPr="00B8458C">
        <w:rPr>
          <w:rFonts w:ascii="Verdana" w:eastAsia="Calibri" w:hAnsi="Verdana" w:cs="Verdana-Italic"/>
          <w:i/>
          <w:iCs/>
          <w:color w:val="000000"/>
          <w:sz w:val="22"/>
          <w:szCs w:val="22"/>
        </w:rPr>
        <w:lastRenderedPageBreak/>
        <w:t>En este sentido, atendiendo a las circunstancias anteriores y las particularidades</w:t>
      </w:r>
    </w:p>
    <w:p w14:paraId="7990D140" w14:textId="2030C8D1" w:rsidR="00DA0A97" w:rsidRPr="00B8458C" w:rsidRDefault="00307F48" w:rsidP="0019285B">
      <w:pPr>
        <w:autoSpaceDE w:val="0"/>
        <w:autoSpaceDN w:val="0"/>
        <w:adjustRightInd w:val="0"/>
        <w:ind w:left="284" w:right="283"/>
        <w:jc w:val="both"/>
        <w:rPr>
          <w:rFonts w:ascii="Verdana" w:eastAsia="Calibri" w:hAnsi="Verdana" w:cs="Verdana-Italic"/>
          <w:i/>
          <w:iCs/>
          <w:color w:val="000000"/>
          <w:sz w:val="22"/>
          <w:szCs w:val="22"/>
        </w:rPr>
      </w:pPr>
      <w:r w:rsidRPr="00B8458C">
        <w:rPr>
          <w:rFonts w:ascii="Verdana" w:eastAsia="Calibri" w:hAnsi="Verdana" w:cs="Verdana-Italic"/>
          <w:i/>
          <w:iCs/>
          <w:color w:val="000000"/>
          <w:sz w:val="22"/>
          <w:szCs w:val="22"/>
        </w:rPr>
        <w:t xml:space="preserve">de cada caso, la Entidad podrá optar por suspender la audiencia y reiniciarla </w:t>
      </w:r>
      <w:r w:rsidRPr="00B8458C">
        <w:rPr>
          <w:rFonts w:ascii="Verdana" w:eastAsia="Calibri" w:hAnsi="Verdana" w:cs="Verdana-Italic"/>
          <w:i/>
          <w:iCs/>
          <w:color w:val="000000"/>
          <w:sz w:val="22"/>
          <w:szCs w:val="22"/>
          <w:lang w:eastAsia="es-CO"/>
        </w:rPr>
        <w:t xml:space="preserve">cuando lo considere </w:t>
      </w:r>
      <w:r w:rsidRPr="00B8458C">
        <w:rPr>
          <w:rFonts w:ascii="Verdana" w:eastAsia="Calibri" w:hAnsi="Verdana" w:cs="Verdana-Italic"/>
          <w:i/>
          <w:iCs/>
          <w:color w:val="000000"/>
          <w:sz w:val="22"/>
          <w:szCs w:val="22"/>
        </w:rPr>
        <w:t>conveniente. Una vez definido el método de ponderación de la oferta económica el mismo seguirá rigiendo aun cuando la Entidad deba suspender la audiencia.</w:t>
      </w:r>
    </w:p>
    <w:p w14:paraId="070080BF" w14:textId="77777777" w:rsidR="00DA0A97" w:rsidRPr="00B8458C" w:rsidRDefault="00DA0A97" w:rsidP="0019285B">
      <w:pPr>
        <w:autoSpaceDE w:val="0"/>
        <w:autoSpaceDN w:val="0"/>
        <w:adjustRightInd w:val="0"/>
        <w:ind w:left="284"/>
        <w:jc w:val="both"/>
        <w:rPr>
          <w:rFonts w:ascii="Verdana" w:eastAsia="Calibri" w:hAnsi="Verdana" w:cs="Verdana-Italic"/>
          <w:i/>
          <w:iCs/>
          <w:color w:val="000000"/>
        </w:rPr>
      </w:pPr>
    </w:p>
    <w:p w14:paraId="10F42D6F" w14:textId="76CFE0BC" w:rsidR="000C1A12" w:rsidRPr="00B8458C" w:rsidRDefault="00DA0A97" w:rsidP="0019285B">
      <w:pPr>
        <w:autoSpaceDE w:val="0"/>
        <w:autoSpaceDN w:val="0"/>
        <w:adjustRightInd w:val="0"/>
        <w:ind w:left="284"/>
        <w:jc w:val="both"/>
        <w:rPr>
          <w:rFonts w:ascii="Verdana" w:eastAsia="Calibri" w:hAnsi="Verdana" w:cs="Verdana-Italic"/>
          <w:color w:val="000000"/>
          <w:sz w:val="22"/>
          <w:szCs w:val="22"/>
        </w:rPr>
      </w:pPr>
      <w:r w:rsidRPr="00B8458C">
        <w:rPr>
          <w:rFonts w:ascii="Verdana" w:eastAsia="Calibri" w:hAnsi="Verdana" w:cs="Verdana-Italic"/>
          <w:color w:val="000000"/>
          <w:sz w:val="22"/>
          <w:szCs w:val="22"/>
        </w:rPr>
        <w:t>Lo anterior en virtud del principio de transparencia que se encuentra en la ley 80 de 1993 y la protección de la libre competencia en los procesos de contratación encuentra uno de sus fundamentos esenciales en el artículo 333 de la Constitución Política de Colombia, el cual consagra que “la actividad económica y la iniciativa privada son libres, dentro de los límites del bien común”. Este precepto constitucional</w:t>
      </w:r>
      <w:r w:rsidR="000C1A12" w:rsidRPr="00B8458C">
        <w:rPr>
          <w:rFonts w:ascii="Verdana" w:eastAsia="Calibri" w:hAnsi="Verdana" w:cs="Verdana-Italic"/>
          <w:color w:val="000000"/>
          <w:sz w:val="22"/>
          <w:szCs w:val="22"/>
        </w:rPr>
        <w:t xml:space="preserve"> no solo reconoce la libertad empresarial como principio, sino que también impone el deber de garantizar que dicha libertad se ejerza en condiciones que respeten la equidad y la transparencia en el mercado.</w:t>
      </w:r>
    </w:p>
    <w:p w14:paraId="77F75373" w14:textId="77777777" w:rsidR="000C1A12" w:rsidRPr="00B8458C" w:rsidRDefault="000C1A12" w:rsidP="0019285B">
      <w:pPr>
        <w:autoSpaceDE w:val="0"/>
        <w:autoSpaceDN w:val="0"/>
        <w:adjustRightInd w:val="0"/>
        <w:ind w:left="284"/>
        <w:jc w:val="both"/>
        <w:rPr>
          <w:rFonts w:ascii="Verdana" w:eastAsia="Calibri" w:hAnsi="Verdana" w:cs="Verdana-Italic"/>
          <w:color w:val="000000"/>
          <w:sz w:val="22"/>
          <w:szCs w:val="22"/>
        </w:rPr>
      </w:pPr>
    </w:p>
    <w:p w14:paraId="7B193556" w14:textId="7CCC784A" w:rsidR="000C1A12" w:rsidRPr="00B8458C" w:rsidRDefault="000C1A12" w:rsidP="0019285B">
      <w:pPr>
        <w:autoSpaceDE w:val="0"/>
        <w:autoSpaceDN w:val="0"/>
        <w:adjustRightInd w:val="0"/>
        <w:ind w:left="284"/>
        <w:jc w:val="both"/>
        <w:rPr>
          <w:rFonts w:ascii="Verdana" w:eastAsia="Calibri" w:hAnsi="Verdana" w:cs="Verdana-Italic"/>
          <w:color w:val="000000"/>
          <w:sz w:val="22"/>
          <w:szCs w:val="22"/>
        </w:rPr>
      </w:pPr>
      <w:r w:rsidRPr="00B8458C">
        <w:rPr>
          <w:rFonts w:ascii="Verdana" w:eastAsia="Calibri" w:hAnsi="Verdana" w:cs="Verdana-Italic"/>
          <w:color w:val="000000"/>
          <w:sz w:val="22"/>
          <w:szCs w:val="22"/>
        </w:rPr>
        <w:t>El objetivo es evitar que se generen ventajas indebidas, acuerdos colusorios o conductas anticompetitivas que perjudiquen la eficiencia del mercado, limiten la</w:t>
      </w:r>
    </w:p>
    <w:p w14:paraId="15DE97CD" w14:textId="4EF0A5C2" w:rsidR="000C1A12" w:rsidRPr="00B8458C" w:rsidRDefault="000C1A12" w:rsidP="0019285B">
      <w:pPr>
        <w:autoSpaceDE w:val="0"/>
        <w:autoSpaceDN w:val="0"/>
        <w:adjustRightInd w:val="0"/>
        <w:ind w:left="284"/>
        <w:jc w:val="both"/>
        <w:rPr>
          <w:rFonts w:ascii="Verdana" w:eastAsia="Calibri" w:hAnsi="Verdana" w:cs="Verdana-Italic"/>
          <w:color w:val="000000"/>
          <w:sz w:val="22"/>
          <w:szCs w:val="22"/>
        </w:rPr>
      </w:pPr>
      <w:r w:rsidRPr="00B8458C">
        <w:rPr>
          <w:rFonts w:ascii="Verdana" w:eastAsia="Calibri" w:hAnsi="Verdana" w:cs="Verdana-Italic"/>
          <w:color w:val="000000"/>
          <w:sz w:val="22"/>
          <w:szCs w:val="22"/>
        </w:rPr>
        <w:t>participación de oferentes o afecten de forma negativa a los consumidores y al interés general.</w:t>
      </w:r>
    </w:p>
    <w:p w14:paraId="75CA33CE" w14:textId="77777777" w:rsidR="000C1A12" w:rsidRPr="00B8458C" w:rsidRDefault="000C1A12" w:rsidP="0019285B">
      <w:pPr>
        <w:autoSpaceDE w:val="0"/>
        <w:autoSpaceDN w:val="0"/>
        <w:adjustRightInd w:val="0"/>
        <w:ind w:left="284"/>
        <w:jc w:val="both"/>
        <w:rPr>
          <w:rFonts w:ascii="Verdana" w:eastAsia="Calibri" w:hAnsi="Verdana" w:cs="Verdana-Italic"/>
          <w:color w:val="000000"/>
          <w:sz w:val="22"/>
          <w:szCs w:val="22"/>
        </w:rPr>
      </w:pPr>
    </w:p>
    <w:p w14:paraId="49A55B19" w14:textId="0BF94FB0" w:rsidR="00DA0A97" w:rsidRPr="00B8458C" w:rsidRDefault="000C1A12" w:rsidP="0019285B">
      <w:pPr>
        <w:autoSpaceDE w:val="0"/>
        <w:autoSpaceDN w:val="0"/>
        <w:adjustRightInd w:val="0"/>
        <w:ind w:left="284"/>
        <w:jc w:val="both"/>
        <w:rPr>
          <w:rFonts w:ascii="Verdana" w:eastAsia="Calibri" w:hAnsi="Verdana" w:cs="Verdana-Italic"/>
          <w:color w:val="000000"/>
          <w:sz w:val="22"/>
          <w:szCs w:val="22"/>
        </w:rPr>
      </w:pPr>
      <w:r w:rsidRPr="00B8458C">
        <w:rPr>
          <w:rFonts w:ascii="Verdana" w:eastAsia="Calibri" w:hAnsi="Verdana" w:cs="Verdana-Italic"/>
          <w:color w:val="000000"/>
          <w:sz w:val="22"/>
          <w:szCs w:val="22"/>
        </w:rPr>
        <w:t>La libre competencia, protegida por la Carta Magna, garantiza que las oportunidades de contratación sean reales, abiertas y equitativas, permitiendo que prevalezcan los méritos objetivos de las ofertas sobre intereses particulares. Así, se salvaguarda tanto el bienestar de los consumidores, quienes acceden a bienes y servicios en mejores condiciones de calidad y precio, como el desarrollo sano de la economía, promoviendo la innovación, la eficiencia y la transparencia en la gestión contractual.</w:t>
      </w:r>
    </w:p>
    <w:p w14:paraId="5D78BAFE" w14:textId="77777777" w:rsidR="00307F48" w:rsidRDefault="00307F48" w:rsidP="00307F48">
      <w:pPr>
        <w:autoSpaceDE w:val="0"/>
        <w:autoSpaceDN w:val="0"/>
        <w:adjustRightInd w:val="0"/>
        <w:rPr>
          <w:rFonts w:ascii="Verdana-Italic" w:eastAsia="Calibri" w:hAnsi="Verdana-Italic" w:cs="Verdana-Italic"/>
          <w:i/>
          <w:iCs/>
          <w:color w:val="008181"/>
          <w:sz w:val="22"/>
          <w:szCs w:val="22"/>
          <w:lang w:eastAsia="es-CO"/>
        </w:rPr>
      </w:pPr>
    </w:p>
    <w:p w14:paraId="584B207B" w14:textId="77777777" w:rsidR="00307F48" w:rsidRDefault="00307F48" w:rsidP="00307F48">
      <w:pPr>
        <w:autoSpaceDE w:val="0"/>
        <w:autoSpaceDN w:val="0"/>
        <w:adjustRightInd w:val="0"/>
        <w:rPr>
          <w:rFonts w:ascii="Verdana-Italic" w:eastAsia="Calibri" w:hAnsi="Verdana-Italic" w:cs="Verdana-Italic"/>
          <w:i/>
          <w:iCs/>
          <w:color w:val="008181"/>
          <w:sz w:val="22"/>
          <w:szCs w:val="22"/>
          <w:lang w:eastAsia="es-CO"/>
        </w:rPr>
      </w:pPr>
    </w:p>
    <w:p w14:paraId="71DC10CB" w14:textId="77777777" w:rsidR="00307F48" w:rsidRPr="00E0623F" w:rsidRDefault="00307F48" w:rsidP="00307F48">
      <w:pPr>
        <w:autoSpaceDE w:val="0"/>
        <w:autoSpaceDN w:val="0"/>
        <w:adjustRightInd w:val="0"/>
        <w:rPr>
          <w:rFonts w:ascii="Verdana-Italic" w:eastAsia="Calibri" w:hAnsi="Verdana-Italic" w:cs="Verdana-Italic"/>
          <w:color w:val="008181"/>
          <w:sz w:val="22"/>
          <w:szCs w:val="22"/>
          <w:lang w:eastAsia="es-CO"/>
        </w:rPr>
      </w:pPr>
    </w:p>
    <w:p w14:paraId="35331BE9" w14:textId="77777777" w:rsidR="00307F48" w:rsidRDefault="00307F48" w:rsidP="00307F48">
      <w:pPr>
        <w:autoSpaceDE w:val="0"/>
        <w:autoSpaceDN w:val="0"/>
        <w:adjustRightInd w:val="0"/>
        <w:rPr>
          <w:rFonts w:ascii="Verdana" w:eastAsia="Calibri" w:hAnsi="Verdana" w:cs="Arial"/>
          <w:sz w:val="22"/>
          <w:szCs w:val="22"/>
          <w:highlight w:val="yellow"/>
        </w:rPr>
      </w:pPr>
    </w:p>
    <w:p w14:paraId="7B7412E3" w14:textId="77777777" w:rsidR="0019285B" w:rsidRDefault="0019285B" w:rsidP="00307F48">
      <w:pPr>
        <w:autoSpaceDE w:val="0"/>
        <w:autoSpaceDN w:val="0"/>
        <w:adjustRightInd w:val="0"/>
        <w:rPr>
          <w:rFonts w:ascii="Verdana" w:eastAsia="Calibri" w:hAnsi="Verdana" w:cs="Arial"/>
          <w:sz w:val="22"/>
          <w:szCs w:val="22"/>
          <w:highlight w:val="yellow"/>
        </w:rPr>
      </w:pPr>
    </w:p>
    <w:p w14:paraId="7FDAEEEC" w14:textId="77777777" w:rsidR="0019285B" w:rsidRDefault="0019285B" w:rsidP="00307F48">
      <w:pPr>
        <w:autoSpaceDE w:val="0"/>
        <w:autoSpaceDN w:val="0"/>
        <w:adjustRightInd w:val="0"/>
        <w:rPr>
          <w:rFonts w:ascii="Verdana" w:eastAsia="Calibri" w:hAnsi="Verdana" w:cs="Arial"/>
          <w:sz w:val="22"/>
          <w:szCs w:val="22"/>
          <w:highlight w:val="yellow"/>
        </w:rPr>
      </w:pPr>
    </w:p>
    <w:p w14:paraId="3DEF6998" w14:textId="77777777" w:rsidR="0019285B" w:rsidRDefault="0019285B" w:rsidP="00307F48">
      <w:pPr>
        <w:autoSpaceDE w:val="0"/>
        <w:autoSpaceDN w:val="0"/>
        <w:adjustRightInd w:val="0"/>
        <w:rPr>
          <w:rFonts w:ascii="Verdana" w:eastAsia="Calibri" w:hAnsi="Verdana" w:cs="Arial"/>
          <w:sz w:val="22"/>
          <w:szCs w:val="22"/>
          <w:highlight w:val="yellow"/>
        </w:rPr>
      </w:pPr>
    </w:p>
    <w:p w14:paraId="7B7E86EF" w14:textId="77777777" w:rsidR="0019285B" w:rsidRDefault="0019285B" w:rsidP="00307F48">
      <w:pPr>
        <w:autoSpaceDE w:val="0"/>
        <w:autoSpaceDN w:val="0"/>
        <w:adjustRightInd w:val="0"/>
        <w:rPr>
          <w:rFonts w:ascii="Verdana" w:eastAsia="Calibri" w:hAnsi="Verdana" w:cs="Arial"/>
          <w:sz w:val="22"/>
          <w:szCs w:val="22"/>
          <w:highlight w:val="yellow"/>
        </w:rPr>
      </w:pPr>
    </w:p>
    <w:p w14:paraId="138267D0" w14:textId="77777777" w:rsidR="0019285B" w:rsidRDefault="0019285B" w:rsidP="00307F48">
      <w:pPr>
        <w:autoSpaceDE w:val="0"/>
        <w:autoSpaceDN w:val="0"/>
        <w:adjustRightInd w:val="0"/>
        <w:rPr>
          <w:rFonts w:ascii="Verdana" w:eastAsia="Calibri" w:hAnsi="Verdana" w:cs="Arial"/>
          <w:sz w:val="22"/>
          <w:szCs w:val="22"/>
          <w:highlight w:val="yellow"/>
        </w:rPr>
      </w:pPr>
    </w:p>
    <w:p w14:paraId="70353465" w14:textId="77777777" w:rsidR="0019285B" w:rsidRPr="00307F48" w:rsidRDefault="0019285B" w:rsidP="00307F48">
      <w:pPr>
        <w:autoSpaceDE w:val="0"/>
        <w:autoSpaceDN w:val="0"/>
        <w:adjustRightInd w:val="0"/>
        <w:rPr>
          <w:rFonts w:ascii="Verdana" w:eastAsia="Calibri" w:hAnsi="Verdana" w:cs="Arial"/>
          <w:sz w:val="22"/>
          <w:szCs w:val="22"/>
          <w:highlight w:val="yellow"/>
        </w:rPr>
      </w:pPr>
    </w:p>
    <w:p w14:paraId="1D47CECB" w14:textId="77777777" w:rsidR="00313A36" w:rsidRPr="00611315" w:rsidRDefault="00313A36" w:rsidP="00313A36">
      <w:pPr>
        <w:jc w:val="both"/>
        <w:rPr>
          <w:rFonts w:ascii="Verdana" w:eastAsia="Calibri" w:hAnsi="Verdana" w:cs="Arial"/>
          <w:sz w:val="22"/>
          <w:szCs w:val="22"/>
          <w:highlight w:val="yellow"/>
        </w:rPr>
      </w:pPr>
    </w:p>
    <w:tbl>
      <w:tblPr>
        <w:tblStyle w:val="Tablaconcuadrcula"/>
        <w:tblW w:w="8904" w:type="dxa"/>
        <w:tblLook w:val="04A0" w:firstRow="1" w:lastRow="0" w:firstColumn="1" w:lastColumn="0" w:noHBand="0" w:noVBand="1"/>
      </w:tblPr>
      <w:tblGrid>
        <w:gridCol w:w="1271"/>
        <w:gridCol w:w="1952"/>
        <w:gridCol w:w="2017"/>
        <w:gridCol w:w="1319"/>
        <w:gridCol w:w="2345"/>
      </w:tblGrid>
      <w:tr w:rsidR="00313A36" w:rsidRPr="00611315" w14:paraId="16F7ED88" w14:textId="77777777" w:rsidTr="007C7404">
        <w:trPr>
          <w:trHeight w:val="276"/>
          <w:tblHeader/>
        </w:trPr>
        <w:tc>
          <w:tcPr>
            <w:tcW w:w="8904" w:type="dxa"/>
            <w:gridSpan w:val="5"/>
            <w:shd w:val="clear" w:color="auto" w:fill="AEAAAA" w:themeFill="background2" w:themeFillShade="BF"/>
          </w:tcPr>
          <w:p w14:paraId="66D510F1"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lastRenderedPageBreak/>
              <w:t xml:space="preserve">Autores y responsables del documento </w:t>
            </w:r>
          </w:p>
        </w:tc>
      </w:tr>
      <w:tr w:rsidR="00313A36" w:rsidRPr="00611315" w14:paraId="3B3CCFA1" w14:textId="77777777" w:rsidTr="007C7404">
        <w:trPr>
          <w:trHeight w:val="404"/>
          <w:tblHeader/>
        </w:trPr>
        <w:tc>
          <w:tcPr>
            <w:tcW w:w="1271" w:type="dxa"/>
            <w:shd w:val="clear" w:color="auto" w:fill="AEAAAA" w:themeFill="background2" w:themeFillShade="BF"/>
          </w:tcPr>
          <w:p w14:paraId="4060372C"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t>Acción</w:t>
            </w:r>
          </w:p>
        </w:tc>
        <w:tc>
          <w:tcPr>
            <w:tcW w:w="1952" w:type="dxa"/>
            <w:shd w:val="clear" w:color="auto" w:fill="AEAAAA" w:themeFill="background2" w:themeFillShade="BF"/>
          </w:tcPr>
          <w:p w14:paraId="463178BD"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t>Nombre</w:t>
            </w:r>
          </w:p>
        </w:tc>
        <w:tc>
          <w:tcPr>
            <w:tcW w:w="2017" w:type="dxa"/>
            <w:shd w:val="clear" w:color="auto" w:fill="AEAAAA" w:themeFill="background2" w:themeFillShade="BF"/>
          </w:tcPr>
          <w:p w14:paraId="72F1B7C2"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t>Cargo</w:t>
            </w:r>
          </w:p>
        </w:tc>
        <w:tc>
          <w:tcPr>
            <w:tcW w:w="1319" w:type="dxa"/>
            <w:shd w:val="clear" w:color="auto" w:fill="AEAAAA" w:themeFill="background2" w:themeFillShade="BF"/>
          </w:tcPr>
          <w:p w14:paraId="3E238A28"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t>Fecha</w:t>
            </w:r>
          </w:p>
        </w:tc>
        <w:tc>
          <w:tcPr>
            <w:tcW w:w="2345" w:type="dxa"/>
            <w:shd w:val="clear" w:color="auto" w:fill="AEAAAA" w:themeFill="background2" w:themeFillShade="BF"/>
          </w:tcPr>
          <w:p w14:paraId="747803F5" w14:textId="77777777" w:rsidR="00313A36" w:rsidRPr="0019285B" w:rsidRDefault="00313A36" w:rsidP="007C7404">
            <w:pPr>
              <w:jc w:val="both"/>
              <w:rPr>
                <w:rFonts w:ascii="Verdana" w:hAnsi="Verdana"/>
                <w:b/>
                <w:bCs/>
                <w:sz w:val="22"/>
                <w:szCs w:val="22"/>
              </w:rPr>
            </w:pPr>
            <w:r w:rsidRPr="0019285B">
              <w:rPr>
                <w:rFonts w:ascii="Verdana" w:hAnsi="Verdana"/>
                <w:b/>
                <w:bCs/>
                <w:sz w:val="22"/>
                <w:szCs w:val="22"/>
              </w:rPr>
              <w:t>Firma</w:t>
            </w:r>
          </w:p>
        </w:tc>
      </w:tr>
      <w:tr w:rsidR="00313A36" w:rsidRPr="00611315" w14:paraId="66526EC9" w14:textId="77777777" w:rsidTr="007C7404">
        <w:trPr>
          <w:trHeight w:val="20"/>
        </w:trPr>
        <w:tc>
          <w:tcPr>
            <w:tcW w:w="1271" w:type="dxa"/>
          </w:tcPr>
          <w:p w14:paraId="26F6369F" w14:textId="77777777" w:rsidR="00313A36" w:rsidRPr="0019285B" w:rsidRDefault="00313A36" w:rsidP="007C7404">
            <w:pPr>
              <w:jc w:val="both"/>
              <w:rPr>
                <w:rFonts w:ascii="Verdana" w:hAnsi="Verdana" w:cs="Calibri"/>
                <w:sz w:val="22"/>
                <w:szCs w:val="22"/>
                <w:lang w:eastAsia="es-CO"/>
              </w:rPr>
            </w:pPr>
          </w:p>
          <w:p w14:paraId="4E9A3127" w14:textId="77777777" w:rsidR="00313A36" w:rsidRPr="0019285B" w:rsidRDefault="00313A36" w:rsidP="007C7404">
            <w:pPr>
              <w:jc w:val="both"/>
              <w:rPr>
                <w:rFonts w:ascii="Verdana" w:hAnsi="Verdana" w:cs="Calibri"/>
                <w:sz w:val="22"/>
                <w:szCs w:val="22"/>
                <w:lang w:eastAsia="es-CO"/>
              </w:rPr>
            </w:pPr>
          </w:p>
          <w:p w14:paraId="0C5C7246" w14:textId="77777777" w:rsidR="00313A36" w:rsidRPr="0019285B" w:rsidRDefault="00313A36" w:rsidP="007C7404">
            <w:pPr>
              <w:jc w:val="both"/>
              <w:rPr>
                <w:rFonts w:ascii="Verdana" w:hAnsi="Verdana" w:cs="Calibri"/>
                <w:sz w:val="22"/>
                <w:szCs w:val="22"/>
                <w:lang w:eastAsia="es-CO"/>
              </w:rPr>
            </w:pPr>
          </w:p>
          <w:p w14:paraId="51989762" w14:textId="77777777" w:rsidR="00313A36" w:rsidRPr="0019285B" w:rsidRDefault="00313A36" w:rsidP="007C7404">
            <w:pPr>
              <w:jc w:val="both"/>
              <w:rPr>
                <w:rFonts w:ascii="Verdana" w:hAnsi="Verdana" w:cs="Calibri"/>
                <w:sz w:val="22"/>
                <w:szCs w:val="22"/>
                <w:lang w:eastAsia="es-CO"/>
              </w:rPr>
            </w:pPr>
          </w:p>
          <w:p w14:paraId="65F46E08" w14:textId="77777777" w:rsidR="00313A36" w:rsidRPr="0019285B" w:rsidRDefault="00313A36" w:rsidP="007C7404">
            <w:pPr>
              <w:jc w:val="both"/>
              <w:rPr>
                <w:rFonts w:ascii="Verdana" w:hAnsi="Verdana" w:cs="Calibri"/>
                <w:sz w:val="22"/>
                <w:szCs w:val="22"/>
                <w:lang w:eastAsia="es-CO"/>
              </w:rPr>
            </w:pPr>
          </w:p>
          <w:p w14:paraId="6D2E042B" w14:textId="77777777" w:rsidR="00313A36" w:rsidRPr="0019285B" w:rsidRDefault="00313A36" w:rsidP="007C7404">
            <w:pPr>
              <w:jc w:val="both"/>
              <w:rPr>
                <w:rFonts w:ascii="Verdana" w:hAnsi="Verdana" w:cs="Calibri"/>
                <w:sz w:val="22"/>
                <w:szCs w:val="22"/>
                <w:lang w:eastAsia="es-CO"/>
              </w:rPr>
            </w:pPr>
          </w:p>
          <w:p w14:paraId="1962C89B" w14:textId="77777777" w:rsidR="00313A36" w:rsidRPr="0019285B" w:rsidRDefault="00313A36" w:rsidP="007C7404">
            <w:pPr>
              <w:jc w:val="both"/>
              <w:rPr>
                <w:rFonts w:ascii="Verdana" w:hAnsi="Verdana" w:cs="Calibri"/>
                <w:sz w:val="22"/>
                <w:szCs w:val="22"/>
                <w:lang w:eastAsia="es-CO"/>
              </w:rPr>
            </w:pPr>
          </w:p>
          <w:p w14:paraId="7DB693D5" w14:textId="77777777" w:rsidR="00313A36" w:rsidRPr="0019285B" w:rsidRDefault="00313A36" w:rsidP="007C7404">
            <w:pPr>
              <w:jc w:val="both"/>
              <w:rPr>
                <w:rFonts w:ascii="Verdana" w:hAnsi="Verdana" w:cs="Calibri"/>
                <w:sz w:val="22"/>
                <w:szCs w:val="22"/>
                <w:lang w:eastAsia="es-CO"/>
              </w:rPr>
            </w:pPr>
          </w:p>
          <w:p w14:paraId="6052550D" w14:textId="77777777" w:rsidR="00313A36" w:rsidRPr="0019285B" w:rsidRDefault="00313A36" w:rsidP="007C7404">
            <w:pPr>
              <w:jc w:val="both"/>
              <w:rPr>
                <w:rFonts w:ascii="Verdana" w:hAnsi="Verdana" w:cs="Calibri"/>
                <w:sz w:val="22"/>
                <w:szCs w:val="22"/>
                <w:lang w:eastAsia="es-CO"/>
              </w:rPr>
            </w:pPr>
          </w:p>
          <w:p w14:paraId="5195CB88" w14:textId="77777777" w:rsidR="00313A36" w:rsidRPr="0019285B" w:rsidRDefault="00313A36" w:rsidP="007C7404">
            <w:pPr>
              <w:jc w:val="both"/>
              <w:rPr>
                <w:rFonts w:ascii="Verdana" w:hAnsi="Verdana" w:cs="Calibri"/>
                <w:sz w:val="22"/>
                <w:szCs w:val="22"/>
                <w:lang w:eastAsia="es-CO"/>
              </w:rPr>
            </w:pPr>
            <w:r w:rsidRPr="0019285B">
              <w:rPr>
                <w:rFonts w:ascii="Verdana" w:hAnsi="Verdana" w:cs="Calibri"/>
                <w:sz w:val="22"/>
                <w:szCs w:val="22"/>
                <w:lang w:eastAsia="es-CO"/>
              </w:rPr>
              <w:t>Elaboro:</w:t>
            </w:r>
          </w:p>
        </w:tc>
        <w:tc>
          <w:tcPr>
            <w:tcW w:w="1952" w:type="dxa"/>
            <w:vAlign w:val="center"/>
          </w:tcPr>
          <w:p w14:paraId="0C5FCF7F" w14:textId="51A8D80D" w:rsidR="00313A36" w:rsidRPr="0019285B" w:rsidRDefault="00F76ADA" w:rsidP="007C7404">
            <w:pPr>
              <w:jc w:val="both"/>
              <w:rPr>
                <w:rFonts w:ascii="Verdana" w:hAnsi="Verdana" w:cs="Calibri"/>
                <w:b/>
                <w:bCs/>
                <w:sz w:val="22"/>
                <w:szCs w:val="22"/>
                <w:lang w:eastAsia="es-CO"/>
              </w:rPr>
            </w:pPr>
            <w:r w:rsidRPr="0019285B">
              <w:rPr>
                <w:rFonts w:ascii="Verdana" w:hAnsi="Verdana" w:cs="Calibri"/>
                <w:b/>
                <w:bCs/>
                <w:sz w:val="22"/>
                <w:szCs w:val="22"/>
                <w:lang w:eastAsia="es-CO"/>
              </w:rPr>
              <w:t xml:space="preserve">Adriana </w:t>
            </w:r>
            <w:r w:rsidR="0019285B" w:rsidRPr="0019285B">
              <w:rPr>
                <w:rFonts w:ascii="Verdana" w:hAnsi="Verdana" w:cs="Calibri"/>
                <w:b/>
                <w:bCs/>
                <w:sz w:val="22"/>
                <w:szCs w:val="22"/>
                <w:lang w:eastAsia="es-CO"/>
              </w:rPr>
              <w:t>Katherine</w:t>
            </w:r>
            <w:r w:rsidRPr="0019285B">
              <w:rPr>
                <w:rFonts w:ascii="Verdana" w:hAnsi="Verdana" w:cs="Calibri"/>
                <w:b/>
                <w:bCs/>
                <w:sz w:val="22"/>
                <w:szCs w:val="22"/>
                <w:lang w:eastAsia="es-CO"/>
              </w:rPr>
              <w:t xml:space="preserve"> López Rodríguez</w:t>
            </w:r>
          </w:p>
          <w:p w14:paraId="0E183E9E" w14:textId="77777777" w:rsidR="00F76ADA" w:rsidRPr="0019285B" w:rsidRDefault="00F76ADA" w:rsidP="007C7404">
            <w:pPr>
              <w:jc w:val="both"/>
              <w:rPr>
                <w:rFonts w:ascii="Verdana" w:hAnsi="Verdana" w:cs="Calibri"/>
                <w:b/>
                <w:bCs/>
                <w:sz w:val="22"/>
                <w:szCs w:val="22"/>
                <w:lang w:eastAsia="es-CO"/>
              </w:rPr>
            </w:pPr>
          </w:p>
          <w:p w14:paraId="5DDC0094" w14:textId="77777777" w:rsidR="00F76ADA" w:rsidRPr="0019285B" w:rsidRDefault="007B3F62" w:rsidP="007C7404">
            <w:pPr>
              <w:jc w:val="both"/>
              <w:rPr>
                <w:rFonts w:ascii="Verdana" w:hAnsi="Verdana" w:cs="Calibri"/>
                <w:b/>
                <w:bCs/>
                <w:sz w:val="22"/>
                <w:szCs w:val="22"/>
                <w:lang w:eastAsia="es-CO"/>
              </w:rPr>
            </w:pPr>
            <w:r w:rsidRPr="0019285B">
              <w:rPr>
                <w:rFonts w:ascii="Verdana" w:hAnsi="Verdana" w:cs="Calibri"/>
                <w:b/>
                <w:bCs/>
                <w:sz w:val="22"/>
                <w:szCs w:val="22"/>
                <w:lang w:eastAsia="es-CO"/>
              </w:rPr>
              <w:t xml:space="preserve">Lida Milena </w:t>
            </w:r>
            <w:proofErr w:type="spellStart"/>
            <w:r w:rsidRPr="0019285B">
              <w:rPr>
                <w:rFonts w:ascii="Verdana" w:hAnsi="Verdana" w:cs="Calibri"/>
                <w:b/>
                <w:bCs/>
                <w:sz w:val="22"/>
                <w:szCs w:val="22"/>
                <w:lang w:eastAsia="es-CO"/>
              </w:rPr>
              <w:t>Guanumen</w:t>
            </w:r>
            <w:proofErr w:type="spellEnd"/>
            <w:r w:rsidRPr="0019285B">
              <w:rPr>
                <w:rFonts w:ascii="Verdana" w:hAnsi="Verdana" w:cs="Calibri"/>
                <w:b/>
                <w:bCs/>
                <w:sz w:val="22"/>
                <w:szCs w:val="22"/>
                <w:lang w:eastAsia="es-CO"/>
              </w:rPr>
              <w:t xml:space="preserve"> Pacheco</w:t>
            </w:r>
          </w:p>
          <w:p w14:paraId="36398DE3" w14:textId="77777777" w:rsidR="007B3F62" w:rsidRPr="0019285B" w:rsidRDefault="007B3F62" w:rsidP="007C7404">
            <w:pPr>
              <w:jc w:val="both"/>
              <w:rPr>
                <w:rFonts w:ascii="Verdana" w:hAnsi="Verdana" w:cs="Calibri"/>
                <w:b/>
                <w:bCs/>
                <w:sz w:val="22"/>
                <w:szCs w:val="22"/>
                <w:lang w:eastAsia="es-CO"/>
              </w:rPr>
            </w:pPr>
          </w:p>
          <w:p w14:paraId="1060C824" w14:textId="77777777" w:rsidR="007B3F62" w:rsidRDefault="007B3F62" w:rsidP="007C7404">
            <w:pPr>
              <w:jc w:val="both"/>
              <w:rPr>
                <w:rFonts w:ascii="Verdana" w:hAnsi="Verdana" w:cs="Calibri"/>
                <w:b/>
                <w:bCs/>
                <w:sz w:val="22"/>
                <w:szCs w:val="22"/>
                <w:lang w:eastAsia="es-CO"/>
              </w:rPr>
            </w:pPr>
            <w:r w:rsidRPr="0019285B">
              <w:rPr>
                <w:rFonts w:ascii="Verdana" w:hAnsi="Verdana" w:cs="Calibri"/>
                <w:b/>
                <w:bCs/>
                <w:sz w:val="22"/>
                <w:szCs w:val="22"/>
                <w:lang w:eastAsia="es-CO"/>
              </w:rPr>
              <w:t>Kevin Arlid Herrera Santa</w:t>
            </w:r>
          </w:p>
          <w:p w14:paraId="28DB4E65" w14:textId="77777777" w:rsidR="0019285B" w:rsidRDefault="0019285B" w:rsidP="007C7404">
            <w:pPr>
              <w:jc w:val="both"/>
              <w:rPr>
                <w:rFonts w:ascii="Verdana" w:hAnsi="Verdana" w:cs="Calibri"/>
                <w:b/>
                <w:bCs/>
                <w:sz w:val="22"/>
                <w:szCs w:val="22"/>
                <w:lang w:eastAsia="es-CO"/>
              </w:rPr>
            </w:pPr>
          </w:p>
          <w:p w14:paraId="4A4BFF26" w14:textId="77777777" w:rsidR="0019285B" w:rsidRDefault="0019285B" w:rsidP="007C7404">
            <w:pPr>
              <w:jc w:val="both"/>
              <w:rPr>
                <w:rFonts w:ascii="Verdana" w:hAnsi="Verdana" w:cs="Calibri"/>
                <w:b/>
                <w:bCs/>
                <w:sz w:val="22"/>
                <w:szCs w:val="22"/>
                <w:lang w:eastAsia="es-CO"/>
              </w:rPr>
            </w:pPr>
          </w:p>
          <w:p w14:paraId="7AAE0B40" w14:textId="3EF49BDB" w:rsidR="0019285B" w:rsidRPr="0019285B" w:rsidRDefault="0019285B" w:rsidP="007C7404">
            <w:pPr>
              <w:jc w:val="both"/>
              <w:rPr>
                <w:rFonts w:ascii="Verdana" w:hAnsi="Verdana" w:cs="Calibri"/>
                <w:b/>
                <w:bCs/>
                <w:sz w:val="22"/>
                <w:szCs w:val="22"/>
                <w:lang w:eastAsia="es-CO"/>
              </w:rPr>
            </w:pPr>
            <w:r>
              <w:rPr>
                <w:rFonts w:ascii="Verdana" w:hAnsi="Verdana" w:cs="Calibri"/>
                <w:b/>
                <w:bCs/>
                <w:sz w:val="22"/>
                <w:szCs w:val="22"/>
                <w:lang w:eastAsia="es-CO"/>
              </w:rPr>
              <w:t>Alejandro Gamboa Cárdenas</w:t>
            </w:r>
          </w:p>
        </w:tc>
        <w:tc>
          <w:tcPr>
            <w:tcW w:w="2017" w:type="dxa"/>
            <w:vAlign w:val="center"/>
          </w:tcPr>
          <w:p w14:paraId="01F29735" w14:textId="1E00FF5B" w:rsidR="00313A36" w:rsidRPr="0019285B" w:rsidRDefault="001727E3" w:rsidP="007C7404">
            <w:pPr>
              <w:jc w:val="both"/>
              <w:rPr>
                <w:rFonts w:ascii="Verdana" w:hAnsi="Verdana" w:cs="Calibri"/>
                <w:sz w:val="22"/>
                <w:szCs w:val="22"/>
                <w:lang w:eastAsia="es-CO"/>
              </w:rPr>
            </w:pPr>
            <w:r w:rsidRPr="0019285B">
              <w:rPr>
                <w:rFonts w:ascii="Verdana" w:hAnsi="Verdana" w:cs="Calibri"/>
                <w:sz w:val="22"/>
                <w:szCs w:val="22"/>
                <w:lang w:eastAsia="es-CO"/>
              </w:rPr>
              <w:t>Contratistas de la Subdirección de Gestión Contractual</w:t>
            </w:r>
          </w:p>
        </w:tc>
        <w:tc>
          <w:tcPr>
            <w:tcW w:w="1319" w:type="dxa"/>
            <w:vAlign w:val="center"/>
          </w:tcPr>
          <w:p w14:paraId="529F7098" w14:textId="77777777" w:rsidR="00313A36" w:rsidRPr="0019285B" w:rsidRDefault="00313A36" w:rsidP="007C7404">
            <w:pPr>
              <w:jc w:val="both"/>
              <w:rPr>
                <w:rFonts w:ascii="Verdana" w:hAnsi="Verdana" w:cs="Calibri"/>
                <w:sz w:val="22"/>
                <w:szCs w:val="22"/>
                <w:lang w:eastAsia="es-CO"/>
              </w:rPr>
            </w:pPr>
          </w:p>
        </w:tc>
        <w:tc>
          <w:tcPr>
            <w:tcW w:w="2345" w:type="dxa"/>
          </w:tcPr>
          <w:p w14:paraId="49AF54BB" w14:textId="77777777" w:rsidR="00313A36" w:rsidRPr="0019285B" w:rsidRDefault="00313A36" w:rsidP="007C7404">
            <w:pPr>
              <w:jc w:val="both"/>
              <w:rPr>
                <w:rFonts w:ascii="Verdana" w:hAnsi="Verdana" w:cs="Calibri"/>
                <w:sz w:val="22"/>
                <w:szCs w:val="22"/>
                <w:lang w:eastAsia="es-CO"/>
              </w:rPr>
            </w:pPr>
          </w:p>
        </w:tc>
      </w:tr>
      <w:tr w:rsidR="00313A36" w:rsidRPr="00611315" w14:paraId="532F4506" w14:textId="77777777" w:rsidTr="007C7404">
        <w:trPr>
          <w:trHeight w:val="521"/>
        </w:trPr>
        <w:tc>
          <w:tcPr>
            <w:tcW w:w="1271" w:type="dxa"/>
            <w:vAlign w:val="center"/>
          </w:tcPr>
          <w:p w14:paraId="03710198" w14:textId="77777777" w:rsidR="00313A36" w:rsidRPr="0019285B" w:rsidRDefault="00313A36" w:rsidP="007C7404">
            <w:pPr>
              <w:jc w:val="both"/>
              <w:rPr>
                <w:rFonts w:ascii="Verdana" w:hAnsi="Verdana" w:cs="Calibri"/>
                <w:sz w:val="22"/>
                <w:szCs w:val="22"/>
                <w:lang w:eastAsia="es-CO"/>
              </w:rPr>
            </w:pPr>
          </w:p>
          <w:p w14:paraId="2156DF44" w14:textId="77777777" w:rsidR="00313A36" w:rsidRPr="0019285B" w:rsidRDefault="00313A36" w:rsidP="007C7404">
            <w:pPr>
              <w:jc w:val="both"/>
              <w:rPr>
                <w:rFonts w:ascii="Verdana" w:hAnsi="Verdana" w:cs="Calibri"/>
                <w:sz w:val="22"/>
                <w:szCs w:val="22"/>
                <w:lang w:eastAsia="es-CO"/>
              </w:rPr>
            </w:pPr>
            <w:r w:rsidRPr="0019285B">
              <w:rPr>
                <w:rFonts w:ascii="Verdana" w:hAnsi="Verdana" w:cs="Calibri"/>
                <w:sz w:val="22"/>
                <w:szCs w:val="22"/>
                <w:lang w:eastAsia="es-CO"/>
              </w:rPr>
              <w:t>Revisó:</w:t>
            </w:r>
          </w:p>
          <w:p w14:paraId="1CBFEC47" w14:textId="77777777" w:rsidR="00313A36" w:rsidRPr="0019285B" w:rsidRDefault="00313A36" w:rsidP="007C7404">
            <w:pPr>
              <w:jc w:val="both"/>
              <w:rPr>
                <w:rFonts w:ascii="Verdana" w:hAnsi="Verdana" w:cs="Calibri"/>
                <w:sz w:val="22"/>
                <w:szCs w:val="22"/>
                <w:lang w:eastAsia="es-CO"/>
              </w:rPr>
            </w:pPr>
          </w:p>
        </w:tc>
        <w:tc>
          <w:tcPr>
            <w:tcW w:w="1952" w:type="dxa"/>
          </w:tcPr>
          <w:p w14:paraId="09D81898" w14:textId="77777777" w:rsidR="00313A36" w:rsidRPr="0019285B" w:rsidRDefault="00313A36" w:rsidP="007C7404">
            <w:pPr>
              <w:jc w:val="both"/>
              <w:rPr>
                <w:rFonts w:ascii="Verdana" w:hAnsi="Verdana" w:cs="Calibri"/>
                <w:b/>
                <w:bCs/>
                <w:sz w:val="22"/>
                <w:szCs w:val="22"/>
                <w:lang w:eastAsia="es-CO"/>
              </w:rPr>
            </w:pPr>
          </w:p>
          <w:p w14:paraId="4234268E" w14:textId="77777777" w:rsidR="00313A36" w:rsidRPr="0019285B" w:rsidRDefault="00313A36" w:rsidP="007C7404">
            <w:pPr>
              <w:jc w:val="both"/>
              <w:rPr>
                <w:rFonts w:ascii="Verdana" w:hAnsi="Verdana" w:cs="Calibri"/>
                <w:b/>
                <w:bCs/>
                <w:sz w:val="22"/>
                <w:szCs w:val="22"/>
                <w:lang w:eastAsia="es-CO"/>
              </w:rPr>
            </w:pPr>
            <w:r w:rsidRPr="0019285B">
              <w:rPr>
                <w:rFonts w:ascii="Verdana" w:hAnsi="Verdana" w:cs="Calibri"/>
                <w:b/>
                <w:bCs/>
                <w:sz w:val="22"/>
                <w:szCs w:val="22"/>
                <w:lang w:eastAsia="es-CO"/>
              </w:rPr>
              <w:t>Martha Alicia Romero</w:t>
            </w:r>
          </w:p>
          <w:p w14:paraId="65B7FD49" w14:textId="77777777" w:rsidR="00313A36" w:rsidRPr="0019285B" w:rsidRDefault="00313A36" w:rsidP="007C7404">
            <w:pPr>
              <w:jc w:val="both"/>
              <w:rPr>
                <w:rFonts w:ascii="Verdana" w:hAnsi="Verdana" w:cs="Calibri"/>
                <w:b/>
                <w:bCs/>
                <w:sz w:val="22"/>
                <w:szCs w:val="22"/>
                <w:lang w:eastAsia="es-CO"/>
              </w:rPr>
            </w:pPr>
          </w:p>
        </w:tc>
        <w:tc>
          <w:tcPr>
            <w:tcW w:w="2017" w:type="dxa"/>
          </w:tcPr>
          <w:p w14:paraId="5E7CC258" w14:textId="77777777" w:rsidR="00313A36" w:rsidRPr="0019285B" w:rsidRDefault="00313A36" w:rsidP="007C7404">
            <w:pPr>
              <w:jc w:val="both"/>
              <w:rPr>
                <w:rFonts w:ascii="Verdana" w:hAnsi="Verdana" w:cs="Calibri"/>
                <w:sz w:val="22"/>
                <w:szCs w:val="22"/>
                <w:lang w:eastAsia="es-CO"/>
              </w:rPr>
            </w:pPr>
            <w:r w:rsidRPr="0019285B">
              <w:rPr>
                <w:rFonts w:ascii="Verdana" w:hAnsi="Verdana" w:cs="Calibri"/>
                <w:sz w:val="22"/>
                <w:szCs w:val="22"/>
                <w:lang w:eastAsia="es-CO"/>
              </w:rPr>
              <w:t>Gestor T1-15 – Subdirección de Gestión Contractual</w:t>
            </w:r>
          </w:p>
        </w:tc>
        <w:tc>
          <w:tcPr>
            <w:tcW w:w="1319" w:type="dxa"/>
          </w:tcPr>
          <w:p w14:paraId="7338883A" w14:textId="77777777" w:rsidR="00313A36" w:rsidRPr="0019285B" w:rsidRDefault="00313A36" w:rsidP="007C7404">
            <w:pPr>
              <w:jc w:val="both"/>
              <w:rPr>
                <w:rFonts w:ascii="Verdana" w:hAnsi="Verdana" w:cs="Calibri"/>
                <w:sz w:val="22"/>
                <w:szCs w:val="22"/>
                <w:lang w:eastAsia="es-CO"/>
              </w:rPr>
            </w:pPr>
          </w:p>
        </w:tc>
        <w:tc>
          <w:tcPr>
            <w:tcW w:w="2345" w:type="dxa"/>
          </w:tcPr>
          <w:p w14:paraId="5ACF063D" w14:textId="77777777" w:rsidR="00313A36" w:rsidRPr="0019285B" w:rsidRDefault="00313A36" w:rsidP="007C7404">
            <w:pPr>
              <w:jc w:val="both"/>
              <w:rPr>
                <w:rFonts w:ascii="Verdana" w:hAnsi="Verdana" w:cs="Calibri"/>
                <w:sz w:val="22"/>
                <w:szCs w:val="22"/>
                <w:lang w:eastAsia="es-CO"/>
              </w:rPr>
            </w:pPr>
          </w:p>
        </w:tc>
      </w:tr>
      <w:tr w:rsidR="00313A36" w:rsidRPr="00611315" w14:paraId="64653ADE" w14:textId="77777777" w:rsidTr="007C7404">
        <w:trPr>
          <w:trHeight w:val="20"/>
        </w:trPr>
        <w:tc>
          <w:tcPr>
            <w:tcW w:w="1271" w:type="dxa"/>
          </w:tcPr>
          <w:p w14:paraId="5777E27A" w14:textId="77777777" w:rsidR="00313A36" w:rsidRPr="0019285B" w:rsidRDefault="00313A36" w:rsidP="007C7404">
            <w:pPr>
              <w:jc w:val="both"/>
              <w:rPr>
                <w:rFonts w:ascii="Verdana" w:hAnsi="Verdana" w:cs="Calibri"/>
                <w:sz w:val="22"/>
                <w:szCs w:val="22"/>
                <w:lang w:eastAsia="es-CO"/>
              </w:rPr>
            </w:pPr>
          </w:p>
          <w:p w14:paraId="2D38405B" w14:textId="77777777" w:rsidR="00313A36" w:rsidRPr="0019285B" w:rsidRDefault="00313A36" w:rsidP="007C7404">
            <w:pPr>
              <w:jc w:val="both"/>
              <w:rPr>
                <w:rFonts w:ascii="Verdana" w:hAnsi="Verdana" w:cs="Calibri"/>
                <w:sz w:val="22"/>
                <w:szCs w:val="22"/>
                <w:lang w:eastAsia="es-CO"/>
              </w:rPr>
            </w:pPr>
          </w:p>
          <w:p w14:paraId="6209BB53" w14:textId="77777777" w:rsidR="00313A36" w:rsidRPr="0019285B" w:rsidRDefault="00313A36" w:rsidP="007C7404">
            <w:pPr>
              <w:jc w:val="both"/>
              <w:rPr>
                <w:rFonts w:ascii="Verdana" w:hAnsi="Verdana" w:cs="Calibri"/>
                <w:sz w:val="22"/>
                <w:szCs w:val="22"/>
                <w:lang w:eastAsia="es-CO"/>
              </w:rPr>
            </w:pPr>
            <w:r w:rsidRPr="0019285B">
              <w:rPr>
                <w:rFonts w:ascii="Verdana" w:hAnsi="Verdana" w:cs="Calibri"/>
                <w:sz w:val="22"/>
                <w:szCs w:val="22"/>
                <w:lang w:eastAsia="es-CO"/>
              </w:rPr>
              <w:t>Aprobó</w:t>
            </w:r>
          </w:p>
          <w:p w14:paraId="2A6437F2" w14:textId="77777777" w:rsidR="00313A36" w:rsidRPr="0019285B" w:rsidRDefault="00313A36" w:rsidP="007C7404">
            <w:pPr>
              <w:jc w:val="both"/>
              <w:rPr>
                <w:rFonts w:ascii="Verdana" w:hAnsi="Verdana" w:cs="Calibri"/>
                <w:sz w:val="22"/>
                <w:szCs w:val="22"/>
                <w:lang w:eastAsia="es-CO"/>
              </w:rPr>
            </w:pPr>
          </w:p>
          <w:p w14:paraId="61C2FBC1" w14:textId="77777777" w:rsidR="00313A36" w:rsidRPr="0019285B" w:rsidRDefault="00313A36" w:rsidP="007C7404">
            <w:pPr>
              <w:jc w:val="both"/>
              <w:rPr>
                <w:rFonts w:ascii="Verdana" w:hAnsi="Verdana" w:cs="Calibri"/>
                <w:sz w:val="22"/>
                <w:szCs w:val="22"/>
                <w:lang w:eastAsia="es-CO"/>
              </w:rPr>
            </w:pPr>
          </w:p>
        </w:tc>
        <w:tc>
          <w:tcPr>
            <w:tcW w:w="1952" w:type="dxa"/>
            <w:vAlign w:val="center"/>
          </w:tcPr>
          <w:p w14:paraId="104107D6" w14:textId="77777777" w:rsidR="00313A36" w:rsidRPr="0019285B" w:rsidRDefault="00313A36" w:rsidP="007C7404">
            <w:pPr>
              <w:jc w:val="both"/>
              <w:rPr>
                <w:rFonts w:ascii="Verdana" w:hAnsi="Verdana" w:cs="Calibri"/>
                <w:b/>
                <w:bCs/>
                <w:sz w:val="22"/>
                <w:szCs w:val="22"/>
                <w:lang w:eastAsia="es-CO"/>
              </w:rPr>
            </w:pPr>
          </w:p>
          <w:p w14:paraId="29D665B9" w14:textId="77777777" w:rsidR="00313A36" w:rsidRPr="0019285B" w:rsidRDefault="00313A36" w:rsidP="007C7404">
            <w:pPr>
              <w:jc w:val="both"/>
              <w:rPr>
                <w:rFonts w:ascii="Verdana" w:hAnsi="Verdana" w:cs="Calibri"/>
                <w:b/>
                <w:bCs/>
                <w:sz w:val="22"/>
                <w:szCs w:val="22"/>
                <w:lang w:eastAsia="es-CO"/>
              </w:rPr>
            </w:pPr>
            <w:r w:rsidRPr="0019285B">
              <w:rPr>
                <w:rFonts w:ascii="Verdana" w:hAnsi="Verdana" w:cs="Calibri"/>
                <w:b/>
                <w:bCs/>
                <w:sz w:val="22"/>
                <w:szCs w:val="22"/>
                <w:lang w:eastAsia="es-CO"/>
              </w:rPr>
              <w:t>Carolina Quintero Gacharná</w:t>
            </w:r>
          </w:p>
          <w:p w14:paraId="210940E7" w14:textId="77777777" w:rsidR="00313A36" w:rsidRPr="0019285B" w:rsidRDefault="00313A36" w:rsidP="007C7404">
            <w:pPr>
              <w:jc w:val="both"/>
              <w:rPr>
                <w:rFonts w:ascii="Verdana" w:hAnsi="Verdana" w:cs="Calibri"/>
                <w:b/>
                <w:bCs/>
                <w:sz w:val="22"/>
                <w:szCs w:val="22"/>
                <w:lang w:eastAsia="es-CO"/>
              </w:rPr>
            </w:pPr>
          </w:p>
        </w:tc>
        <w:tc>
          <w:tcPr>
            <w:tcW w:w="2017" w:type="dxa"/>
            <w:vAlign w:val="center"/>
          </w:tcPr>
          <w:p w14:paraId="7B0B9776" w14:textId="77777777" w:rsidR="00313A36" w:rsidRPr="0019285B" w:rsidRDefault="00313A36" w:rsidP="007C7404">
            <w:pPr>
              <w:jc w:val="both"/>
              <w:rPr>
                <w:rFonts w:ascii="Verdana" w:hAnsi="Verdana" w:cs="Calibri"/>
                <w:sz w:val="22"/>
                <w:szCs w:val="22"/>
                <w:lang w:eastAsia="es-CO"/>
              </w:rPr>
            </w:pPr>
            <w:r w:rsidRPr="0019285B">
              <w:rPr>
                <w:rFonts w:ascii="Verdana" w:hAnsi="Verdana" w:cs="Calibri"/>
                <w:sz w:val="22"/>
                <w:szCs w:val="22"/>
                <w:lang w:eastAsia="es-CO"/>
              </w:rPr>
              <w:t>Subdirectora de Gestión Contractual</w:t>
            </w:r>
          </w:p>
        </w:tc>
        <w:tc>
          <w:tcPr>
            <w:tcW w:w="1319" w:type="dxa"/>
            <w:vAlign w:val="center"/>
          </w:tcPr>
          <w:p w14:paraId="06BE76E4" w14:textId="77777777" w:rsidR="00313A36" w:rsidRPr="0019285B" w:rsidRDefault="00313A36" w:rsidP="007C7404">
            <w:pPr>
              <w:jc w:val="both"/>
              <w:rPr>
                <w:rFonts w:ascii="Verdana" w:hAnsi="Verdana" w:cs="Calibri"/>
                <w:sz w:val="22"/>
                <w:szCs w:val="22"/>
                <w:lang w:eastAsia="es-CO"/>
              </w:rPr>
            </w:pPr>
          </w:p>
        </w:tc>
        <w:tc>
          <w:tcPr>
            <w:tcW w:w="2345" w:type="dxa"/>
            <w:vAlign w:val="center"/>
          </w:tcPr>
          <w:p w14:paraId="53E3C764" w14:textId="77777777" w:rsidR="00313A36" w:rsidRPr="0019285B" w:rsidRDefault="00313A36" w:rsidP="007C7404">
            <w:pPr>
              <w:jc w:val="both"/>
              <w:rPr>
                <w:rFonts w:ascii="Verdana" w:hAnsi="Verdana" w:cs="Calibri"/>
                <w:sz w:val="22"/>
                <w:szCs w:val="22"/>
                <w:lang w:eastAsia="es-CO"/>
              </w:rPr>
            </w:pPr>
          </w:p>
        </w:tc>
      </w:tr>
    </w:tbl>
    <w:p w14:paraId="1A9033F0" w14:textId="77777777" w:rsidR="00313A36" w:rsidRPr="00611315" w:rsidRDefault="00313A36" w:rsidP="00313A36">
      <w:pPr>
        <w:jc w:val="both"/>
        <w:rPr>
          <w:rFonts w:ascii="Verdana" w:eastAsia="Calibri" w:hAnsi="Verdana" w:cs="Arial"/>
          <w:sz w:val="22"/>
          <w:szCs w:val="22"/>
        </w:rPr>
      </w:pPr>
    </w:p>
    <w:p w14:paraId="568100AD" w14:textId="3F9F1568" w:rsidR="00C2490D" w:rsidRPr="00611315" w:rsidRDefault="00C2490D" w:rsidP="00313A36">
      <w:pPr>
        <w:jc w:val="both"/>
        <w:rPr>
          <w:rFonts w:ascii="Verdana" w:hAnsi="Verdana" w:cs="Arial"/>
          <w:b/>
          <w:bCs/>
          <w:sz w:val="22"/>
          <w:szCs w:val="22"/>
          <w:highlight w:val="yellow"/>
        </w:rPr>
      </w:pPr>
    </w:p>
    <w:sectPr w:rsidR="00C2490D" w:rsidRPr="00611315" w:rsidSect="00EB5E57">
      <w:headerReference w:type="default" r:id="rId122"/>
      <w:footerReference w:type="even" r:id="rId123"/>
      <w:footerReference w:type="default" r:id="rId124"/>
      <w:headerReference w:type="first" r:id="rId125"/>
      <w:footerReference w:type="first" r:id="rId126"/>
      <w:pgSz w:w="12242" w:h="15842"/>
      <w:pgMar w:top="1701" w:right="1327" w:bottom="2252" w:left="1276" w:header="709" w:footer="709"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24BD2" w14:textId="77777777" w:rsidR="005E5B1E" w:rsidRDefault="005E5B1E">
      <w:r>
        <w:separator/>
      </w:r>
    </w:p>
  </w:endnote>
  <w:endnote w:type="continuationSeparator" w:id="0">
    <w:p w14:paraId="1701C59D" w14:textId="77777777" w:rsidR="005E5B1E" w:rsidRDefault="005E5B1E">
      <w:r>
        <w:continuationSeparator/>
      </w:r>
    </w:p>
  </w:endnote>
  <w:endnote w:type="continuationNotice" w:id="1">
    <w:p w14:paraId="33F91866" w14:textId="77777777" w:rsidR="005E5B1E" w:rsidRDefault="005E5B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Sans-Serif">
    <w:altName w:val="Wingding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Geomanist Bold">
    <w:altName w:val="Calibri"/>
    <w:panose1 w:val="02000503000000020004"/>
    <w:charset w:val="00"/>
    <w:family w:val="modern"/>
    <w:notTrueType/>
    <w:pitch w:val="variable"/>
    <w:sig w:usb0="A000002F" w:usb1="1000004A" w:usb2="00000000" w:usb3="00000000" w:csb0="00000193" w:csb1="00000000"/>
  </w:font>
  <w:font w:name="Geomanist Light">
    <w:altName w:val="Calibri"/>
    <w:panose1 w:val="02000503000000020004"/>
    <w:charset w:val="00"/>
    <w:family w:val="modern"/>
    <w:notTrueType/>
    <w:pitch w:val="variable"/>
    <w:sig w:usb0="A000002F" w:usb1="1000004A" w:usb2="00000000" w:usb3="00000000" w:csb0="00000193"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Verdana Pro">
    <w:charset w:val="00"/>
    <w:family w:val="swiss"/>
    <w:pitch w:val="variable"/>
    <w:sig w:usb0="80000287" w:usb1="00000043" w:usb2="00000000" w:usb3="00000000" w:csb0="0000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pleSystemUIFont">
    <w:altName w:val="Calibri"/>
    <w:panose1 w:val="00000000000000000000"/>
    <w:charset w:val="00"/>
    <w:family w:val="auto"/>
    <w:notTrueType/>
    <w:pitch w:val="default"/>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Verdana-Italic">
    <w:altName w:val="Verdana"/>
    <w:charset w:val="00"/>
    <w:family w:val="swiss"/>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8" w14:textId="77777777" w:rsidR="00B44DC1" w:rsidRDefault="00B44DC1">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5A0F2" w14:textId="77777777" w:rsidR="00EB5E57" w:rsidRDefault="00EB5E57" w:rsidP="007B63C8">
    <w:pPr>
      <w:pBdr>
        <w:top w:val="single" w:sz="4" w:space="1" w:color="auto"/>
      </w:pBdr>
      <w:spacing w:line="276" w:lineRule="auto"/>
      <w:rPr>
        <w:rFonts w:ascii="Verdana" w:hAnsi="Verdana"/>
        <w:b/>
        <w:bCs/>
        <w:sz w:val="20"/>
        <w:szCs w:val="20"/>
      </w:rPr>
    </w:pPr>
    <w:r w:rsidRPr="008E4D59">
      <w:rPr>
        <w:rFonts w:ascii="Verdana" w:hAnsi="Verdana"/>
        <w:b/>
        <w:bCs/>
        <w:sz w:val="20"/>
        <w:szCs w:val="20"/>
      </w:rPr>
      <w:t>Agencia Nacional de Contratación</w:t>
    </w:r>
    <w:r>
      <w:rPr>
        <w:rFonts w:ascii="Verdana" w:hAnsi="Verdana"/>
        <w:b/>
        <w:bCs/>
        <w:sz w:val="20"/>
        <w:szCs w:val="20"/>
      </w:rPr>
      <w:t xml:space="preserve"> </w:t>
    </w:r>
    <w:r w:rsidRPr="008E4D59">
      <w:rPr>
        <w:rFonts w:ascii="Verdana" w:hAnsi="Verdana"/>
        <w:b/>
        <w:bCs/>
        <w:sz w:val="20"/>
        <w:szCs w:val="20"/>
      </w:rPr>
      <w:t>Pública</w:t>
    </w:r>
    <w:r>
      <w:rPr>
        <w:rFonts w:ascii="Verdana" w:hAnsi="Verdana"/>
        <w:b/>
        <w:bCs/>
        <w:sz w:val="20"/>
        <w:szCs w:val="20"/>
      </w:rPr>
      <w:t xml:space="preserve">                                                  </w:t>
    </w:r>
    <w:r w:rsidRPr="00EF48FB">
      <w:rPr>
        <w:rFonts w:ascii="Verdana" w:hAnsi="Verdana"/>
        <w:b/>
        <w:bCs/>
        <w:sz w:val="16"/>
        <w:szCs w:val="16"/>
      </w:rPr>
      <w:t xml:space="preserve">  </w:t>
    </w:r>
    <w:r w:rsidRPr="00EF48FB">
      <w:rPr>
        <w:rFonts w:ascii="Verdana" w:eastAsiaTheme="majorEastAsia" w:hAnsi="Verdana" w:cstheme="majorBidi"/>
        <w:b/>
        <w:bCs/>
        <w:sz w:val="16"/>
        <w:szCs w:val="16"/>
      </w:rPr>
      <w:t xml:space="preserve">pág. </w:t>
    </w:r>
    <w:r w:rsidRPr="00EF48FB">
      <w:rPr>
        <w:rFonts w:ascii="Verdana" w:eastAsiaTheme="minorEastAsia" w:hAnsi="Verdana" w:cstheme="minorBidi"/>
        <w:b/>
        <w:bCs/>
        <w:sz w:val="16"/>
        <w:szCs w:val="16"/>
      </w:rPr>
      <w:fldChar w:fldCharType="begin"/>
    </w:r>
    <w:r w:rsidRPr="00EF48FB">
      <w:rPr>
        <w:rFonts w:ascii="Verdana" w:hAnsi="Verdana"/>
        <w:b/>
        <w:bCs/>
        <w:sz w:val="16"/>
        <w:szCs w:val="16"/>
      </w:rPr>
      <w:instrText>PAGE    \* MERGEFORMAT</w:instrText>
    </w:r>
    <w:r w:rsidRPr="00EF48FB">
      <w:rPr>
        <w:rFonts w:ascii="Verdana" w:eastAsiaTheme="minorEastAsia" w:hAnsi="Verdana" w:cstheme="minorBidi"/>
        <w:b/>
        <w:bCs/>
        <w:sz w:val="16"/>
        <w:szCs w:val="16"/>
      </w:rPr>
      <w:fldChar w:fldCharType="separate"/>
    </w:r>
    <w:r>
      <w:rPr>
        <w:rFonts w:ascii="Verdana" w:eastAsiaTheme="minorEastAsia" w:hAnsi="Verdana" w:cstheme="minorBidi"/>
        <w:b/>
        <w:bCs/>
        <w:sz w:val="16"/>
        <w:szCs w:val="16"/>
      </w:rPr>
      <w:t>1</w:t>
    </w:r>
    <w:r w:rsidRPr="00EF48FB">
      <w:rPr>
        <w:rFonts w:ascii="Verdana" w:eastAsiaTheme="majorEastAsia" w:hAnsi="Verdana" w:cstheme="majorBidi"/>
        <w:b/>
        <w:bCs/>
        <w:sz w:val="16"/>
        <w:szCs w:val="16"/>
      </w:rPr>
      <w:fldChar w:fldCharType="end"/>
    </w:r>
  </w:p>
  <w:p w14:paraId="13AC477F" w14:textId="77777777" w:rsidR="00EB5E57" w:rsidRPr="00174B77" w:rsidRDefault="00EB5E57" w:rsidP="00EB5E57">
    <w:pPr>
      <w:spacing w:line="276" w:lineRule="auto"/>
      <w:rPr>
        <w:rFonts w:ascii="Verdana" w:hAnsi="Verdana"/>
        <w:b/>
        <w:bCs/>
        <w:sz w:val="20"/>
        <w:szCs w:val="20"/>
      </w:rPr>
    </w:pPr>
    <w:r w:rsidRPr="008E4D59">
      <w:rPr>
        <w:rFonts w:ascii="Verdana" w:hAnsi="Verdana"/>
        <w:b/>
        <w:bCs/>
        <w:sz w:val="20"/>
        <w:szCs w:val="20"/>
      </w:rPr>
      <w:t>Colombia Compra Eficiente</w:t>
    </w:r>
    <w:r>
      <w:rPr>
        <w:rFonts w:ascii="Verdana" w:hAnsi="Verdana"/>
        <w:b/>
        <w:bCs/>
        <w:sz w:val="20"/>
        <w:szCs w:val="20"/>
      </w:rPr>
      <w:t xml:space="preserve">      </w:t>
    </w:r>
  </w:p>
  <w:p w14:paraId="533F95F9" w14:textId="77777777" w:rsidR="00EB5E57" w:rsidRDefault="00EB5E57" w:rsidP="00EB5E57">
    <w:pPr>
      <w:spacing w:line="276" w:lineRule="auto"/>
      <w:jc w:val="both"/>
      <w:rPr>
        <w:rFonts w:ascii="Verdana" w:hAnsi="Verdana"/>
        <w:sz w:val="18"/>
        <w:szCs w:val="18"/>
      </w:rPr>
    </w:pPr>
    <w:r w:rsidRPr="00E41027">
      <w:rPr>
        <w:rFonts w:ascii="Verdana" w:hAnsi="Verdana"/>
        <w:sz w:val="18"/>
        <w:szCs w:val="18"/>
      </w:rPr>
      <w:t>Dirección: Carrera 7 # 26 – 20 - Bogotá, Colombia</w:t>
    </w:r>
  </w:p>
  <w:p w14:paraId="49694C32" w14:textId="77777777" w:rsidR="00EB5E57" w:rsidRPr="00E41027" w:rsidRDefault="00EB5E57" w:rsidP="00EB5E57">
    <w:pPr>
      <w:spacing w:line="276" w:lineRule="auto"/>
      <w:jc w:val="both"/>
      <w:rPr>
        <w:rFonts w:ascii="Verdana" w:hAnsi="Verdana"/>
        <w:sz w:val="18"/>
        <w:szCs w:val="18"/>
      </w:rPr>
    </w:pPr>
    <w:r w:rsidRPr="00E41027">
      <w:rPr>
        <w:rFonts w:ascii="Verdana" w:hAnsi="Verdana"/>
        <w:sz w:val="18"/>
        <w:szCs w:val="18"/>
      </w:rPr>
      <w:t>Mesa de servicio: (+57) 601 7456788</w:t>
    </w:r>
  </w:p>
  <w:p w14:paraId="000000C7" w14:textId="512FB91B" w:rsidR="00B44DC1" w:rsidRPr="00EB5E57" w:rsidRDefault="248CD797" w:rsidP="00EB5E57">
    <w:pPr>
      <w:pStyle w:val="Encabezado"/>
      <w:rPr>
        <w:rFonts w:ascii="Century Gothic" w:hAnsi="Century Gothic"/>
        <w:sz w:val="16"/>
        <w:szCs w:val="16"/>
      </w:rPr>
    </w:pPr>
    <w:r w:rsidRPr="248CD797">
      <w:rPr>
        <w:rFonts w:ascii="Verdana" w:hAnsi="Verdana"/>
        <w:sz w:val="18"/>
        <w:szCs w:val="18"/>
      </w:rPr>
      <w:t>Atención al ciudadano: (+57) 601 7956600</w:t>
    </w:r>
    <w:r w:rsidRPr="248CD797">
      <w:rPr>
        <w:rFonts w:ascii="Verdana" w:hAnsi="Verdana"/>
        <w:sz w:val="20"/>
        <w:szCs w:val="20"/>
      </w:rPr>
      <w:t xml:space="preserve">    </w:t>
    </w:r>
    <w:r w:rsidRPr="248CD797">
      <w:rPr>
        <w:rFonts w:ascii="Verdana" w:hAnsi="Verdana"/>
        <w:sz w:val="16"/>
        <w:szCs w:val="16"/>
      </w:rPr>
      <w:t xml:space="preserve">Código: CCE-EICP-IDI-57 </w:t>
    </w:r>
    <w:r w:rsidRPr="248CD797">
      <w:rPr>
        <w:rFonts w:ascii="Verdana" w:eastAsia="Arial" w:hAnsi="Verdana" w:cs="Arial"/>
        <w:sz w:val="16"/>
        <w:szCs w:val="16"/>
      </w:rPr>
      <w:t xml:space="preserve">Versión: </w:t>
    </w:r>
    <w:r w:rsidRPr="248CD797">
      <w:rPr>
        <w:rFonts w:ascii="Verdana" w:hAnsi="Verdana"/>
        <w:sz w:val="16"/>
        <w:szCs w:val="16"/>
      </w:rPr>
      <w:t>01 Fecha: 29-08-2024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9" w14:textId="77777777" w:rsidR="00B44DC1" w:rsidRDefault="00B44DC1">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CC4BBF" w14:textId="77777777" w:rsidR="005E5B1E" w:rsidRDefault="005E5B1E">
      <w:r>
        <w:separator/>
      </w:r>
    </w:p>
  </w:footnote>
  <w:footnote w:type="continuationSeparator" w:id="0">
    <w:p w14:paraId="594F6A51" w14:textId="77777777" w:rsidR="005E5B1E" w:rsidRDefault="005E5B1E">
      <w:r>
        <w:continuationSeparator/>
      </w:r>
    </w:p>
  </w:footnote>
  <w:footnote w:type="continuationNotice" w:id="1">
    <w:p w14:paraId="0151EE7D" w14:textId="77777777" w:rsidR="005E5B1E" w:rsidRDefault="005E5B1E"/>
  </w:footnote>
  <w:footnote w:id="2">
    <w:p w14:paraId="5928EFF8" w14:textId="77777777" w:rsidR="004E6AA4" w:rsidRPr="000B69C8" w:rsidRDefault="004E6AA4" w:rsidP="002F7131">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Clasificación Industrial Internacional Uniforme de todas las actividades económicas Revisión 4 adaptada para Colombia CIIU Rev. 4 A.C. </w:t>
      </w:r>
      <w:hyperlink r:id="rId1" w:history="1">
        <w:r w:rsidRPr="000B69C8">
          <w:rPr>
            <w:rStyle w:val="Hipervnculo"/>
            <w:rFonts w:ascii="Verdana" w:hAnsi="Verdana" w:cs="Arial"/>
            <w:sz w:val="16"/>
            <w:szCs w:val="16"/>
          </w:rPr>
          <w:t>https://www.dane.gov.co/files/sen/nomenclatura/ciiu/CIIU_Rev_4_AC2022.pdf</w:t>
        </w:r>
      </w:hyperlink>
    </w:p>
  </w:footnote>
  <w:footnote w:id="3">
    <w:p w14:paraId="128AE8D8" w14:textId="77777777" w:rsidR="004E6AA4" w:rsidRPr="000B69C8" w:rsidRDefault="004E6AA4"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Clasificación Industrial Internacional Uniforme de todas las actividades económicas Revisión 4 adaptada para Colombia CIIU Rev. 4 A.C. </w:t>
      </w:r>
      <w:hyperlink r:id="rId2" w:history="1">
        <w:r w:rsidRPr="000B69C8">
          <w:rPr>
            <w:rStyle w:val="Hipervnculo"/>
            <w:rFonts w:ascii="Verdana" w:hAnsi="Verdana" w:cs="Arial"/>
            <w:sz w:val="16"/>
            <w:szCs w:val="16"/>
          </w:rPr>
          <w:t>https://www.dane.gov.co/files/sen/nomenclatura/ciiu/CIIU_Rev_4_AC2022.pdf</w:t>
        </w:r>
      </w:hyperlink>
    </w:p>
  </w:footnote>
  <w:footnote w:id="4">
    <w:p w14:paraId="17CE53E1" w14:textId="12E1C012" w:rsidR="004E6AA4" w:rsidRPr="000B69C8" w:rsidRDefault="004E6AA4"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Catálogo de Cualificaciones Sector de la Construcción. Marco Nacional de Cualificaciones. Ministerio de educación y Camacol. 2020. </w:t>
      </w:r>
      <w:r w:rsidR="002250A7" w:rsidRPr="000B69C8">
        <w:rPr>
          <w:rFonts w:ascii="Verdana" w:hAnsi="Verdana" w:cs="Arial"/>
          <w:sz w:val="16"/>
          <w:szCs w:val="16"/>
        </w:rPr>
        <w:t xml:space="preserve">Fecha de consulta: </w:t>
      </w:r>
      <w:proofErr w:type="gramStart"/>
      <w:r w:rsidR="002250A7" w:rsidRPr="000B69C8">
        <w:rPr>
          <w:rFonts w:ascii="Verdana" w:hAnsi="Verdana" w:cs="Arial"/>
          <w:sz w:val="16"/>
          <w:szCs w:val="16"/>
        </w:rPr>
        <w:t>Marzo</w:t>
      </w:r>
      <w:proofErr w:type="gramEnd"/>
      <w:r w:rsidR="002250A7" w:rsidRPr="000B69C8">
        <w:rPr>
          <w:rFonts w:ascii="Verdana" w:hAnsi="Verdana" w:cs="Arial"/>
          <w:sz w:val="16"/>
          <w:szCs w:val="16"/>
        </w:rPr>
        <w:t xml:space="preserve"> de 2026. </w:t>
      </w:r>
      <w:r w:rsidRPr="000B69C8">
        <w:rPr>
          <w:rFonts w:ascii="Verdana" w:hAnsi="Verdana" w:cs="Arial"/>
          <w:sz w:val="16"/>
          <w:szCs w:val="16"/>
        </w:rPr>
        <w:t xml:space="preserve">Disponible en: </w:t>
      </w:r>
      <w:hyperlink r:id="rId3" w:history="1">
        <w:r w:rsidRPr="000B69C8">
          <w:rPr>
            <w:rStyle w:val="Hipervnculo"/>
            <w:rFonts w:ascii="Verdana" w:hAnsi="Verdana"/>
            <w:sz w:val="16"/>
            <w:szCs w:val="16"/>
          </w:rPr>
          <w:t>https://camacol.co/sites/default/files/descargables/Catálogo%20de%20Cualificaciones.pdf</w:t>
        </w:r>
      </w:hyperlink>
      <w:r w:rsidRPr="000B69C8">
        <w:rPr>
          <w:rFonts w:ascii="Verdana" w:hAnsi="Verdana"/>
          <w:sz w:val="16"/>
          <w:szCs w:val="16"/>
        </w:rPr>
        <w:t xml:space="preserve"> </w:t>
      </w:r>
    </w:p>
  </w:footnote>
  <w:footnote w:id="5">
    <w:p w14:paraId="6174AA7D" w14:textId="196D44B2" w:rsidR="004E6AA4" w:rsidRPr="000B69C8" w:rsidRDefault="004E6AA4"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Ibidem. Pg. 16.</w:t>
      </w:r>
    </w:p>
  </w:footnote>
  <w:footnote w:id="6">
    <w:p w14:paraId="36F10245" w14:textId="0E0DDEFE" w:rsidR="00705018" w:rsidRPr="00954F93" w:rsidRDefault="00705018" w:rsidP="00AB4464">
      <w:pPr>
        <w:pStyle w:val="Textonotapie"/>
        <w:rPr>
          <w:rFonts w:ascii="Verdana" w:hAnsi="Verdana"/>
          <w:sz w:val="16"/>
          <w:szCs w:val="16"/>
          <w:lang w:val="es-MX"/>
        </w:rPr>
      </w:pPr>
      <w:r w:rsidRPr="00954F93">
        <w:rPr>
          <w:rStyle w:val="Refdenotaalpie"/>
          <w:rFonts w:ascii="Verdana" w:hAnsi="Verdana"/>
          <w:sz w:val="16"/>
          <w:szCs w:val="16"/>
        </w:rPr>
        <w:footnoteRef/>
      </w:r>
      <w:r w:rsidRPr="00954F93">
        <w:rPr>
          <w:rFonts w:ascii="Verdana" w:hAnsi="Verdana"/>
          <w:sz w:val="16"/>
          <w:szCs w:val="16"/>
        </w:rPr>
        <w:t xml:space="preserve"> Informe Sectorial de Dinámica Sectorial</w:t>
      </w:r>
      <w:r w:rsidR="00BC5861" w:rsidRPr="00954F93">
        <w:rPr>
          <w:rFonts w:ascii="Verdana" w:hAnsi="Verdana"/>
          <w:sz w:val="16"/>
          <w:szCs w:val="16"/>
        </w:rPr>
        <w:t xml:space="preserve"> – Sector Infraestructura</w:t>
      </w:r>
      <w:r w:rsidRPr="00954F93">
        <w:rPr>
          <w:rFonts w:ascii="Verdana" w:hAnsi="Verdana"/>
          <w:sz w:val="16"/>
          <w:szCs w:val="16"/>
        </w:rPr>
        <w:t xml:space="preserve">. Corficolombiana </w:t>
      </w:r>
      <w:proofErr w:type="gramStart"/>
      <w:r w:rsidR="00BB34E6" w:rsidRPr="000B69C8">
        <w:rPr>
          <w:rFonts w:ascii="Verdana" w:hAnsi="Verdana"/>
          <w:sz w:val="16"/>
          <w:szCs w:val="16"/>
        </w:rPr>
        <w:t>Mayo</w:t>
      </w:r>
      <w:proofErr w:type="gramEnd"/>
      <w:r w:rsidRPr="00954F93">
        <w:rPr>
          <w:rFonts w:ascii="Verdana" w:hAnsi="Verdana"/>
          <w:sz w:val="16"/>
          <w:szCs w:val="16"/>
        </w:rPr>
        <w:t xml:space="preserve"> de 2026. Disponible en: </w:t>
      </w:r>
      <w:hyperlink r:id="rId4" w:history="1">
        <w:r w:rsidR="001754E9" w:rsidRPr="000B69C8">
          <w:rPr>
            <w:rStyle w:val="Hipervnculo"/>
            <w:rFonts w:ascii="Verdana" w:hAnsi="Verdana"/>
            <w:sz w:val="16"/>
            <w:szCs w:val="16"/>
          </w:rPr>
          <w:t>https://investigaciones.corfi.com/documents/38211/0/05-2026%20Informe%20de%20dinámica%20sectorial%20-%20Infraestructura%20(1).pdf/fb27c40d-8b1d-9a20-7561-3a4c8c9e19ca</w:t>
        </w:r>
      </w:hyperlink>
      <w:r w:rsidR="001754E9" w:rsidRPr="000B69C8">
        <w:rPr>
          <w:rFonts w:ascii="Verdana" w:hAnsi="Verdana"/>
          <w:sz w:val="16"/>
          <w:szCs w:val="16"/>
        </w:rPr>
        <w:t xml:space="preserve"> </w:t>
      </w:r>
      <w:r w:rsidR="001754E9" w:rsidRPr="000B69C8" w:rsidDel="00E7744E">
        <w:rPr>
          <w:rFonts w:ascii="Verdana" w:hAnsi="Verdana"/>
          <w:sz w:val="16"/>
          <w:szCs w:val="16"/>
        </w:rPr>
        <w:t xml:space="preserve"> </w:t>
      </w:r>
      <w:r w:rsidR="001754E9" w:rsidRPr="000B69C8">
        <w:rPr>
          <w:rFonts w:ascii="Verdana" w:hAnsi="Verdana"/>
          <w:sz w:val="16"/>
          <w:szCs w:val="16"/>
        </w:rPr>
        <w:t xml:space="preserve"> </w:t>
      </w:r>
    </w:p>
  </w:footnote>
  <w:footnote w:id="7">
    <w:p w14:paraId="020D96ED" w14:textId="77777777" w:rsidR="00EB577B" w:rsidRPr="000B69C8" w:rsidRDefault="00EB577B" w:rsidP="00EB577B">
      <w:pPr>
        <w:pStyle w:val="Textonotapie"/>
        <w:rPr>
          <w:rFonts w:ascii="Verdana" w:hAnsi="Verdana"/>
          <w:sz w:val="16"/>
          <w:szCs w:val="16"/>
          <w:lang w:val="es-MX"/>
        </w:rPr>
      </w:pPr>
      <w:r w:rsidRPr="000B69C8">
        <w:rPr>
          <w:rStyle w:val="Refdenotaalpie"/>
          <w:rFonts w:ascii="Verdana" w:hAnsi="Verdana"/>
          <w:sz w:val="16"/>
          <w:szCs w:val="16"/>
        </w:rPr>
        <w:footnoteRef/>
      </w:r>
      <w:r w:rsidRPr="000B69C8">
        <w:rPr>
          <w:rFonts w:ascii="Verdana" w:hAnsi="Verdana"/>
          <w:sz w:val="16"/>
          <w:szCs w:val="16"/>
        </w:rPr>
        <w:t xml:space="preserve"> </w:t>
      </w:r>
      <w:r w:rsidRPr="000B69C8">
        <w:rPr>
          <w:rFonts w:ascii="Verdana" w:hAnsi="Verdana"/>
          <w:sz w:val="16"/>
          <w:szCs w:val="16"/>
          <w:lang w:val="es-MX"/>
        </w:rPr>
        <w:t>Ídem.</w:t>
      </w:r>
    </w:p>
  </w:footnote>
  <w:footnote w:id="8">
    <w:p w14:paraId="2B0A5CCA" w14:textId="463C0747" w:rsidR="00E23C00" w:rsidRPr="00954F93" w:rsidRDefault="00E23C00">
      <w:pPr>
        <w:pStyle w:val="Textonotapie"/>
        <w:rPr>
          <w:rFonts w:ascii="Verdana" w:hAnsi="Verdana"/>
          <w:sz w:val="16"/>
          <w:szCs w:val="16"/>
          <w:lang w:val="es-MX"/>
        </w:rPr>
      </w:pPr>
      <w:r w:rsidRPr="000B69C8">
        <w:rPr>
          <w:rStyle w:val="Refdenotaalpie"/>
          <w:rFonts w:ascii="Verdana" w:hAnsi="Verdana"/>
          <w:sz w:val="16"/>
          <w:szCs w:val="16"/>
        </w:rPr>
        <w:footnoteRef/>
      </w:r>
      <w:r w:rsidRPr="000B69C8">
        <w:rPr>
          <w:rFonts w:ascii="Verdana" w:hAnsi="Verdana"/>
          <w:sz w:val="16"/>
          <w:szCs w:val="16"/>
        </w:rPr>
        <w:t xml:space="preserve"> </w:t>
      </w:r>
      <w:r w:rsidRPr="000B69C8">
        <w:rPr>
          <w:rFonts w:ascii="Verdana" w:hAnsi="Verdana"/>
          <w:sz w:val="16"/>
          <w:szCs w:val="16"/>
          <w:lang w:val="es-MX"/>
        </w:rPr>
        <w:t>Ídem.</w:t>
      </w:r>
    </w:p>
  </w:footnote>
  <w:footnote w:id="9">
    <w:p w14:paraId="45C4660A" w14:textId="45307D28" w:rsidR="002E545A" w:rsidRPr="00954F93" w:rsidRDefault="002E545A" w:rsidP="00AB4464">
      <w:pPr>
        <w:pStyle w:val="Textonotapie"/>
        <w:rPr>
          <w:rFonts w:ascii="Verdana" w:hAnsi="Verdana"/>
          <w:sz w:val="16"/>
          <w:szCs w:val="16"/>
          <w:lang w:val="es-MX"/>
        </w:rPr>
      </w:pPr>
      <w:r w:rsidRPr="00954F93">
        <w:rPr>
          <w:rStyle w:val="Refdenotaalpie"/>
          <w:rFonts w:ascii="Verdana" w:hAnsi="Verdana"/>
          <w:sz w:val="16"/>
          <w:szCs w:val="16"/>
        </w:rPr>
        <w:footnoteRef/>
      </w:r>
      <w:r w:rsidRPr="00954F93">
        <w:rPr>
          <w:rFonts w:ascii="Verdana" w:hAnsi="Verdana"/>
          <w:sz w:val="16"/>
          <w:szCs w:val="16"/>
        </w:rPr>
        <w:t xml:space="preserve"> </w:t>
      </w:r>
      <w:r w:rsidR="0099571F" w:rsidRPr="000B69C8">
        <w:rPr>
          <w:rFonts w:ascii="Verdana" w:hAnsi="Verdana"/>
          <w:sz w:val="16"/>
          <w:szCs w:val="16"/>
        </w:rPr>
        <w:t>Boletín técnico. Producto Interno Bruto (PIB) I trimestre 202</w:t>
      </w:r>
      <w:r w:rsidR="006B317A" w:rsidRPr="000B69C8">
        <w:rPr>
          <w:rFonts w:ascii="Verdana" w:hAnsi="Verdana"/>
          <w:sz w:val="16"/>
          <w:szCs w:val="16"/>
        </w:rPr>
        <w:t>6</w:t>
      </w:r>
      <w:r w:rsidR="0099571F" w:rsidRPr="000B69C8">
        <w:rPr>
          <w:rFonts w:ascii="Verdana" w:hAnsi="Verdana"/>
          <w:sz w:val="16"/>
          <w:szCs w:val="16"/>
        </w:rPr>
        <w:t xml:space="preserve"> preliminar. </w:t>
      </w:r>
      <w:r w:rsidR="007E765D" w:rsidRPr="000B69C8">
        <w:rPr>
          <w:rFonts w:ascii="Verdana" w:hAnsi="Verdana"/>
          <w:sz w:val="16"/>
          <w:szCs w:val="16"/>
        </w:rPr>
        <w:t>Bogotá D.C. 1</w:t>
      </w:r>
      <w:r w:rsidR="006B317A" w:rsidRPr="000B69C8">
        <w:rPr>
          <w:rFonts w:ascii="Verdana" w:hAnsi="Verdana"/>
          <w:sz w:val="16"/>
          <w:szCs w:val="16"/>
        </w:rPr>
        <w:t>5</w:t>
      </w:r>
      <w:r w:rsidR="007E765D" w:rsidRPr="000B69C8">
        <w:rPr>
          <w:rFonts w:ascii="Verdana" w:hAnsi="Verdana"/>
          <w:sz w:val="16"/>
          <w:szCs w:val="16"/>
        </w:rPr>
        <w:t xml:space="preserve"> de </w:t>
      </w:r>
      <w:r w:rsidR="006B317A" w:rsidRPr="000B69C8">
        <w:rPr>
          <w:rFonts w:ascii="Verdana" w:hAnsi="Verdana"/>
          <w:sz w:val="16"/>
          <w:szCs w:val="16"/>
        </w:rPr>
        <w:t>mayo</w:t>
      </w:r>
      <w:r w:rsidR="007E765D" w:rsidRPr="000B69C8">
        <w:rPr>
          <w:rFonts w:ascii="Verdana" w:hAnsi="Verdana"/>
          <w:sz w:val="16"/>
          <w:szCs w:val="16"/>
        </w:rPr>
        <w:t xml:space="preserve"> de 2026. Disponible en: </w:t>
      </w:r>
      <w:hyperlink r:id="rId5" w:history="1">
        <w:r w:rsidR="00845852" w:rsidRPr="000B69C8">
          <w:rPr>
            <w:rStyle w:val="Hipervnculo"/>
            <w:rFonts w:ascii="Verdana" w:hAnsi="Verdana"/>
            <w:sz w:val="16"/>
            <w:szCs w:val="16"/>
          </w:rPr>
          <w:t>https://www.dane.gov.co/files/operaciones/PIB/bol-PIB-Itrim2026.pdf</w:t>
        </w:r>
      </w:hyperlink>
      <w:r w:rsidR="00845852" w:rsidRPr="000B69C8">
        <w:rPr>
          <w:rFonts w:ascii="Verdana" w:hAnsi="Verdana"/>
          <w:sz w:val="16"/>
          <w:szCs w:val="16"/>
        </w:rPr>
        <w:t xml:space="preserve"> </w:t>
      </w:r>
      <w:r w:rsidR="00845852" w:rsidRPr="000B69C8" w:rsidDel="006B317A">
        <w:rPr>
          <w:rFonts w:ascii="Verdana" w:hAnsi="Verdana"/>
          <w:sz w:val="16"/>
          <w:szCs w:val="16"/>
        </w:rPr>
        <w:t xml:space="preserve"> </w:t>
      </w:r>
      <w:r w:rsidR="00845852" w:rsidRPr="000B69C8">
        <w:rPr>
          <w:rFonts w:ascii="Verdana" w:hAnsi="Verdana"/>
          <w:sz w:val="16"/>
          <w:szCs w:val="16"/>
        </w:rPr>
        <w:t xml:space="preserve"> </w:t>
      </w:r>
    </w:p>
  </w:footnote>
  <w:footnote w:id="10">
    <w:p w14:paraId="14539CDA" w14:textId="4A4B2D7A" w:rsidR="005F17E0" w:rsidRPr="00954F93" w:rsidRDefault="005F17E0" w:rsidP="00AB4464">
      <w:pPr>
        <w:pStyle w:val="Textonotapie"/>
        <w:rPr>
          <w:rFonts w:ascii="Verdana" w:hAnsi="Verdana"/>
          <w:sz w:val="16"/>
          <w:szCs w:val="16"/>
        </w:rPr>
      </w:pPr>
      <w:r w:rsidRPr="00954F93">
        <w:rPr>
          <w:rStyle w:val="Refdenotaalpie"/>
          <w:rFonts w:ascii="Verdana" w:hAnsi="Verdana"/>
          <w:sz w:val="16"/>
          <w:szCs w:val="16"/>
        </w:rPr>
        <w:footnoteRef/>
      </w:r>
      <w:r w:rsidRPr="00954F93">
        <w:rPr>
          <w:rFonts w:ascii="Verdana" w:hAnsi="Verdana"/>
          <w:sz w:val="16"/>
          <w:szCs w:val="16"/>
        </w:rPr>
        <w:t xml:space="preserve"> Este indicador permite conocer la variación promedio de los precios de una canasta que representa los costos de la construcción de un conjunto representativo de las obras civiles desarrolladas en el país.</w:t>
      </w:r>
    </w:p>
  </w:footnote>
  <w:footnote w:id="11">
    <w:p w14:paraId="34D24E9A" w14:textId="703E3AEC" w:rsidR="002F7131" w:rsidRPr="00954F93" w:rsidRDefault="002F7131">
      <w:pPr>
        <w:pStyle w:val="Textonotapie"/>
        <w:rPr>
          <w:rFonts w:ascii="Verdana" w:hAnsi="Verdana"/>
          <w:sz w:val="16"/>
          <w:szCs w:val="16"/>
        </w:rPr>
      </w:pPr>
      <w:r w:rsidRPr="00954F93">
        <w:rPr>
          <w:rStyle w:val="Refdenotaalpie"/>
          <w:rFonts w:ascii="Verdana" w:hAnsi="Verdana"/>
          <w:sz w:val="16"/>
          <w:szCs w:val="16"/>
        </w:rPr>
        <w:footnoteRef/>
      </w:r>
      <w:r w:rsidRPr="00954F93">
        <w:rPr>
          <w:rFonts w:ascii="Verdana" w:hAnsi="Verdana"/>
          <w:sz w:val="16"/>
          <w:szCs w:val="16"/>
        </w:rPr>
        <w:t xml:space="preserve"> </w:t>
      </w:r>
      <w:r w:rsidR="00AB4464" w:rsidRPr="000B69C8">
        <w:rPr>
          <w:rFonts w:ascii="Verdana" w:hAnsi="Verdana"/>
          <w:sz w:val="16"/>
          <w:szCs w:val="16"/>
        </w:rPr>
        <w:t xml:space="preserve">Boletín técnico. Índice de Costos de la Construcción de Obras Civiles (ICOCIV). Bogotá D.C. </w:t>
      </w:r>
      <w:r w:rsidR="003F5792" w:rsidRPr="000B69C8">
        <w:rPr>
          <w:rFonts w:ascii="Verdana" w:hAnsi="Verdana"/>
          <w:sz w:val="16"/>
          <w:szCs w:val="16"/>
        </w:rPr>
        <w:t>30</w:t>
      </w:r>
      <w:r w:rsidR="00AB4464" w:rsidRPr="000B69C8">
        <w:rPr>
          <w:rFonts w:ascii="Verdana" w:hAnsi="Verdana"/>
          <w:sz w:val="16"/>
          <w:szCs w:val="16"/>
        </w:rPr>
        <w:t xml:space="preserve"> de </w:t>
      </w:r>
      <w:r w:rsidR="003F5792" w:rsidRPr="000B69C8">
        <w:rPr>
          <w:rFonts w:ascii="Verdana" w:hAnsi="Verdana"/>
          <w:sz w:val="16"/>
          <w:szCs w:val="16"/>
        </w:rPr>
        <w:t>abril</w:t>
      </w:r>
      <w:r w:rsidR="00AB4464" w:rsidRPr="000B69C8">
        <w:rPr>
          <w:rFonts w:ascii="Verdana" w:hAnsi="Verdana"/>
          <w:sz w:val="16"/>
          <w:szCs w:val="16"/>
        </w:rPr>
        <w:t xml:space="preserve"> de 2026. Disponible en: </w:t>
      </w:r>
      <w:hyperlink r:id="rId6" w:history="1">
        <w:r w:rsidR="003F5792" w:rsidRPr="000B69C8">
          <w:rPr>
            <w:rStyle w:val="Hipervnculo"/>
            <w:rFonts w:ascii="Verdana" w:hAnsi="Verdana"/>
            <w:sz w:val="16"/>
            <w:szCs w:val="16"/>
          </w:rPr>
          <w:t>https://www.dane.gov.co/files/operaciones/ICOCIV/bol-ICOCIV-mar2026.pdf</w:t>
        </w:r>
      </w:hyperlink>
      <w:r w:rsidR="003F5792" w:rsidRPr="000B69C8">
        <w:rPr>
          <w:rFonts w:ascii="Verdana" w:hAnsi="Verdana"/>
          <w:sz w:val="16"/>
          <w:szCs w:val="16"/>
        </w:rPr>
        <w:t xml:space="preserve"> </w:t>
      </w:r>
      <w:r w:rsidR="003F5792" w:rsidRPr="000B69C8" w:rsidDel="003F5792">
        <w:rPr>
          <w:rFonts w:ascii="Verdana" w:hAnsi="Verdana"/>
          <w:sz w:val="16"/>
          <w:szCs w:val="16"/>
        </w:rPr>
        <w:t xml:space="preserve"> </w:t>
      </w:r>
    </w:p>
  </w:footnote>
  <w:footnote w:id="12">
    <w:p w14:paraId="03EF93A9" w14:textId="1CECD9E1" w:rsidR="00F83BCE" w:rsidRPr="00954F93" w:rsidRDefault="00F83BCE">
      <w:pPr>
        <w:pStyle w:val="Textonotapie"/>
        <w:rPr>
          <w:rFonts w:ascii="Verdana" w:hAnsi="Verdana"/>
          <w:sz w:val="16"/>
          <w:szCs w:val="16"/>
        </w:rPr>
      </w:pPr>
      <w:r w:rsidRPr="00954F93">
        <w:rPr>
          <w:rStyle w:val="Refdenotaalpie"/>
          <w:rFonts w:ascii="Verdana" w:hAnsi="Verdana"/>
          <w:sz w:val="16"/>
          <w:szCs w:val="16"/>
        </w:rPr>
        <w:footnoteRef/>
      </w:r>
      <w:r w:rsidRPr="00954F93">
        <w:rPr>
          <w:rFonts w:ascii="Verdana" w:hAnsi="Verdana"/>
          <w:sz w:val="16"/>
          <w:szCs w:val="16"/>
        </w:rPr>
        <w:t xml:space="preserve"> Clasificación central de productos.</w:t>
      </w:r>
    </w:p>
  </w:footnote>
  <w:footnote w:id="13">
    <w:p w14:paraId="1D8EE346" w14:textId="0CBD7AB1" w:rsidR="005E53C7" w:rsidRPr="00954F93" w:rsidRDefault="005E53C7">
      <w:pPr>
        <w:pStyle w:val="Textonotapie"/>
        <w:rPr>
          <w:rFonts w:ascii="Verdana" w:hAnsi="Verdana"/>
          <w:sz w:val="16"/>
          <w:szCs w:val="16"/>
          <w:lang w:val="es-MX"/>
        </w:rPr>
      </w:pPr>
      <w:r w:rsidRPr="00954F93">
        <w:rPr>
          <w:rStyle w:val="Refdenotaalpie"/>
          <w:rFonts w:ascii="Verdana" w:hAnsi="Verdana"/>
          <w:sz w:val="16"/>
          <w:szCs w:val="16"/>
        </w:rPr>
        <w:footnoteRef/>
      </w:r>
      <w:r w:rsidRPr="00954F93">
        <w:rPr>
          <w:rFonts w:ascii="Verdana" w:hAnsi="Verdana"/>
          <w:sz w:val="16"/>
          <w:szCs w:val="16"/>
        </w:rPr>
        <w:t xml:space="preserve"> </w:t>
      </w:r>
      <w:r w:rsidRPr="00954F93">
        <w:rPr>
          <w:rFonts w:ascii="Verdana" w:hAnsi="Verdana"/>
          <w:sz w:val="16"/>
          <w:szCs w:val="16"/>
          <w:lang w:val="es-MX"/>
        </w:rPr>
        <w:t>Ídem.</w:t>
      </w:r>
    </w:p>
  </w:footnote>
  <w:footnote w:id="14">
    <w:p w14:paraId="393DB203" w14:textId="0BD9858A" w:rsidR="004E6AA4" w:rsidRPr="00954F93" w:rsidRDefault="004E6AA4" w:rsidP="00AB4464">
      <w:pPr>
        <w:pStyle w:val="Textonotapie"/>
        <w:rPr>
          <w:rFonts w:ascii="Verdana" w:hAnsi="Verdana"/>
          <w:sz w:val="16"/>
          <w:szCs w:val="16"/>
          <w:lang w:val="es-MX"/>
        </w:rPr>
      </w:pPr>
      <w:r w:rsidRPr="00954F93">
        <w:rPr>
          <w:rStyle w:val="Refdenotaalpie"/>
          <w:rFonts w:ascii="Verdana" w:hAnsi="Verdana"/>
          <w:sz w:val="16"/>
          <w:szCs w:val="16"/>
        </w:rPr>
        <w:footnoteRef/>
      </w:r>
      <w:r w:rsidRPr="00954F93">
        <w:rPr>
          <w:rFonts w:ascii="Verdana" w:hAnsi="Verdana"/>
          <w:sz w:val="16"/>
          <w:szCs w:val="16"/>
        </w:rPr>
        <w:t xml:space="preserve"> Boletín técnico. Indicador de Producción de Obras Civiles (IPOC) I trimestre de 202</w:t>
      </w:r>
      <w:r w:rsidR="00F27CE3" w:rsidRPr="000B69C8">
        <w:rPr>
          <w:rFonts w:ascii="Verdana" w:hAnsi="Verdana"/>
          <w:sz w:val="16"/>
          <w:szCs w:val="16"/>
        </w:rPr>
        <w:t>6</w:t>
      </w:r>
      <w:r w:rsidRPr="00954F93">
        <w:rPr>
          <w:rFonts w:ascii="Verdana" w:hAnsi="Verdana"/>
          <w:sz w:val="16"/>
          <w:szCs w:val="16"/>
        </w:rPr>
        <w:t>. Bogotá, 1</w:t>
      </w:r>
      <w:r w:rsidR="00F27CE3" w:rsidRPr="000B69C8">
        <w:rPr>
          <w:rFonts w:ascii="Verdana" w:hAnsi="Verdana"/>
          <w:sz w:val="16"/>
          <w:szCs w:val="16"/>
        </w:rPr>
        <w:t>4</w:t>
      </w:r>
      <w:r w:rsidRPr="00954F93">
        <w:rPr>
          <w:rFonts w:ascii="Verdana" w:hAnsi="Verdana"/>
          <w:sz w:val="16"/>
          <w:szCs w:val="16"/>
        </w:rPr>
        <w:t xml:space="preserve"> de </w:t>
      </w:r>
      <w:r w:rsidR="00F27CE3" w:rsidRPr="000B69C8">
        <w:rPr>
          <w:rFonts w:ascii="Verdana" w:hAnsi="Verdana"/>
          <w:sz w:val="16"/>
          <w:szCs w:val="16"/>
        </w:rPr>
        <w:t>mayo</w:t>
      </w:r>
      <w:r w:rsidRPr="00954F93">
        <w:rPr>
          <w:rFonts w:ascii="Verdana" w:hAnsi="Verdana"/>
          <w:sz w:val="16"/>
          <w:szCs w:val="16"/>
        </w:rPr>
        <w:t xml:space="preserve"> de 202</w:t>
      </w:r>
      <w:r w:rsidR="00D11B9F" w:rsidRPr="000B69C8">
        <w:rPr>
          <w:rFonts w:ascii="Verdana" w:hAnsi="Verdana"/>
          <w:sz w:val="16"/>
          <w:szCs w:val="16"/>
        </w:rPr>
        <w:t>6</w:t>
      </w:r>
      <w:r w:rsidRPr="00954F93">
        <w:rPr>
          <w:rFonts w:ascii="Verdana" w:hAnsi="Verdana"/>
          <w:sz w:val="16"/>
          <w:szCs w:val="16"/>
        </w:rPr>
        <w:t xml:space="preserve">. Disponible en: </w:t>
      </w:r>
      <w:hyperlink r:id="rId7" w:history="1">
        <w:r w:rsidR="00F27CE3" w:rsidRPr="000B69C8">
          <w:rPr>
            <w:rStyle w:val="Hipervnculo"/>
            <w:rFonts w:ascii="Verdana" w:hAnsi="Verdana"/>
            <w:sz w:val="16"/>
            <w:szCs w:val="16"/>
          </w:rPr>
          <w:t>https://www.dane.gov.co/index.php/estadisticas-por-tema/construccion/indicador-de-produccion-de-obras-civiles-ipo</w:t>
        </w:r>
      </w:hyperlink>
      <w:r w:rsidR="00F27CE3" w:rsidRPr="000B69C8">
        <w:rPr>
          <w:rFonts w:ascii="Verdana" w:hAnsi="Verdana"/>
          <w:sz w:val="16"/>
          <w:szCs w:val="16"/>
        </w:rPr>
        <w:t xml:space="preserve"> </w:t>
      </w:r>
    </w:p>
  </w:footnote>
  <w:footnote w:id="15">
    <w:p w14:paraId="4CB3FDD1" w14:textId="5FD53577" w:rsidR="007D0195" w:rsidRPr="00954F93" w:rsidRDefault="007D0195">
      <w:pPr>
        <w:pStyle w:val="Textonotapie"/>
        <w:rPr>
          <w:rFonts w:ascii="Verdana" w:hAnsi="Verdana"/>
          <w:sz w:val="16"/>
          <w:szCs w:val="16"/>
          <w:lang w:val="es-MX"/>
        </w:rPr>
      </w:pPr>
      <w:r w:rsidRPr="00954F93">
        <w:rPr>
          <w:rStyle w:val="Refdenotaalpie"/>
          <w:rFonts w:ascii="Verdana" w:hAnsi="Verdana"/>
          <w:sz w:val="16"/>
          <w:szCs w:val="16"/>
        </w:rPr>
        <w:footnoteRef/>
      </w:r>
      <w:r w:rsidRPr="00954F93">
        <w:rPr>
          <w:rFonts w:ascii="Verdana" w:hAnsi="Verdana"/>
          <w:sz w:val="16"/>
          <w:szCs w:val="16"/>
        </w:rPr>
        <w:t xml:space="preserve"> </w:t>
      </w:r>
      <w:r w:rsidR="00F505F5" w:rsidRPr="00954F93">
        <w:rPr>
          <w:rFonts w:ascii="Verdana" w:hAnsi="Verdana"/>
          <w:sz w:val="16"/>
          <w:szCs w:val="16"/>
          <w:lang w:val="es-MX"/>
        </w:rPr>
        <w:t>Ídem.</w:t>
      </w:r>
    </w:p>
  </w:footnote>
  <w:footnote w:id="16">
    <w:p w14:paraId="4B4EE16B" w14:textId="77777777" w:rsidR="00262593" w:rsidRPr="00954F93" w:rsidRDefault="00262593" w:rsidP="00262593">
      <w:pPr>
        <w:pStyle w:val="Textonotapie"/>
        <w:rPr>
          <w:rFonts w:ascii="Verdana" w:eastAsia="Arial" w:hAnsi="Verdana" w:cs="Arial"/>
          <w:sz w:val="16"/>
          <w:szCs w:val="16"/>
          <w:lang w:val="es-MX"/>
        </w:rPr>
      </w:pPr>
      <w:r w:rsidRPr="00954F93">
        <w:rPr>
          <w:rFonts w:ascii="Verdana" w:eastAsia="Arial" w:hAnsi="Verdana" w:cs="Arial"/>
          <w:sz w:val="16"/>
          <w:szCs w:val="16"/>
        </w:rPr>
        <w:footnoteRef/>
      </w:r>
      <w:r w:rsidRPr="00954F93">
        <w:rPr>
          <w:rFonts w:ascii="Verdana" w:eastAsia="Arial" w:hAnsi="Verdana" w:cs="Arial"/>
          <w:sz w:val="16"/>
          <w:szCs w:val="16"/>
          <w:lang w:val="es-MX"/>
        </w:rPr>
        <w:t xml:space="preserve"> </w:t>
      </w:r>
      <w:hyperlink r:id="rId8" w:history="1">
        <w:r w:rsidRPr="00954F93">
          <w:rPr>
            <w:rStyle w:val="Hipervnculo"/>
            <w:rFonts w:ascii="Verdana" w:eastAsia="Arial" w:hAnsi="Verdana" w:cs="Arial"/>
            <w:sz w:val="16"/>
            <w:szCs w:val="16"/>
            <w:lang w:val="es-MX"/>
          </w:rPr>
          <w:t>https://www.banrep.gov.co/es/se-mide-inflacion</w:t>
        </w:r>
      </w:hyperlink>
    </w:p>
    <w:p w14:paraId="2C2AAAA7" w14:textId="77777777" w:rsidR="00262593" w:rsidRPr="00954F93" w:rsidRDefault="00262593" w:rsidP="00262593">
      <w:pPr>
        <w:pStyle w:val="Textonotapie"/>
        <w:rPr>
          <w:rFonts w:ascii="Verdana" w:eastAsia="Arial" w:hAnsi="Verdana" w:cs="Arial"/>
          <w:sz w:val="16"/>
          <w:szCs w:val="16"/>
        </w:rPr>
      </w:pPr>
      <w:r w:rsidRPr="00954F93">
        <w:rPr>
          <w:rFonts w:ascii="Verdana" w:eastAsia="Arial" w:hAnsi="Verdana" w:cs="Arial"/>
          <w:sz w:val="16"/>
          <w:szCs w:val="16"/>
        </w:rPr>
        <w:t>colombia</w:t>
      </w:r>
      <w:proofErr w:type="gramStart"/>
      <w:r w:rsidRPr="00954F93">
        <w:rPr>
          <w:rFonts w:ascii="Verdana" w:eastAsia="Arial" w:hAnsi="Verdana" w:cs="Arial"/>
          <w:sz w:val="16"/>
          <w:szCs w:val="16"/>
        </w:rPr>
        <w:t>#:~</w:t>
      </w:r>
      <w:proofErr w:type="gramEnd"/>
      <w:r w:rsidRPr="00954F93">
        <w:rPr>
          <w:rFonts w:ascii="Verdana" w:eastAsia="Arial" w:hAnsi="Verdana" w:cs="Arial"/>
          <w:sz w:val="16"/>
          <w:szCs w:val="16"/>
        </w:rPr>
        <w:t>:text=La%20inflaci%C3%B3n%20es%20un%20</w:t>
      </w:r>
      <w:proofErr w:type="gramStart"/>
      <w:r w:rsidRPr="00954F93">
        <w:rPr>
          <w:rFonts w:ascii="Verdana" w:eastAsia="Arial" w:hAnsi="Verdana" w:cs="Arial"/>
          <w:sz w:val="16"/>
          <w:szCs w:val="16"/>
        </w:rPr>
        <w:t>aumento,una</w:t>
      </w:r>
      <w:proofErr w:type="gramEnd"/>
      <w:r w:rsidRPr="00954F93">
        <w:rPr>
          <w:rFonts w:ascii="Verdana" w:eastAsia="Arial" w:hAnsi="Verdana" w:cs="Arial"/>
          <w:sz w:val="16"/>
          <w:szCs w:val="16"/>
        </w:rPr>
        <w:t xml:space="preserve">%20econom%C3%ADa%20en%20el%20tiempo </w:t>
      </w:r>
    </w:p>
  </w:footnote>
  <w:footnote w:id="17">
    <w:p w14:paraId="7BE187E7" w14:textId="77777777" w:rsidR="00262593" w:rsidRPr="00954F93" w:rsidRDefault="00262593" w:rsidP="00262593">
      <w:pPr>
        <w:pStyle w:val="Textonotapie"/>
        <w:rPr>
          <w:rFonts w:ascii="Verdana" w:hAnsi="Verdana" w:cs="Arial"/>
          <w:sz w:val="16"/>
          <w:szCs w:val="16"/>
        </w:rPr>
      </w:pPr>
      <w:r w:rsidRPr="00954F93">
        <w:rPr>
          <w:rStyle w:val="Refdenotaalpie"/>
          <w:rFonts w:ascii="Verdana" w:hAnsi="Verdana" w:cs="Arial"/>
          <w:sz w:val="16"/>
          <w:szCs w:val="16"/>
        </w:rPr>
        <w:footnoteRef/>
      </w:r>
      <w:r w:rsidRPr="00954F93">
        <w:rPr>
          <w:rFonts w:ascii="Verdana" w:hAnsi="Verdana" w:cs="Arial"/>
          <w:sz w:val="16"/>
          <w:szCs w:val="16"/>
        </w:rPr>
        <w:t xml:space="preserve"> Boletín Índice de Precios al Consumidor (IPC) </w:t>
      </w:r>
      <w:proofErr w:type="gramStart"/>
      <w:r w:rsidRPr="00954F93">
        <w:rPr>
          <w:rFonts w:ascii="Verdana" w:hAnsi="Verdana" w:cs="Arial"/>
          <w:sz w:val="16"/>
          <w:szCs w:val="16"/>
        </w:rPr>
        <w:t>Diciembre</w:t>
      </w:r>
      <w:proofErr w:type="gramEnd"/>
      <w:r w:rsidRPr="00954F93">
        <w:rPr>
          <w:rFonts w:ascii="Verdana" w:hAnsi="Verdana" w:cs="Arial"/>
          <w:sz w:val="16"/>
          <w:szCs w:val="16"/>
        </w:rPr>
        <w:t xml:space="preserve"> 2025. DANE </w:t>
      </w:r>
      <w:proofErr w:type="gramStart"/>
      <w:r w:rsidRPr="00954F93">
        <w:rPr>
          <w:rFonts w:ascii="Verdana" w:hAnsi="Verdana" w:cs="Arial"/>
          <w:sz w:val="16"/>
          <w:szCs w:val="16"/>
        </w:rPr>
        <w:t>Enero</w:t>
      </w:r>
      <w:proofErr w:type="gramEnd"/>
      <w:r w:rsidRPr="00954F93">
        <w:rPr>
          <w:rFonts w:ascii="Verdana" w:hAnsi="Verdana" w:cs="Arial"/>
          <w:sz w:val="16"/>
          <w:szCs w:val="16"/>
        </w:rPr>
        <w:t xml:space="preserve"> de 2026. </w:t>
      </w:r>
      <w:hyperlink r:id="rId9" w:history="1">
        <w:r w:rsidRPr="00954F93">
          <w:rPr>
            <w:rStyle w:val="Hipervnculo"/>
            <w:rFonts w:ascii="Verdana" w:hAnsi="Verdana" w:cs="Arial"/>
            <w:sz w:val="16"/>
            <w:szCs w:val="16"/>
          </w:rPr>
          <w:t>https://www.dane.gov.co/files/operaciones/IPC/dic2025/bol-IPC-dic2025.pdf</w:t>
        </w:r>
      </w:hyperlink>
      <w:r w:rsidRPr="00954F93">
        <w:rPr>
          <w:rFonts w:ascii="Verdana" w:hAnsi="Verdana" w:cs="Arial"/>
          <w:sz w:val="16"/>
          <w:szCs w:val="16"/>
        </w:rPr>
        <w:t xml:space="preserve"> </w:t>
      </w:r>
    </w:p>
  </w:footnote>
  <w:footnote w:id="18">
    <w:p w14:paraId="555C7201" w14:textId="1E3434B1" w:rsidR="0092061A" w:rsidRPr="000B69C8" w:rsidRDefault="0092061A">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w:t>
      </w:r>
      <w:r w:rsidRPr="00954F93">
        <w:rPr>
          <w:rFonts w:ascii="Verdana" w:hAnsi="Verdana" w:cs="Arial"/>
          <w:sz w:val="16"/>
          <w:szCs w:val="16"/>
        </w:rPr>
        <w:t xml:space="preserve">Boletín Índice de Precios al Consumidor (IPC) </w:t>
      </w:r>
      <w:proofErr w:type="gramStart"/>
      <w:r w:rsidR="002A3ED6" w:rsidRPr="000B69C8">
        <w:rPr>
          <w:rFonts w:ascii="Verdana" w:hAnsi="Verdana" w:cs="Arial"/>
          <w:sz w:val="16"/>
          <w:szCs w:val="16"/>
        </w:rPr>
        <w:t>Abril</w:t>
      </w:r>
      <w:proofErr w:type="gramEnd"/>
      <w:r w:rsidRPr="00954F93">
        <w:rPr>
          <w:rFonts w:ascii="Verdana" w:hAnsi="Verdana" w:cs="Arial"/>
          <w:sz w:val="16"/>
          <w:szCs w:val="16"/>
        </w:rPr>
        <w:t xml:space="preserve"> 202</w:t>
      </w:r>
      <w:r w:rsidRPr="000B69C8">
        <w:rPr>
          <w:rFonts w:ascii="Verdana" w:hAnsi="Verdana" w:cs="Arial"/>
          <w:sz w:val="16"/>
          <w:szCs w:val="16"/>
        </w:rPr>
        <w:t>6</w:t>
      </w:r>
      <w:r w:rsidRPr="00954F93">
        <w:rPr>
          <w:rFonts w:ascii="Verdana" w:hAnsi="Verdana" w:cs="Arial"/>
          <w:sz w:val="16"/>
          <w:szCs w:val="16"/>
        </w:rPr>
        <w:t xml:space="preserve">. DANE </w:t>
      </w:r>
      <w:proofErr w:type="gramStart"/>
      <w:r w:rsidR="0098286A" w:rsidRPr="000B69C8">
        <w:rPr>
          <w:rFonts w:ascii="Verdana" w:hAnsi="Verdana" w:cs="Arial"/>
          <w:sz w:val="16"/>
          <w:szCs w:val="16"/>
        </w:rPr>
        <w:t>Ma</w:t>
      </w:r>
      <w:r w:rsidR="002A3ED6" w:rsidRPr="000B69C8">
        <w:rPr>
          <w:rFonts w:ascii="Verdana" w:hAnsi="Verdana" w:cs="Arial"/>
          <w:sz w:val="16"/>
          <w:szCs w:val="16"/>
        </w:rPr>
        <w:t>y</w:t>
      </w:r>
      <w:r w:rsidR="0098286A" w:rsidRPr="000B69C8">
        <w:rPr>
          <w:rFonts w:ascii="Verdana" w:hAnsi="Verdana" w:cs="Arial"/>
          <w:sz w:val="16"/>
          <w:szCs w:val="16"/>
        </w:rPr>
        <w:t>o</w:t>
      </w:r>
      <w:proofErr w:type="gramEnd"/>
      <w:r w:rsidRPr="00954F93">
        <w:rPr>
          <w:rFonts w:ascii="Verdana" w:hAnsi="Verdana" w:cs="Arial"/>
          <w:sz w:val="16"/>
          <w:szCs w:val="16"/>
        </w:rPr>
        <w:t xml:space="preserve"> de 2026. </w:t>
      </w:r>
      <w:r w:rsidR="00AE2BBE" w:rsidRPr="000B69C8">
        <w:rPr>
          <w:rFonts w:ascii="Verdana" w:hAnsi="Verdana" w:cs="Arial"/>
          <w:sz w:val="16"/>
          <w:szCs w:val="16"/>
        </w:rPr>
        <w:t xml:space="preserve">Disponible en: </w:t>
      </w:r>
      <w:hyperlink r:id="rId10" w:history="1">
        <w:r w:rsidR="00AE2BBE" w:rsidRPr="000B69C8">
          <w:rPr>
            <w:rStyle w:val="Hipervnculo"/>
            <w:rFonts w:ascii="Verdana" w:hAnsi="Verdana" w:cs="Arial"/>
            <w:sz w:val="16"/>
            <w:szCs w:val="16"/>
          </w:rPr>
          <w:t>https://www.dane.gov.co/files/operaciones/IPC/abr2026/bol-IPC-abr2026.pdf</w:t>
        </w:r>
      </w:hyperlink>
      <w:r w:rsidR="00AE2BBE" w:rsidRPr="000B69C8">
        <w:rPr>
          <w:rFonts w:ascii="Verdana" w:hAnsi="Verdana" w:cs="Arial"/>
          <w:sz w:val="16"/>
          <w:szCs w:val="16"/>
        </w:rPr>
        <w:t xml:space="preserve"> </w:t>
      </w:r>
    </w:p>
  </w:footnote>
  <w:footnote w:id="19">
    <w:p w14:paraId="0A680ABB" w14:textId="77777777" w:rsidR="00262593" w:rsidRPr="00954F93" w:rsidRDefault="00262593" w:rsidP="00262593">
      <w:pPr>
        <w:pStyle w:val="Textonotapie"/>
        <w:rPr>
          <w:rFonts w:ascii="Verdana" w:eastAsia="Times New Roman" w:hAnsi="Verdana" w:cs="Arial"/>
          <w:sz w:val="16"/>
          <w:szCs w:val="16"/>
        </w:rPr>
      </w:pPr>
      <w:r w:rsidRPr="00954F93">
        <w:rPr>
          <w:rFonts w:ascii="Verdana" w:eastAsia="Times New Roman" w:hAnsi="Verdana" w:cs="Arial"/>
          <w:sz w:val="16"/>
          <w:szCs w:val="16"/>
        </w:rPr>
        <w:footnoteRef/>
      </w:r>
      <w:r w:rsidRPr="00954F93">
        <w:rPr>
          <w:rFonts w:ascii="Verdana" w:eastAsia="Times New Roman" w:hAnsi="Verdana" w:cs="Arial"/>
          <w:sz w:val="16"/>
          <w:szCs w:val="16"/>
        </w:rPr>
        <w:t xml:space="preserve"> Herrera Paula. El salario </w:t>
      </w:r>
      <w:proofErr w:type="gramStart"/>
      <w:r w:rsidRPr="00954F93">
        <w:rPr>
          <w:rFonts w:ascii="Verdana" w:eastAsia="Times New Roman" w:hAnsi="Verdana" w:cs="Arial"/>
          <w:sz w:val="16"/>
          <w:szCs w:val="16"/>
        </w:rPr>
        <w:t>mínimo :</w:t>
      </w:r>
      <w:proofErr w:type="gramEnd"/>
      <w:r w:rsidRPr="00954F93">
        <w:rPr>
          <w:rFonts w:ascii="Verdana" w:eastAsia="Times New Roman" w:hAnsi="Verdana" w:cs="Arial"/>
          <w:sz w:val="16"/>
          <w:szCs w:val="16"/>
        </w:rPr>
        <w:t xml:space="preserve"> aspectos generales sobre los casos de Colombia y otros países. </w:t>
      </w:r>
    </w:p>
    <w:p w14:paraId="547067D9" w14:textId="77777777" w:rsidR="00262593" w:rsidRPr="00954F93" w:rsidRDefault="00262593" w:rsidP="00262593">
      <w:pPr>
        <w:pStyle w:val="Textonotapie"/>
        <w:rPr>
          <w:rFonts w:ascii="Verdana" w:eastAsia="Times New Roman" w:hAnsi="Verdana" w:cs="Arial"/>
          <w:sz w:val="16"/>
          <w:szCs w:val="16"/>
        </w:rPr>
      </w:pPr>
      <w:r w:rsidRPr="00954F93">
        <w:rPr>
          <w:rFonts w:ascii="Verdana" w:eastAsia="Times New Roman" w:hAnsi="Verdana" w:cs="Arial"/>
          <w:sz w:val="16"/>
          <w:szCs w:val="16"/>
        </w:rPr>
        <w:t>https://www.academia.edu/76046047/El_salario_m%C3%ADnimo_aspectos_generales_sobre_los_casos_de_Colombia_y_</w:t>
      </w:r>
    </w:p>
    <w:p w14:paraId="774CC758" w14:textId="658A9958" w:rsidR="00262593" w:rsidRPr="00954F93" w:rsidRDefault="00262593" w:rsidP="00262593">
      <w:pPr>
        <w:pStyle w:val="Textonotapie"/>
        <w:rPr>
          <w:rFonts w:ascii="Verdana" w:eastAsia="Times New Roman" w:hAnsi="Verdana" w:cs="Arial"/>
          <w:sz w:val="16"/>
          <w:szCs w:val="16"/>
        </w:rPr>
      </w:pPr>
      <w:r w:rsidRPr="00954F93">
        <w:rPr>
          <w:rFonts w:ascii="Verdana" w:eastAsia="Times New Roman" w:hAnsi="Verdana" w:cs="Arial"/>
          <w:sz w:val="16"/>
          <w:szCs w:val="16"/>
        </w:rPr>
        <w:t>otros_pa%C3%ADses</w:t>
      </w:r>
      <w:r w:rsidR="001B1FE6" w:rsidRPr="000B69C8">
        <w:rPr>
          <w:rFonts w:ascii="Verdana" w:eastAsia="Times New Roman" w:hAnsi="Verdana" w:cs="Arial"/>
          <w:sz w:val="16"/>
          <w:szCs w:val="16"/>
        </w:rPr>
        <w:t xml:space="preserve"> </w:t>
      </w:r>
    </w:p>
  </w:footnote>
  <w:footnote w:id="20">
    <w:p w14:paraId="5C63F5ED" w14:textId="4C055A03" w:rsidR="00725BE9" w:rsidRPr="000B69C8" w:rsidRDefault="00725BE9">
      <w:pPr>
        <w:pStyle w:val="Textonotapie"/>
        <w:rPr>
          <w:rFonts w:ascii="Verdana" w:hAnsi="Verdana"/>
          <w:sz w:val="16"/>
          <w:szCs w:val="16"/>
          <w:lang w:val="es-MX"/>
        </w:rPr>
      </w:pPr>
      <w:r w:rsidRPr="000B69C8">
        <w:rPr>
          <w:rStyle w:val="Refdenotaalpie"/>
          <w:rFonts w:ascii="Verdana" w:hAnsi="Verdana"/>
          <w:sz w:val="16"/>
          <w:szCs w:val="16"/>
        </w:rPr>
        <w:footnoteRef/>
      </w:r>
      <w:r w:rsidRPr="000B69C8">
        <w:rPr>
          <w:rFonts w:ascii="Verdana" w:hAnsi="Verdana"/>
          <w:sz w:val="16"/>
          <w:szCs w:val="16"/>
        </w:rPr>
        <w:t xml:space="preserve"> Boletín técnico. Índice de Costos de la Construcción de Obras Civiles (ICOCIV). Bogotá D.C. 30 de abril de 2026. Disponible en: </w:t>
      </w:r>
      <w:hyperlink r:id="rId11" w:history="1">
        <w:r w:rsidRPr="000B69C8">
          <w:rPr>
            <w:rStyle w:val="Hipervnculo"/>
            <w:rFonts w:ascii="Verdana" w:hAnsi="Verdana"/>
            <w:sz w:val="16"/>
            <w:szCs w:val="16"/>
          </w:rPr>
          <w:t>https://www.dane.gov.co/files/operaciones/ICOCIV/bol-ICOCIV-mar2026.pdf</w:t>
        </w:r>
      </w:hyperlink>
      <w:r w:rsidRPr="000B69C8">
        <w:rPr>
          <w:rFonts w:ascii="Verdana" w:hAnsi="Verdana"/>
          <w:sz w:val="16"/>
          <w:szCs w:val="16"/>
        </w:rPr>
        <w:t xml:space="preserve"> </w:t>
      </w:r>
      <w:r w:rsidRPr="000B69C8" w:rsidDel="003F5792">
        <w:rPr>
          <w:rFonts w:ascii="Verdana" w:hAnsi="Verdana"/>
          <w:sz w:val="16"/>
          <w:szCs w:val="16"/>
        </w:rPr>
        <w:t xml:space="preserve"> </w:t>
      </w:r>
    </w:p>
  </w:footnote>
  <w:footnote w:id="21">
    <w:p w14:paraId="2AABDF59" w14:textId="1AAD8EE3" w:rsidR="000C33A5" w:rsidRPr="000B69C8" w:rsidRDefault="000C33A5">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w:t>
      </w:r>
      <w:r w:rsidR="00431E25" w:rsidRPr="000B69C8">
        <w:rPr>
          <w:rFonts w:ascii="Verdana" w:hAnsi="Verdana"/>
          <w:sz w:val="16"/>
          <w:szCs w:val="16"/>
        </w:rPr>
        <w:t>Ídem</w:t>
      </w:r>
      <w:r w:rsidR="001820B6" w:rsidRPr="000B69C8">
        <w:rPr>
          <w:rFonts w:ascii="Verdana" w:hAnsi="Verdana"/>
          <w:sz w:val="16"/>
          <w:szCs w:val="16"/>
        </w:rPr>
        <w:t>.</w:t>
      </w:r>
    </w:p>
  </w:footnote>
  <w:footnote w:id="22">
    <w:p w14:paraId="5788812A" w14:textId="07CACD3D" w:rsidR="00262593" w:rsidRPr="00954F93" w:rsidRDefault="00262593" w:rsidP="00262593">
      <w:pPr>
        <w:pStyle w:val="Textonotapie"/>
        <w:rPr>
          <w:rFonts w:ascii="Verdana" w:hAnsi="Verdana" w:cs="Arial"/>
          <w:sz w:val="16"/>
          <w:szCs w:val="16"/>
        </w:rPr>
      </w:pPr>
      <w:r w:rsidRPr="00954F93">
        <w:rPr>
          <w:rFonts w:ascii="Verdana" w:eastAsia="Times New Roman" w:hAnsi="Verdana" w:cs="Arial"/>
          <w:sz w:val="16"/>
          <w:szCs w:val="16"/>
        </w:rPr>
        <w:footnoteRef/>
      </w:r>
      <w:r w:rsidRPr="00954F93">
        <w:rPr>
          <w:rFonts w:ascii="Verdana" w:eastAsia="Times New Roman" w:hAnsi="Verdana" w:cs="Arial"/>
          <w:sz w:val="16"/>
          <w:szCs w:val="16"/>
        </w:rPr>
        <w:t xml:space="preserve"> </w:t>
      </w:r>
      <w:r w:rsidRPr="00954F93">
        <w:rPr>
          <w:rFonts w:ascii="Verdana" w:hAnsi="Verdana" w:cs="Arial"/>
          <w:sz w:val="16"/>
          <w:szCs w:val="16"/>
        </w:rPr>
        <w:t xml:space="preserve">Tasa de cambio o tasa de cambio representativa del mercado (TRM). (n.d.). Gov.co. </w:t>
      </w:r>
      <w:r w:rsidR="00FE300E" w:rsidRPr="000B69C8">
        <w:rPr>
          <w:rFonts w:ascii="Verdana" w:hAnsi="Verdana" w:cs="Arial"/>
          <w:sz w:val="16"/>
          <w:szCs w:val="16"/>
        </w:rPr>
        <w:t xml:space="preserve">Recuperado </w:t>
      </w:r>
      <w:proofErr w:type="gramStart"/>
      <w:r w:rsidR="00FE300E" w:rsidRPr="000B69C8">
        <w:rPr>
          <w:rFonts w:ascii="Verdana" w:hAnsi="Verdana" w:cs="Arial"/>
          <w:sz w:val="16"/>
          <w:szCs w:val="16"/>
        </w:rPr>
        <w:t>Enero</w:t>
      </w:r>
      <w:proofErr w:type="gramEnd"/>
      <w:r w:rsidRPr="00954F93">
        <w:rPr>
          <w:rFonts w:ascii="Verdana" w:hAnsi="Verdana" w:cs="Arial"/>
          <w:sz w:val="16"/>
          <w:szCs w:val="16"/>
        </w:rPr>
        <w:t xml:space="preserve"> 28, 2026, </w:t>
      </w:r>
      <w:r w:rsidR="00FE300E" w:rsidRPr="000B69C8">
        <w:rPr>
          <w:rFonts w:ascii="Verdana" w:hAnsi="Verdana" w:cs="Arial"/>
          <w:sz w:val="16"/>
          <w:szCs w:val="16"/>
        </w:rPr>
        <w:t xml:space="preserve">Disponible en: </w:t>
      </w:r>
      <w:hyperlink r:id="rId12" w:history="1">
        <w:r w:rsidR="00FE300E" w:rsidRPr="00954F93">
          <w:rPr>
            <w:rStyle w:val="Hipervnculo"/>
            <w:rFonts w:ascii="Verdana" w:hAnsi="Verdana"/>
          </w:rPr>
          <w:t>https://www.banrep.gov.co/es/glosario/tasa-cambio-trm</w:t>
        </w:r>
      </w:hyperlink>
      <w:r w:rsidR="00FE300E" w:rsidRPr="000B69C8">
        <w:rPr>
          <w:rFonts w:ascii="Verdana" w:hAnsi="Verdana" w:cs="Arial"/>
          <w:sz w:val="16"/>
          <w:szCs w:val="16"/>
        </w:rPr>
        <w:t xml:space="preserve"> </w:t>
      </w:r>
    </w:p>
    <w:p w14:paraId="2AD00E63" w14:textId="77777777" w:rsidR="00262593" w:rsidRPr="00954F93" w:rsidRDefault="00262593" w:rsidP="00262593">
      <w:pPr>
        <w:pStyle w:val="Textonotapie"/>
        <w:rPr>
          <w:rFonts w:ascii="Verdana" w:eastAsia="Times New Roman" w:hAnsi="Verdana" w:cs="Arial"/>
          <w:sz w:val="16"/>
          <w:szCs w:val="16"/>
        </w:rPr>
      </w:pPr>
    </w:p>
  </w:footnote>
  <w:footnote w:id="23">
    <w:p w14:paraId="49DA6E7F" w14:textId="37728F87" w:rsidR="00C6286C" w:rsidRPr="000B69C8" w:rsidRDefault="00C6286C">
      <w:pPr>
        <w:pStyle w:val="Textonotapie"/>
        <w:rPr>
          <w:rFonts w:ascii="Verdana" w:hAnsi="Verdana"/>
          <w:sz w:val="16"/>
          <w:szCs w:val="16"/>
          <w:lang w:val="es-MX"/>
        </w:rPr>
      </w:pPr>
      <w:r w:rsidRPr="000B69C8">
        <w:rPr>
          <w:rStyle w:val="Refdenotaalpie"/>
          <w:rFonts w:ascii="Verdana" w:hAnsi="Verdana"/>
          <w:sz w:val="16"/>
          <w:szCs w:val="16"/>
        </w:rPr>
        <w:footnoteRef/>
      </w:r>
      <w:r w:rsidRPr="000B69C8">
        <w:rPr>
          <w:rFonts w:ascii="Verdana" w:hAnsi="Verdana"/>
          <w:sz w:val="16"/>
          <w:szCs w:val="16"/>
        </w:rPr>
        <w:t xml:space="preserve"> Boletín técnico. Índice de Costos de la Construcción de Obras Civiles (ICOCIV). Bogotá D.C. 30 de abril de 2026. Disponible en: </w:t>
      </w:r>
      <w:hyperlink r:id="rId13" w:history="1">
        <w:r w:rsidRPr="000B69C8">
          <w:rPr>
            <w:rStyle w:val="Hipervnculo"/>
            <w:rFonts w:ascii="Verdana" w:hAnsi="Verdana"/>
            <w:sz w:val="16"/>
            <w:szCs w:val="16"/>
          </w:rPr>
          <w:t>https://www.dane.gov.co/files/operaciones/ICOCIV/bol-ICOCIV-mar2026.pdf</w:t>
        </w:r>
      </w:hyperlink>
      <w:r w:rsidRPr="000B69C8">
        <w:rPr>
          <w:rFonts w:ascii="Verdana" w:hAnsi="Verdana"/>
          <w:sz w:val="16"/>
          <w:szCs w:val="16"/>
        </w:rPr>
        <w:t xml:space="preserve"> </w:t>
      </w:r>
      <w:r w:rsidRPr="000B69C8" w:rsidDel="003F5792">
        <w:rPr>
          <w:rFonts w:ascii="Verdana" w:hAnsi="Verdana"/>
          <w:sz w:val="16"/>
          <w:szCs w:val="16"/>
        </w:rPr>
        <w:t xml:space="preserve"> </w:t>
      </w:r>
    </w:p>
  </w:footnote>
  <w:footnote w:id="24">
    <w:p w14:paraId="11899D8F" w14:textId="4EC21F85" w:rsidR="004E6AA4" w:rsidRPr="000B69C8" w:rsidRDefault="004E6AA4" w:rsidP="00AB4464">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Disponible en: </w:t>
      </w:r>
      <w:hyperlink r:id="rId14" w:history="1">
        <w:r w:rsidRPr="000B69C8">
          <w:rPr>
            <w:rStyle w:val="Hipervnculo"/>
            <w:rFonts w:ascii="Verdana" w:hAnsi="Verdana"/>
            <w:sz w:val="16"/>
            <w:szCs w:val="16"/>
          </w:rPr>
          <w:t>https://geoportal.dane.gov.co/geovisores/economia/directorio-estadistico-de-empresas/</w:t>
        </w:r>
      </w:hyperlink>
      <w:r w:rsidRPr="000B69C8">
        <w:rPr>
          <w:rFonts w:ascii="Verdana" w:hAnsi="Verdana"/>
          <w:sz w:val="16"/>
          <w:szCs w:val="16"/>
        </w:rPr>
        <w:t xml:space="preserve"> </w:t>
      </w:r>
    </w:p>
  </w:footnote>
  <w:footnote w:id="25">
    <w:p w14:paraId="1BEDABB0" w14:textId="1276DAF4" w:rsidR="00C13F91" w:rsidRPr="00954F93" w:rsidRDefault="00C13F91" w:rsidP="00AB4464">
      <w:pPr>
        <w:pStyle w:val="Textonotapie"/>
        <w:rPr>
          <w:rFonts w:ascii="Verdana" w:hAnsi="Verdana"/>
          <w:sz w:val="16"/>
          <w:szCs w:val="16"/>
        </w:rPr>
      </w:pPr>
      <w:r w:rsidRPr="00954F93">
        <w:rPr>
          <w:rStyle w:val="Refdenotaalpie"/>
          <w:rFonts w:ascii="Verdana" w:hAnsi="Verdana"/>
          <w:sz w:val="16"/>
          <w:szCs w:val="16"/>
        </w:rPr>
        <w:footnoteRef/>
      </w:r>
      <w:r w:rsidRPr="00954F93">
        <w:rPr>
          <w:rFonts w:ascii="Verdana" w:hAnsi="Verdana"/>
          <w:sz w:val="16"/>
          <w:szCs w:val="16"/>
        </w:rPr>
        <w:t xml:space="preserve"> </w:t>
      </w:r>
      <w:hyperlink r:id="rId15" w:history="1">
        <w:r w:rsidR="007F1F52" w:rsidRPr="00954F93">
          <w:rPr>
            <w:rStyle w:val="Hipervnculo"/>
            <w:rFonts w:ascii="Verdana" w:hAnsi="Verdana"/>
            <w:sz w:val="16"/>
            <w:szCs w:val="16"/>
          </w:rPr>
          <w:t>https://www.colombiacompra.gov.co/archivos/manual/manual-para-la-identificacion-y-cobertura-del-riesgo</w:t>
        </w:r>
      </w:hyperlink>
    </w:p>
    <w:p w14:paraId="600D13B5" w14:textId="77777777" w:rsidR="007F1F52" w:rsidRPr="00954F93" w:rsidRDefault="007F1F52" w:rsidP="00AB4464">
      <w:pPr>
        <w:pStyle w:val="Textonotapie"/>
        <w:rPr>
          <w:rFonts w:ascii="Verdana" w:hAnsi="Verdana"/>
          <w:sz w:val="16"/>
          <w:szCs w:val="16"/>
        </w:rPr>
      </w:pPr>
    </w:p>
  </w:footnote>
  <w:footnote w:id="26">
    <w:p w14:paraId="67D7FA74" w14:textId="77777777" w:rsidR="00D32D28" w:rsidRPr="000B69C8" w:rsidRDefault="00D32D28" w:rsidP="00D32D28">
      <w:pPr>
        <w:pStyle w:val="Textonotapie"/>
        <w:ind w:firstLine="708"/>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Por el cual se modifican los artículos 2.2.1.2.4.2.6.,2.2.1.2.4.2.7. Y 2.2.1.2.4.2.8. del Decreto 1082 de 2015, Único Reglamentario del Sector Administrativo de Planeación.</w:t>
      </w:r>
    </w:p>
    <w:p w14:paraId="63B01F83" w14:textId="77777777" w:rsidR="00D32D28" w:rsidRPr="000B69C8" w:rsidRDefault="00D32D28" w:rsidP="00D32D28">
      <w:pPr>
        <w:pStyle w:val="Textonotapie"/>
        <w:ind w:firstLine="708"/>
        <w:rPr>
          <w:rFonts w:ascii="Verdana" w:hAnsi="Verdana"/>
          <w:sz w:val="16"/>
          <w:szCs w:val="16"/>
          <w:lang w:val="es-ES_tradnl"/>
        </w:rPr>
      </w:pPr>
    </w:p>
  </w:footnote>
  <w:footnote w:id="27">
    <w:p w14:paraId="76B5C997" w14:textId="77777777" w:rsidR="00D32D28" w:rsidRPr="000B69C8" w:rsidRDefault="00D32D28" w:rsidP="00D32D28">
      <w:pPr>
        <w:pStyle w:val="Textonotapie"/>
        <w:ind w:firstLine="708"/>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Consejo de Estado, Sección Quinta, del 12 de diciembre de 2024 (Rad. 05001-23-33-000-2024-00847-01, M.P. Omar Joaquín Barreto Suárez).</w:t>
      </w:r>
    </w:p>
    <w:p w14:paraId="3703A05D" w14:textId="77777777" w:rsidR="00D32D28" w:rsidRPr="000B69C8" w:rsidRDefault="00D32D28" w:rsidP="00D32D28">
      <w:pPr>
        <w:pStyle w:val="Textonotapie"/>
        <w:ind w:firstLine="708"/>
        <w:rPr>
          <w:rFonts w:ascii="Verdana" w:hAnsi="Verdana"/>
          <w:sz w:val="16"/>
          <w:szCs w:val="16"/>
          <w:lang w:val="es-ES_tradnl"/>
        </w:rPr>
      </w:pPr>
    </w:p>
  </w:footnote>
  <w:footnote w:id="28">
    <w:p w14:paraId="212BE907" w14:textId="77777777" w:rsidR="00D32D28" w:rsidRPr="000B69C8" w:rsidRDefault="00D32D28" w:rsidP="00D32D28">
      <w:pPr>
        <w:pStyle w:val="Textonotapie"/>
        <w:ind w:firstLine="708"/>
        <w:rPr>
          <w:rFonts w:ascii="Verdana" w:hAnsi="Verdana"/>
          <w:sz w:val="16"/>
          <w:szCs w:val="16"/>
          <w:lang w:val="es-ES_tradnl"/>
        </w:rPr>
      </w:pPr>
      <w:r w:rsidRPr="000B69C8">
        <w:rPr>
          <w:rStyle w:val="Refdenotaalpie"/>
          <w:rFonts w:ascii="Verdana" w:hAnsi="Verdana"/>
          <w:sz w:val="16"/>
          <w:szCs w:val="16"/>
        </w:rPr>
        <w:footnoteRef/>
      </w:r>
      <w:r w:rsidRPr="000B69C8">
        <w:rPr>
          <w:rFonts w:ascii="Verdana" w:hAnsi="Verdana"/>
          <w:sz w:val="16"/>
          <w:szCs w:val="16"/>
        </w:rPr>
        <w:t xml:space="preserve"> "Por el cual se reglamentan los numerales 1 y 8 del artículo 13 de la Ley 1618 de 2013, sobre incentivos en Procesos de Contratación en favor de personas con discapacidad”. </w:t>
      </w:r>
    </w:p>
  </w:footnote>
  <w:footnote w:id="29">
    <w:p w14:paraId="48F6CC60" w14:textId="77777777" w:rsidR="00D32D28" w:rsidRPr="000B69C8" w:rsidRDefault="00D32D28" w:rsidP="00D32D28">
      <w:pPr>
        <w:pStyle w:val="Textonotapie"/>
        <w:ind w:firstLine="708"/>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Artículo 2.2.1.2.4.2.7.3. del Decreto 1082 de 2015, modificado por el artículo 1 del Decreto 287 de 2026: “Incorporación de criterios habilitantes diferenciales en favor de los emprendimientos y empresas de personas con discapacidad. En los procesos de licitación pública, selección abreviada y concurso de méritos, así como en los procesos competitivos adelantados por entidades no sometidas al Estatuto General de Contratación de la Administración Pública, deberán establecer requisitos habilitantes diferenciales o ajustados en materia de experiencia, capacidad financiera u organizacional, o el valor de la garantía de seriedad de la oferta, con el fin de promover la participación de emprendimientos y empresas de personas con discapacidad con domicilio en el territorio nacional. </w:t>
      </w:r>
    </w:p>
    <w:p w14:paraId="3F0B4A1A" w14:textId="77777777" w:rsidR="00D32D28" w:rsidRPr="000B69C8" w:rsidRDefault="00D32D28" w:rsidP="00D32D28">
      <w:pPr>
        <w:pStyle w:val="Textonotapie"/>
        <w:ind w:firstLine="708"/>
        <w:rPr>
          <w:rFonts w:ascii="Verdana" w:hAnsi="Verdana"/>
          <w:sz w:val="16"/>
          <w:szCs w:val="16"/>
        </w:rPr>
      </w:pPr>
      <w:r w:rsidRPr="000B69C8">
        <w:rPr>
          <w:rFonts w:ascii="Verdana" w:hAnsi="Verdana"/>
          <w:sz w:val="16"/>
          <w:szCs w:val="16"/>
        </w:rPr>
        <w:t>Estos requisitos deberán estructurarse garantizando el cumplimiento adecuado del objeto contractual, teniendo en cuenta el alcance de las obligaciones y el principio de proporcionalidad. En desarrollo de lo anterior, se deberán establecer condiciones habilitantes diferenciadas o ajustadas que, sin comprometer los fines del contrato, faciliten el acceso de los emprendimientos y empresas de personas con discapacidad.</w:t>
      </w:r>
    </w:p>
    <w:p w14:paraId="2F26AF5F" w14:textId="77777777" w:rsidR="00D32D28" w:rsidRPr="000B69C8" w:rsidRDefault="00D32D28" w:rsidP="00D32D28">
      <w:pPr>
        <w:pStyle w:val="Textonotapie"/>
        <w:ind w:firstLine="708"/>
        <w:rPr>
          <w:rFonts w:ascii="Verdana" w:hAnsi="Verdana"/>
          <w:sz w:val="16"/>
          <w:szCs w:val="16"/>
          <w:lang w:val="es-ES_tradnl"/>
        </w:rPr>
      </w:pPr>
      <w:r w:rsidRPr="000B69C8">
        <w:rPr>
          <w:rFonts w:ascii="Verdana" w:hAnsi="Verdana"/>
          <w:sz w:val="16"/>
          <w:szCs w:val="16"/>
        </w:rPr>
        <w:t xml:space="preserve">(…)”. </w:t>
      </w:r>
    </w:p>
  </w:footnote>
  <w:footnote w:id="30">
    <w:p w14:paraId="4EF0234E" w14:textId="77777777"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Disponible en internet en </w:t>
      </w:r>
      <w:hyperlink r:id="rId16" w:history="1">
        <w:r w:rsidRPr="000B69C8">
          <w:rPr>
            <w:rStyle w:val="Hipervnculo"/>
            <w:rFonts w:ascii="Verdana" w:hAnsi="Verdana" w:cs="Arial"/>
            <w:sz w:val="16"/>
            <w:szCs w:val="16"/>
          </w:rPr>
          <w:t>http://www.rues.org.co/RUES_Web/Consultas</w:t>
        </w:r>
      </w:hyperlink>
      <w:r w:rsidRPr="000B69C8">
        <w:rPr>
          <w:rFonts w:ascii="Verdana" w:hAnsi="Verdana" w:cs="Arial"/>
          <w:sz w:val="16"/>
          <w:szCs w:val="16"/>
        </w:rPr>
        <w:t xml:space="preserve"> </w:t>
      </w:r>
    </w:p>
  </w:footnote>
  <w:footnote w:id="31">
    <w:p w14:paraId="6D875195" w14:textId="77777777" w:rsidR="007A0AE0" w:rsidRPr="000B69C8" w:rsidRDefault="007A0AE0"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es-ES"/>
        </w:rPr>
        <w:t xml:space="preserve">Decreto 1860 de 2021. “Por el cual se modifica y adiciona el Decreto 1082 de 2015, Único Reglamentario del Sector Administrativo de Planeación Nacional, con el fin reglamentar los artículos 30, 31, 32, 34 y 35 de la Ley 2069 de 2020, en lo relativo al sistema de compras públicas y se dictan otras disposiciones”, artículos 2.2.1.2.4.2.15 y 2.2.1.2.4.2.18, disponible en: </w:t>
      </w:r>
      <w:hyperlink r:id="rId17" w:history="1">
        <w:r w:rsidRPr="000B69C8">
          <w:rPr>
            <w:rStyle w:val="Hipervnculo"/>
            <w:rFonts w:ascii="Verdana" w:hAnsi="Verdana" w:cs="Arial"/>
            <w:sz w:val="16"/>
            <w:szCs w:val="16"/>
            <w:lang w:val="es-ES"/>
          </w:rPr>
          <w:t>https://www.funcionpublica.gov.co/eva/gestornormativo/norma.php?i=175187</w:t>
        </w:r>
      </w:hyperlink>
      <w:r w:rsidRPr="000B69C8">
        <w:rPr>
          <w:rFonts w:ascii="Verdana" w:hAnsi="Verdana" w:cs="Arial"/>
          <w:sz w:val="16"/>
          <w:szCs w:val="16"/>
          <w:lang w:val="es-ES"/>
        </w:rPr>
        <w:t>, fecha de consulta: septiembre 10 de 2022.</w:t>
      </w:r>
    </w:p>
  </w:footnote>
  <w:footnote w:id="32">
    <w:p w14:paraId="7B51B0B2" w14:textId="77777777"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Decreto 957 de 2019 del Ministerio de Comercio, Industria y Turismo. Disponible en: </w:t>
      </w:r>
      <w:hyperlink r:id="rId18" w:history="1">
        <w:r w:rsidRPr="000B69C8">
          <w:rPr>
            <w:rStyle w:val="Hipervnculo"/>
            <w:rFonts w:ascii="Verdana" w:hAnsi="Verdana" w:cs="Arial"/>
            <w:sz w:val="16"/>
            <w:szCs w:val="16"/>
          </w:rPr>
          <w:t>https://dapre.presidencia.gov.co/normativa/normativa/DECRETO%20957%20DEL%2005%20DE%20JUNIO%20DE%202019.pdf</w:t>
        </w:r>
      </w:hyperlink>
      <w:r w:rsidRPr="000B69C8">
        <w:rPr>
          <w:rFonts w:ascii="Verdana" w:hAnsi="Verdana" w:cs="Arial"/>
          <w:sz w:val="16"/>
          <w:szCs w:val="16"/>
        </w:rPr>
        <w:t xml:space="preserve"> </w:t>
      </w:r>
    </w:p>
  </w:footnote>
  <w:footnote w:id="33">
    <w:p w14:paraId="07F48857" w14:textId="77777777" w:rsidR="007A0AE0" w:rsidRPr="000B69C8" w:rsidRDefault="007A0AE0"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es-ES"/>
        </w:rPr>
        <w:t xml:space="preserve">Disponible en: </w:t>
      </w:r>
      <w:hyperlink r:id="rId19" w:history="1">
        <w:r w:rsidRPr="000B69C8">
          <w:rPr>
            <w:rStyle w:val="Hipervnculo"/>
            <w:rFonts w:ascii="Verdana" w:hAnsi="Verdana" w:cs="Arial"/>
            <w:sz w:val="16"/>
            <w:szCs w:val="16"/>
            <w:lang w:val="es-ES"/>
          </w:rPr>
          <w:t>https://www.colombiacompra.gov.co/sites/cce_public/files/cce_documents/cce-eicp-ma-04._manual_requisitos_habilitantes_v3_29-09-2023.pdf</w:t>
        </w:r>
      </w:hyperlink>
      <w:r w:rsidRPr="000B69C8">
        <w:rPr>
          <w:rFonts w:ascii="Verdana" w:hAnsi="Verdana" w:cs="Arial"/>
          <w:sz w:val="16"/>
          <w:szCs w:val="16"/>
          <w:lang w:val="es-ES"/>
        </w:rPr>
        <w:t xml:space="preserve"> </w:t>
      </w:r>
    </w:p>
  </w:footnote>
  <w:footnote w:id="34">
    <w:p w14:paraId="4B1F25D5" w14:textId="77777777" w:rsidR="007A0AE0" w:rsidRPr="000B69C8" w:rsidRDefault="007A0AE0" w:rsidP="00AB4464">
      <w:pPr>
        <w:pStyle w:val="Textonotapie"/>
        <w:rPr>
          <w:rFonts w:ascii="Verdana" w:hAnsi="Verdana" w:cs="Arial"/>
          <w:i/>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Ortiz Anaya, Héctor. </w:t>
      </w:r>
      <w:r w:rsidRPr="000B69C8">
        <w:rPr>
          <w:rFonts w:ascii="Verdana" w:hAnsi="Verdana" w:cs="Arial"/>
          <w:i/>
          <w:sz w:val="16"/>
          <w:szCs w:val="16"/>
        </w:rPr>
        <w:t>Análisis Financiero Aplicado, 2000, pág. 147</w:t>
      </w:r>
    </w:p>
  </w:footnote>
  <w:footnote w:id="35">
    <w:p w14:paraId="04FB2703" w14:textId="65E62374" w:rsidR="007A0AE0" w:rsidRPr="000B69C8" w:rsidRDefault="007A0AE0"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Manual para determinar y verificar los requisitos habilitantes en los procesos de contratación. Colombia Compra Eficiente. Fecha de consulta: mayo 20 de 202</w:t>
      </w:r>
      <w:r w:rsidR="000353F7" w:rsidRPr="000B69C8">
        <w:rPr>
          <w:rFonts w:ascii="Verdana" w:hAnsi="Verdana" w:cs="Arial"/>
          <w:sz w:val="16"/>
          <w:szCs w:val="16"/>
        </w:rPr>
        <w:t>6</w:t>
      </w:r>
      <w:r w:rsidRPr="000B69C8">
        <w:rPr>
          <w:rFonts w:ascii="Verdana" w:hAnsi="Verdana" w:cs="Arial"/>
          <w:sz w:val="16"/>
          <w:szCs w:val="16"/>
        </w:rPr>
        <w:t>. Disponible en:</w:t>
      </w:r>
      <w:r w:rsidRPr="000B69C8">
        <w:rPr>
          <w:rFonts w:ascii="Verdana" w:hAnsi="Verdana" w:cs="Arial"/>
          <w:sz w:val="16"/>
          <w:szCs w:val="16"/>
          <w:lang w:val="es-ES"/>
        </w:rPr>
        <w:t xml:space="preserve"> </w:t>
      </w:r>
      <w:hyperlink r:id="rId20" w:history="1">
        <w:r w:rsidRPr="000B69C8">
          <w:rPr>
            <w:rStyle w:val="Hipervnculo"/>
            <w:rFonts w:ascii="Verdana" w:hAnsi="Verdana" w:cs="Arial"/>
            <w:sz w:val="16"/>
            <w:szCs w:val="16"/>
          </w:rPr>
          <w:t>https://www.colombiacompra.gov.co/sites/cce_public/files/cce_documents/cce_manual_requisitos_habilitantes.pdf</w:t>
        </w:r>
      </w:hyperlink>
      <w:r w:rsidRPr="000B69C8">
        <w:rPr>
          <w:rFonts w:ascii="Verdana" w:hAnsi="Verdana" w:cs="Arial"/>
          <w:sz w:val="16"/>
          <w:szCs w:val="16"/>
          <w:lang w:val="es-ES"/>
        </w:rPr>
        <w:t xml:space="preserve"> </w:t>
      </w:r>
    </w:p>
  </w:footnote>
  <w:footnote w:id="36">
    <w:p w14:paraId="32144E45" w14:textId="77777777" w:rsidR="007A0AE0" w:rsidRPr="000B69C8" w:rsidRDefault="007A0AE0" w:rsidP="00AB4464">
      <w:pPr>
        <w:pStyle w:val="Textonotapie"/>
        <w:rPr>
          <w:rFonts w:ascii="Verdana" w:hAnsi="Verdana" w:cs="Arial"/>
          <w:sz w:val="16"/>
          <w:szCs w:val="16"/>
          <w:lang w:val="fr-FR"/>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fr-FR"/>
        </w:rPr>
        <w:t xml:space="preserve">Disponible en internet en </w:t>
      </w:r>
      <w:hyperlink r:id="rId21" w:history="1">
        <w:r w:rsidRPr="000B69C8">
          <w:rPr>
            <w:rStyle w:val="Hipervnculo"/>
            <w:rFonts w:ascii="Verdana" w:hAnsi="Verdana" w:cs="Arial"/>
            <w:sz w:val="16"/>
            <w:szCs w:val="16"/>
          </w:rPr>
          <w:t>http://www.slideshare.net/Solfin/tablas-frmulas-y-conceptos-financieros</w:t>
        </w:r>
      </w:hyperlink>
    </w:p>
  </w:footnote>
  <w:footnote w:id="37">
    <w:p w14:paraId="500B7F0A" w14:textId="77777777" w:rsidR="007A0AE0" w:rsidRPr="000B69C8" w:rsidRDefault="007A0AE0" w:rsidP="00AB4464">
      <w:pPr>
        <w:pStyle w:val="Textonotapie"/>
        <w:rPr>
          <w:rFonts w:ascii="Verdana" w:hAnsi="Verdana" w:cs="Arial"/>
          <w:sz w:val="16"/>
          <w:szCs w:val="16"/>
          <w:lang w:val="fr-FR"/>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fr-FR"/>
        </w:rPr>
        <w:t xml:space="preserve">Disponible en internet en </w:t>
      </w:r>
      <w:hyperlink r:id="rId22" w:history="1">
        <w:r w:rsidRPr="000B69C8">
          <w:rPr>
            <w:rStyle w:val="Hipervnculo"/>
            <w:rFonts w:ascii="Verdana" w:hAnsi="Verdana" w:cs="Arial"/>
            <w:sz w:val="16"/>
            <w:szCs w:val="16"/>
          </w:rPr>
          <w:t>http://descuadrando.com/Rentabilidad_econ%C3%B3mica</w:t>
        </w:r>
      </w:hyperlink>
    </w:p>
  </w:footnote>
  <w:footnote w:id="38">
    <w:p w14:paraId="64157188" w14:textId="77777777"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Se define como la diferencia entre el tercer cuartil (Q</w:t>
      </w:r>
      <w:r w:rsidRPr="000B69C8">
        <w:rPr>
          <w:rFonts w:ascii="Verdana" w:hAnsi="Verdana" w:cs="Arial"/>
          <w:sz w:val="16"/>
          <w:szCs w:val="16"/>
          <w:vertAlign w:val="subscript"/>
        </w:rPr>
        <w:t>3</w:t>
      </w:r>
      <w:r w:rsidRPr="000B69C8">
        <w:rPr>
          <w:rFonts w:ascii="Verdana" w:hAnsi="Verdana" w:cs="Arial"/>
          <w:sz w:val="16"/>
          <w:szCs w:val="16"/>
        </w:rPr>
        <w:t>) y el primer cuartil (Q</w:t>
      </w:r>
      <w:r w:rsidRPr="000B69C8">
        <w:rPr>
          <w:rFonts w:ascii="Verdana" w:hAnsi="Verdana" w:cs="Arial"/>
          <w:sz w:val="16"/>
          <w:szCs w:val="16"/>
          <w:vertAlign w:val="subscript"/>
        </w:rPr>
        <w:t>1</w:t>
      </w:r>
      <w:r w:rsidRPr="000B69C8">
        <w:rPr>
          <w:rFonts w:ascii="Verdana" w:hAnsi="Verdana" w:cs="Arial"/>
          <w:sz w:val="16"/>
          <w:szCs w:val="16"/>
        </w:rPr>
        <w:t>) de una muestra de datos.</w:t>
      </w:r>
    </w:p>
  </w:footnote>
  <w:footnote w:id="39">
    <w:p w14:paraId="25B15283" w14:textId="10480ED8"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Agencia Nacional de Contratación Pública – Colombia Compra Eficiente (CCE), Guía de Elaboración de Estudios de Sector, GEES – versión </w:t>
      </w:r>
      <w:r w:rsidR="00425017" w:rsidRPr="000B69C8">
        <w:rPr>
          <w:rFonts w:ascii="Verdana" w:hAnsi="Verdana" w:cs="Arial"/>
          <w:sz w:val="16"/>
          <w:szCs w:val="16"/>
        </w:rPr>
        <w:t>3</w:t>
      </w:r>
      <w:r w:rsidRPr="000B69C8">
        <w:rPr>
          <w:rFonts w:ascii="Verdana" w:hAnsi="Verdana" w:cs="Arial"/>
          <w:sz w:val="16"/>
          <w:szCs w:val="16"/>
        </w:rPr>
        <w:t xml:space="preserve"> de </w:t>
      </w:r>
      <w:r w:rsidR="00D054E5" w:rsidRPr="000B69C8">
        <w:rPr>
          <w:rFonts w:ascii="Verdana" w:hAnsi="Verdana" w:cs="Arial"/>
          <w:sz w:val="16"/>
          <w:szCs w:val="16"/>
        </w:rPr>
        <w:t>septiembre</w:t>
      </w:r>
      <w:r w:rsidRPr="000B69C8">
        <w:rPr>
          <w:rFonts w:ascii="Verdana" w:hAnsi="Verdana" w:cs="Arial"/>
          <w:sz w:val="16"/>
          <w:szCs w:val="16"/>
        </w:rPr>
        <w:t xml:space="preserve"> de 202</w:t>
      </w:r>
      <w:r w:rsidR="00D054E5" w:rsidRPr="000B69C8">
        <w:rPr>
          <w:rFonts w:ascii="Verdana" w:hAnsi="Verdana" w:cs="Arial"/>
          <w:sz w:val="16"/>
          <w:szCs w:val="16"/>
        </w:rPr>
        <w:t>5</w:t>
      </w:r>
      <w:r w:rsidRPr="000B69C8">
        <w:rPr>
          <w:rFonts w:ascii="Verdana" w:hAnsi="Verdana" w:cs="Arial"/>
          <w:sz w:val="16"/>
          <w:szCs w:val="16"/>
        </w:rPr>
        <w:t>, disponible en internet en:</w:t>
      </w:r>
      <w:r w:rsidR="00D054E5" w:rsidRPr="000B69C8">
        <w:rPr>
          <w:rFonts w:ascii="Verdana" w:hAnsi="Verdana" w:cs="Arial"/>
          <w:sz w:val="16"/>
          <w:szCs w:val="16"/>
        </w:rPr>
        <w:t xml:space="preserve"> </w:t>
      </w:r>
      <w:hyperlink r:id="rId23" w:history="1">
        <w:r w:rsidR="00EF286B" w:rsidRPr="000B69C8">
          <w:rPr>
            <w:rStyle w:val="Hipervnculo"/>
            <w:rFonts w:ascii="Verdana" w:hAnsi="Verdana" w:cs="Arial"/>
            <w:sz w:val="16"/>
            <w:szCs w:val="16"/>
          </w:rPr>
          <w:t>https://www.colombiacompra.gov.co/wp-content/uploads/2025/09/Guia-para-la-Elaboracion-de-Estudios-del-Sector-V3.pdf</w:t>
        </w:r>
      </w:hyperlink>
      <w:r w:rsidR="00EF286B" w:rsidRPr="000B69C8">
        <w:rPr>
          <w:rFonts w:ascii="Verdana" w:hAnsi="Verdana" w:cs="Arial"/>
          <w:sz w:val="16"/>
          <w:szCs w:val="16"/>
        </w:rPr>
        <w:t xml:space="preserve"> </w:t>
      </w:r>
      <w:r w:rsidRPr="000B69C8">
        <w:rPr>
          <w:rFonts w:ascii="Verdana" w:hAnsi="Verdana" w:cs="Arial"/>
          <w:sz w:val="16"/>
          <w:szCs w:val="16"/>
        </w:rPr>
        <w:t xml:space="preserve"> Fecha de consulta: </w:t>
      </w:r>
      <w:proofErr w:type="gramStart"/>
      <w:r w:rsidR="00D054E5" w:rsidRPr="000B69C8">
        <w:rPr>
          <w:rFonts w:ascii="Verdana" w:hAnsi="Verdana" w:cs="Arial"/>
          <w:sz w:val="16"/>
          <w:szCs w:val="16"/>
        </w:rPr>
        <w:t>Mayo</w:t>
      </w:r>
      <w:proofErr w:type="gramEnd"/>
      <w:r w:rsidRPr="000B69C8">
        <w:rPr>
          <w:rFonts w:ascii="Verdana" w:hAnsi="Verdana" w:cs="Arial"/>
          <w:sz w:val="16"/>
          <w:szCs w:val="16"/>
        </w:rPr>
        <w:t xml:space="preserve"> de 2025.</w:t>
      </w:r>
    </w:p>
  </w:footnote>
  <w:footnote w:id="40">
    <w:p w14:paraId="1EB738D8" w14:textId="77777777" w:rsidR="007A0AE0" w:rsidRPr="000B69C8" w:rsidRDefault="007A0AE0" w:rsidP="00AB4464">
      <w:pPr>
        <w:pStyle w:val="Textonotapie"/>
        <w:rPr>
          <w:rFonts w:ascii="Verdana" w:hAnsi="Verdana" w:cs="Arial"/>
          <w:sz w:val="16"/>
          <w:szCs w:val="16"/>
          <w:lang w:val="es-ES"/>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es-ES"/>
        </w:rPr>
        <w:t>Ídem</w:t>
      </w:r>
    </w:p>
  </w:footnote>
  <w:footnote w:id="41">
    <w:p w14:paraId="760C745B" w14:textId="77777777" w:rsidR="007A0AE0" w:rsidRPr="000B69C8" w:rsidRDefault="007A0AE0" w:rsidP="00AB4464">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Disponible en: </w:t>
      </w:r>
      <w:hyperlink r:id="rId24" w:history="1">
        <w:r w:rsidRPr="000B69C8">
          <w:rPr>
            <w:rStyle w:val="Hipervnculo"/>
            <w:rFonts w:ascii="Verdana" w:hAnsi="Verdana"/>
            <w:sz w:val="16"/>
            <w:szCs w:val="16"/>
          </w:rPr>
          <w:t>https://www.colombiacompra.gov.co/wp-content/uploads/2024/08/cce-eicp-ma-04._manual_requisitos_habilitantes_v3_29-09-2023.pdf</w:t>
        </w:r>
      </w:hyperlink>
      <w:r w:rsidRPr="000B69C8">
        <w:rPr>
          <w:rFonts w:ascii="Verdana" w:hAnsi="Verdana"/>
          <w:sz w:val="16"/>
          <w:szCs w:val="16"/>
        </w:rPr>
        <w:t xml:space="preserve"> </w:t>
      </w:r>
    </w:p>
  </w:footnote>
  <w:footnote w:id="42">
    <w:p w14:paraId="56D8C89C" w14:textId="77777777"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w:t>
      </w:r>
      <w:r w:rsidRPr="000B69C8">
        <w:rPr>
          <w:rFonts w:ascii="Verdana" w:hAnsi="Verdana" w:cs="Arial"/>
          <w:sz w:val="16"/>
          <w:szCs w:val="16"/>
          <w:lang w:val="es-MX"/>
        </w:rPr>
        <w:t>(Anticipos para sus proveedores de materiales (concreto asfalto saldo en negro), alquilar o comprar maquinaria, material granular, personal, etc.)</w:t>
      </w:r>
    </w:p>
  </w:footnote>
  <w:footnote w:id="43">
    <w:p w14:paraId="5594E4C2" w14:textId="77777777" w:rsidR="007A0AE0" w:rsidRPr="000B69C8" w:rsidRDefault="007A0AE0" w:rsidP="00AB4464">
      <w:pPr>
        <w:pStyle w:val="Textonotapie"/>
        <w:rPr>
          <w:rFonts w:ascii="Verdana" w:hAnsi="Verdana" w:cs="Arial"/>
          <w:sz w:val="16"/>
          <w:szCs w:val="16"/>
        </w:rPr>
      </w:pPr>
      <w:r w:rsidRPr="000B69C8">
        <w:rPr>
          <w:rStyle w:val="Refdenotaalpie"/>
          <w:rFonts w:ascii="Verdana" w:hAnsi="Verdana" w:cs="Arial"/>
          <w:sz w:val="16"/>
          <w:szCs w:val="16"/>
        </w:rPr>
        <w:footnoteRef/>
      </w:r>
      <w:r w:rsidRPr="000B69C8">
        <w:rPr>
          <w:rFonts w:ascii="Verdana" w:hAnsi="Verdana" w:cs="Arial"/>
          <w:sz w:val="16"/>
          <w:szCs w:val="16"/>
        </w:rPr>
        <w:t xml:space="preserve"> Manual para la Definición de Requisitos Habilitantes (versión 3). Agencia Nacional de Contratación Pública – Colombia Compra Eficiente. Disponible en: </w:t>
      </w:r>
      <w:hyperlink r:id="rId25" w:history="1">
        <w:r w:rsidRPr="000B69C8">
          <w:rPr>
            <w:rStyle w:val="Hipervnculo"/>
            <w:rFonts w:ascii="Verdana" w:hAnsi="Verdana" w:cs="Arial"/>
            <w:sz w:val="16"/>
            <w:szCs w:val="16"/>
          </w:rPr>
          <w:t>https://www.colombiacompra.gov.co/sites/cce_public/files/cce_documents/cce-eicp-ma-04._manual_requisitos_habilitantes_v3_29-09-2023.pdf</w:t>
        </w:r>
      </w:hyperlink>
      <w:r w:rsidRPr="000B69C8">
        <w:rPr>
          <w:rFonts w:ascii="Verdana" w:hAnsi="Verdana" w:cs="Arial"/>
          <w:sz w:val="16"/>
          <w:szCs w:val="16"/>
        </w:rPr>
        <w:t xml:space="preserve"> </w:t>
      </w:r>
    </w:p>
  </w:footnote>
  <w:footnote w:id="44">
    <w:p w14:paraId="689A5B06" w14:textId="46F5CEB4" w:rsidR="008074C7" w:rsidRPr="000B69C8" w:rsidRDefault="008074C7">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Se realiza esta diferenciación teniendo en cuenta que para este documento tipo se </w:t>
      </w:r>
      <w:r w:rsidR="001523CA" w:rsidRPr="000B69C8">
        <w:rPr>
          <w:rFonts w:ascii="Verdana" w:hAnsi="Verdana"/>
          <w:sz w:val="16"/>
          <w:szCs w:val="16"/>
        </w:rPr>
        <w:t xml:space="preserve">definirán criterios diferenciales para </w:t>
      </w:r>
      <w:r w:rsidR="007A4815" w:rsidRPr="000B69C8">
        <w:rPr>
          <w:rFonts w:ascii="Verdana" w:hAnsi="Verdana"/>
          <w:sz w:val="16"/>
          <w:szCs w:val="16"/>
        </w:rPr>
        <w:t>MiPymes</w:t>
      </w:r>
      <w:r w:rsidR="00EA7A4C" w:rsidRPr="000B69C8">
        <w:rPr>
          <w:rFonts w:ascii="Verdana" w:hAnsi="Verdana"/>
          <w:sz w:val="16"/>
          <w:szCs w:val="16"/>
        </w:rPr>
        <w:t xml:space="preserve"> en el componente financiero, tal y como se describirá en secciones posteriores.</w:t>
      </w:r>
    </w:p>
  </w:footnote>
  <w:footnote w:id="45">
    <w:p w14:paraId="2F9A2436" w14:textId="77777777" w:rsidR="00EE1644" w:rsidRPr="000B69C8" w:rsidRDefault="00EE1644" w:rsidP="00AB4464">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Organización Internacional del Trabajo - OIT. (2020). InfoStories. El poder de lo pequeño: Hay que activar el potencial de las pymes. Disponible en línea </w:t>
      </w:r>
      <w:hyperlink r:id="rId26" w:history="1">
        <w:r w:rsidRPr="000B69C8">
          <w:rPr>
            <w:rStyle w:val="Hipervnculo"/>
            <w:rFonts w:ascii="Verdana" w:hAnsi="Verdana" w:cs="Arial"/>
            <w:sz w:val="16"/>
            <w:szCs w:val="16"/>
          </w:rPr>
          <w:t>https://cutt.ly/IwF3aCDl</w:t>
        </w:r>
      </w:hyperlink>
      <w:r w:rsidRPr="000B69C8">
        <w:rPr>
          <w:rFonts w:ascii="Verdana" w:hAnsi="Verdana" w:cs="Arial"/>
          <w:sz w:val="16"/>
          <w:szCs w:val="16"/>
        </w:rPr>
        <w:t xml:space="preserve"> </w:t>
      </w:r>
    </w:p>
  </w:footnote>
  <w:footnote w:id="46">
    <w:p w14:paraId="476BECE1" w14:textId="77777777" w:rsidR="00EE1644" w:rsidRPr="000B69C8" w:rsidRDefault="00EE1644" w:rsidP="00AB4464">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Ibídem., p. 4. </w:t>
      </w:r>
    </w:p>
  </w:footnote>
  <w:footnote w:id="47">
    <w:p w14:paraId="126B5599" w14:textId="77777777" w:rsidR="00EE1644" w:rsidRPr="000B69C8" w:rsidRDefault="00EE1644" w:rsidP="00AB4464">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Ibídem., p. 4.</w:t>
      </w:r>
    </w:p>
  </w:footnote>
  <w:footnote w:id="48">
    <w:p w14:paraId="3ABF8A9A" w14:textId="77777777" w:rsidR="00EE1644" w:rsidRPr="000B69C8" w:rsidRDefault="00EE1644" w:rsidP="00AB4464">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Ibídem., p. 4</w:t>
      </w:r>
    </w:p>
  </w:footnote>
  <w:footnote w:id="49">
    <w:p w14:paraId="6134FC60" w14:textId="77777777" w:rsidR="00EE1644" w:rsidRPr="000B69C8" w:rsidRDefault="00EE1644" w:rsidP="00AB4464">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Gaceta del Congreso de la República 959 del 21 de septiembre de 2020 y Gaceta del Congreso de la República 963 del 22 de septiembre de 2020. Disponibles en los siguientes enlaces: </w:t>
      </w:r>
      <w:hyperlink r:id="rId27" w:history="1">
        <w:r w:rsidRPr="000B69C8">
          <w:rPr>
            <w:rFonts w:ascii="Verdana" w:hAnsi="Verdana" w:cs="Arial"/>
            <w:sz w:val="16"/>
            <w:szCs w:val="16"/>
          </w:rPr>
          <w:t>https://cutt.ly/NKioA96</w:t>
        </w:r>
      </w:hyperlink>
      <w:r w:rsidRPr="000B69C8">
        <w:rPr>
          <w:rFonts w:ascii="Verdana" w:hAnsi="Verdana" w:cs="Arial"/>
          <w:sz w:val="16"/>
          <w:szCs w:val="16"/>
        </w:rPr>
        <w:t xml:space="preserve"> y </w:t>
      </w:r>
      <w:hyperlink r:id="rId28" w:history="1">
        <w:r w:rsidRPr="000B69C8">
          <w:rPr>
            <w:rFonts w:ascii="Verdana" w:hAnsi="Verdana" w:cs="Arial"/>
            <w:sz w:val="16"/>
            <w:szCs w:val="16"/>
          </w:rPr>
          <w:t>https://cutt.ly/eKioXyN</w:t>
        </w:r>
      </w:hyperlink>
      <w:r w:rsidRPr="00954F93">
        <w:rPr>
          <w:rFonts w:ascii="Verdana" w:hAnsi="Verdana"/>
          <w:sz w:val="16"/>
          <w:szCs w:val="16"/>
        </w:rPr>
        <w:t xml:space="preserve"> </w:t>
      </w:r>
      <w:r w:rsidRPr="000B69C8">
        <w:rPr>
          <w:rFonts w:ascii="Verdana" w:hAnsi="Verdana" w:cs="Arial"/>
          <w:sz w:val="16"/>
          <w:szCs w:val="16"/>
        </w:rPr>
        <w:t xml:space="preserve">   </w:t>
      </w:r>
    </w:p>
  </w:footnote>
  <w:footnote w:id="50">
    <w:p w14:paraId="5B8E7F54" w14:textId="5441D860" w:rsidR="002E3168" w:rsidRPr="000B69C8" w:rsidRDefault="002E3168" w:rsidP="002E3168">
      <w:pPr>
        <w:pStyle w:val="Textonotapie"/>
        <w:rPr>
          <w:rFonts w:ascii="Verdana" w:hAnsi="Verdana" w:cs="Arial"/>
          <w:sz w:val="16"/>
          <w:szCs w:val="16"/>
        </w:rPr>
      </w:pPr>
      <w:r w:rsidRPr="000B69C8">
        <w:rPr>
          <w:rFonts w:ascii="Verdana" w:hAnsi="Verdana" w:cs="Arial"/>
          <w:sz w:val="16"/>
          <w:szCs w:val="16"/>
        </w:rPr>
        <w:footnoteRef/>
      </w:r>
      <w:r w:rsidRPr="000B69C8">
        <w:rPr>
          <w:rFonts w:ascii="Verdana" w:hAnsi="Verdana" w:cs="Arial"/>
          <w:sz w:val="16"/>
          <w:szCs w:val="16"/>
        </w:rPr>
        <w:t xml:space="preserve"> Centro de Estudios Económicos. (2021). Retos y oportunidades de las Pymes. Disponible en el siguiente </w:t>
      </w:r>
      <w:proofErr w:type="gramStart"/>
      <w:r w:rsidRPr="000B69C8">
        <w:rPr>
          <w:rFonts w:ascii="Verdana" w:hAnsi="Verdana" w:cs="Arial"/>
          <w:sz w:val="16"/>
          <w:szCs w:val="16"/>
        </w:rPr>
        <w:t>link</w:t>
      </w:r>
      <w:proofErr w:type="gramEnd"/>
      <w:r w:rsidRPr="000B69C8">
        <w:rPr>
          <w:rFonts w:ascii="Verdana" w:hAnsi="Verdana" w:cs="Arial"/>
          <w:sz w:val="16"/>
          <w:szCs w:val="16"/>
        </w:rPr>
        <w:t xml:space="preserve">: </w:t>
      </w:r>
      <w:hyperlink r:id="rId29" w:history="1">
        <w:r w:rsidR="00D343FD" w:rsidRPr="000B69C8">
          <w:rPr>
            <w:rStyle w:val="Hipervnculo"/>
            <w:rFonts w:ascii="Verdana" w:hAnsi="Verdana" w:cs="Arial"/>
            <w:sz w:val="16"/>
            <w:szCs w:val="16"/>
          </w:rPr>
          <w:t>https://cutt.ly/7wF7kPBl p. 1</w:t>
        </w:r>
      </w:hyperlink>
      <w:r w:rsidRPr="000B69C8">
        <w:rPr>
          <w:rFonts w:ascii="Verdana" w:hAnsi="Verdana" w:cs="Arial"/>
          <w:sz w:val="16"/>
          <w:szCs w:val="16"/>
        </w:rPr>
        <w:t>.</w:t>
      </w:r>
      <w:r w:rsidR="00D343FD" w:rsidRPr="000B69C8">
        <w:rPr>
          <w:rFonts w:ascii="Verdana" w:hAnsi="Verdana" w:cs="Arial"/>
          <w:sz w:val="16"/>
          <w:szCs w:val="16"/>
        </w:rPr>
        <w:t xml:space="preserve"> </w:t>
      </w:r>
      <w:r w:rsidRPr="000B69C8">
        <w:rPr>
          <w:rFonts w:ascii="Verdana" w:hAnsi="Verdana" w:cs="Arial"/>
          <w:sz w:val="16"/>
          <w:szCs w:val="16"/>
        </w:rPr>
        <w:t xml:space="preserve"> </w:t>
      </w:r>
    </w:p>
  </w:footnote>
  <w:footnote w:id="51">
    <w:p w14:paraId="04B7AF75" w14:textId="77777777" w:rsidR="002E3168" w:rsidRPr="000B69C8" w:rsidRDefault="002E3168" w:rsidP="002E3168">
      <w:pPr>
        <w:pStyle w:val="Textonotapie"/>
        <w:rPr>
          <w:rFonts w:ascii="Verdana" w:hAnsi="Verdana" w:cs="Arial"/>
          <w:sz w:val="16"/>
          <w:szCs w:val="16"/>
          <w:lang w:val="pt-PT"/>
        </w:rPr>
      </w:pPr>
      <w:r w:rsidRPr="000B69C8">
        <w:rPr>
          <w:rFonts w:ascii="Verdana" w:hAnsi="Verdana" w:cs="Arial"/>
          <w:sz w:val="16"/>
          <w:szCs w:val="16"/>
        </w:rPr>
        <w:footnoteRef/>
      </w:r>
      <w:r w:rsidRPr="000B69C8">
        <w:rPr>
          <w:rFonts w:ascii="Verdana" w:hAnsi="Verdana" w:cs="Arial"/>
          <w:sz w:val="16"/>
          <w:szCs w:val="16"/>
          <w:lang w:val="pt-PT"/>
        </w:rPr>
        <w:t xml:space="preserve"> </w:t>
      </w:r>
      <w:r w:rsidRPr="000B69C8">
        <w:rPr>
          <w:rFonts w:ascii="Verdana" w:hAnsi="Verdana" w:cs="Arial"/>
          <w:sz w:val="16"/>
          <w:szCs w:val="16"/>
          <w:lang w:val="pt-PT"/>
        </w:rPr>
        <w:t xml:space="preserve">Ibidem. p. 1.  </w:t>
      </w:r>
    </w:p>
  </w:footnote>
  <w:footnote w:id="52">
    <w:p w14:paraId="39785D7C" w14:textId="77777777" w:rsidR="00A920C6" w:rsidRPr="000B69C8" w:rsidRDefault="00A920C6" w:rsidP="00A920C6">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w:t>
      </w:r>
      <w:r w:rsidRPr="000B69C8">
        <w:rPr>
          <w:rFonts w:ascii="Verdana" w:hAnsi="Verdana" w:cs="Arial"/>
          <w:sz w:val="16"/>
          <w:szCs w:val="16"/>
        </w:rPr>
        <w:t xml:space="preserve">Dinámica de Creación de Empresas en Colombia – 2025 (I). Disponible en: </w:t>
      </w:r>
      <w:hyperlink r:id="rId30" w:history="1">
        <w:r w:rsidRPr="000B69C8">
          <w:rPr>
            <w:rStyle w:val="Hipervnculo"/>
            <w:rFonts w:ascii="Verdana" w:hAnsi="Verdana" w:cs="Arial"/>
            <w:sz w:val="16"/>
            <w:szCs w:val="16"/>
          </w:rPr>
          <w:t>https://confecamaras.org.co/wp-content/uploads/2025/08/dinamica-de-creacion-de-empresas-en-colombia-op2-web.pdf</w:t>
        </w:r>
      </w:hyperlink>
      <w:r w:rsidRPr="000B69C8">
        <w:rPr>
          <w:rFonts w:ascii="Verdana" w:hAnsi="Verdana" w:cs="Arial"/>
          <w:sz w:val="16"/>
          <w:szCs w:val="16"/>
        </w:rPr>
        <w:t>.  Fecha de consulta: mayo de 2026.</w:t>
      </w:r>
    </w:p>
  </w:footnote>
  <w:footnote w:id="53">
    <w:p w14:paraId="059FE254" w14:textId="3343E342" w:rsidR="00137B0E" w:rsidRPr="000B69C8" w:rsidRDefault="00137B0E">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w:t>
      </w:r>
      <w:r w:rsidR="00900E6E" w:rsidRPr="000B69C8">
        <w:rPr>
          <w:rFonts w:ascii="Verdana" w:hAnsi="Verdana"/>
          <w:sz w:val="16"/>
          <w:szCs w:val="16"/>
        </w:rPr>
        <w:t xml:space="preserve">Observatorio de Movilidad Empresarial. Confecámaras. Disponible en: </w:t>
      </w:r>
      <w:hyperlink r:id="rId31" w:history="1">
        <w:r w:rsidR="00900E6E" w:rsidRPr="000B69C8">
          <w:rPr>
            <w:rStyle w:val="Hipervnculo"/>
            <w:rFonts w:ascii="Verdana" w:hAnsi="Verdana"/>
            <w:sz w:val="16"/>
            <w:szCs w:val="16"/>
          </w:rPr>
          <w:t>https://confecamaras.org.co/observatorio-movilidad-empresarial/</w:t>
        </w:r>
      </w:hyperlink>
      <w:r w:rsidR="00900E6E" w:rsidRPr="000B69C8">
        <w:rPr>
          <w:rFonts w:ascii="Verdana" w:hAnsi="Verdana"/>
          <w:sz w:val="16"/>
          <w:szCs w:val="16"/>
        </w:rPr>
        <w:t xml:space="preserve"> </w:t>
      </w:r>
    </w:p>
  </w:footnote>
  <w:footnote w:id="54">
    <w:p w14:paraId="1FB0F3BA" w14:textId="77777777" w:rsidR="00B95D4B" w:rsidRPr="000B69C8" w:rsidRDefault="00B95D4B" w:rsidP="00B95D4B">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Panorama de las mujeres en el ámbito laboral y empresarial. Confecámaras. Disponible en: </w:t>
      </w:r>
      <w:hyperlink r:id="rId32" w:history="1">
        <w:r w:rsidRPr="000B69C8">
          <w:rPr>
            <w:rStyle w:val="Hipervnculo"/>
            <w:rFonts w:ascii="Verdana" w:hAnsi="Verdana"/>
            <w:sz w:val="16"/>
            <w:szCs w:val="16"/>
          </w:rPr>
          <w:t>https://confecamaras.org.co/wp-content/uploads/2024/03/panorama-mujeres-marzo-7-3.pdf</w:t>
        </w:r>
      </w:hyperlink>
      <w:r w:rsidRPr="000B69C8">
        <w:rPr>
          <w:rFonts w:ascii="Verdana" w:hAnsi="Verdana"/>
          <w:sz w:val="16"/>
          <w:szCs w:val="16"/>
        </w:rPr>
        <w:t xml:space="preserve"> </w:t>
      </w:r>
    </w:p>
  </w:footnote>
  <w:footnote w:id="55">
    <w:p w14:paraId="0D640187" w14:textId="0D89973A" w:rsidR="00176806" w:rsidRPr="000B69C8" w:rsidRDefault="00176806">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Ibid.</w:t>
      </w:r>
    </w:p>
  </w:footnote>
  <w:footnote w:id="56">
    <w:p w14:paraId="2C449C11" w14:textId="5A826533" w:rsidR="00845201" w:rsidRPr="000B69C8" w:rsidRDefault="00845201">
      <w:pPr>
        <w:pStyle w:val="Textonotapie"/>
        <w:rPr>
          <w:rFonts w:ascii="Verdana" w:hAnsi="Verdana"/>
          <w:sz w:val="16"/>
          <w:szCs w:val="16"/>
        </w:rPr>
      </w:pPr>
      <w:r w:rsidRPr="000B69C8">
        <w:rPr>
          <w:rStyle w:val="Refdenotaalpie"/>
          <w:rFonts w:ascii="Verdana" w:hAnsi="Verdana"/>
          <w:sz w:val="16"/>
          <w:szCs w:val="16"/>
        </w:rPr>
        <w:footnoteRef/>
      </w:r>
      <w:r w:rsidRPr="000B69C8">
        <w:rPr>
          <w:rFonts w:ascii="Verdana" w:hAnsi="Verdana"/>
          <w:sz w:val="16"/>
          <w:szCs w:val="16"/>
        </w:rPr>
        <w:t xml:space="preserve"> </w:t>
      </w:r>
      <w:r w:rsidR="000B69C8" w:rsidRPr="000B69C8">
        <w:rPr>
          <w:rFonts w:ascii="Verdana" w:hAnsi="Verdana"/>
          <w:sz w:val="16"/>
          <w:szCs w:val="16"/>
        </w:rPr>
        <w:t>Ibid.</w:t>
      </w:r>
    </w:p>
  </w:footnote>
  <w:footnote w:id="57">
    <w:p w14:paraId="410DEF18" w14:textId="1359160D" w:rsidR="00991D68" w:rsidRPr="00991D68" w:rsidRDefault="00991D68">
      <w:pPr>
        <w:pStyle w:val="Textonotapie"/>
        <w:rPr>
          <w:rFonts w:ascii="Verdana" w:hAnsi="Verdana"/>
          <w:sz w:val="16"/>
          <w:szCs w:val="16"/>
        </w:rPr>
      </w:pPr>
      <w:r w:rsidRPr="00991D68">
        <w:rPr>
          <w:rStyle w:val="Refdenotaalpie"/>
          <w:rFonts w:ascii="Verdana" w:hAnsi="Verdana"/>
          <w:sz w:val="16"/>
          <w:szCs w:val="16"/>
        </w:rPr>
        <w:footnoteRef/>
      </w:r>
      <w:r w:rsidRPr="00991D68">
        <w:rPr>
          <w:rFonts w:ascii="Verdana" w:hAnsi="Verdana"/>
          <w:sz w:val="16"/>
          <w:szCs w:val="16"/>
        </w:rPr>
        <w:t xml:space="preserve"> Ídem. </w:t>
      </w:r>
    </w:p>
  </w:footnote>
  <w:footnote w:id="58">
    <w:p w14:paraId="3734CF57" w14:textId="277E295A" w:rsidR="001B4CD5" w:rsidRPr="001B4CD5" w:rsidRDefault="001B4CD5">
      <w:pPr>
        <w:pStyle w:val="Textonotapie"/>
        <w:rPr>
          <w:rFonts w:ascii="Verdana" w:hAnsi="Verdana"/>
          <w:lang w:val="es-MX"/>
        </w:rPr>
      </w:pPr>
      <w:r w:rsidRPr="001B4CD5">
        <w:rPr>
          <w:rStyle w:val="Refdenotaalpie"/>
          <w:rFonts w:ascii="Verdana" w:hAnsi="Verdana"/>
          <w:sz w:val="16"/>
          <w:szCs w:val="16"/>
        </w:rPr>
        <w:footnoteRef/>
      </w:r>
      <w:r w:rsidRPr="001B4CD5">
        <w:rPr>
          <w:rFonts w:ascii="Verdana" w:hAnsi="Verdana"/>
          <w:sz w:val="16"/>
          <w:szCs w:val="16"/>
        </w:rPr>
        <w:t xml:space="preserve"> </w:t>
      </w:r>
      <w:r w:rsidRPr="001B4CD5">
        <w:rPr>
          <w:rFonts w:ascii="Verdana" w:hAnsi="Verdana"/>
          <w:sz w:val="16"/>
          <w:szCs w:val="16"/>
          <w:lang w:val="es-MX"/>
        </w:rPr>
        <w:t>Ídem.</w:t>
      </w:r>
    </w:p>
  </w:footnote>
  <w:footnote w:id="59">
    <w:p w14:paraId="21D4F083" w14:textId="77777777" w:rsidR="00116546" w:rsidRPr="00954F93" w:rsidRDefault="00116546" w:rsidP="00AB4464">
      <w:pPr>
        <w:pStyle w:val="Textonotapie"/>
        <w:rPr>
          <w:rFonts w:ascii="Verdana" w:hAnsi="Verdana"/>
          <w:sz w:val="16"/>
          <w:szCs w:val="16"/>
          <w:lang w:val="es-ES"/>
        </w:rPr>
      </w:pPr>
      <w:r w:rsidRPr="00954F93">
        <w:rPr>
          <w:rStyle w:val="Refdenotaalpie"/>
          <w:rFonts w:ascii="Verdana" w:hAnsi="Verdana"/>
          <w:sz w:val="16"/>
          <w:szCs w:val="16"/>
        </w:rPr>
        <w:footnoteRef/>
      </w:r>
      <w:r w:rsidRPr="00954F93">
        <w:rPr>
          <w:rFonts w:ascii="Verdana" w:hAnsi="Verdana"/>
          <w:sz w:val="16"/>
          <w:szCs w:val="16"/>
        </w:rPr>
        <w:t xml:space="preserve"> El análisis se centra en el sexo, determinado mediante un modelo de predicción basado en el nombre del contratista registrado en SECOP. Es importante distinguir entre sexo y género: mientras que el sexo se refiere a características biológicas, el género es una construcción subjetiva que refleja la autoidentificación de cada individuo en la sociedad. Debido a la falta de información sobre la autoidentificación de género de los proveedores estatales, el análisis se limita al sexo, sin poder abordar la dimensión de género.</w:t>
      </w:r>
    </w:p>
  </w:footnote>
  <w:footnote w:id="60">
    <w:p w14:paraId="599F3902" w14:textId="2FF2D453" w:rsidR="0003210C" w:rsidRPr="0059226F" w:rsidRDefault="0003210C" w:rsidP="0059226F">
      <w:pPr>
        <w:pStyle w:val="Textonotapie"/>
        <w:tabs>
          <w:tab w:val="left" w:pos="9498"/>
        </w:tabs>
        <w:ind w:right="141"/>
        <w:rPr>
          <w:rFonts w:ascii="Verdana" w:hAnsi="Verdana" w:cs="Arial"/>
          <w:sz w:val="16"/>
          <w:szCs w:val="16"/>
        </w:rPr>
      </w:pPr>
      <w:r w:rsidRPr="0059226F">
        <w:rPr>
          <w:rStyle w:val="Refdenotaalpie"/>
          <w:rFonts w:ascii="Verdana" w:hAnsi="Verdana"/>
          <w:sz w:val="16"/>
          <w:szCs w:val="16"/>
        </w:rPr>
        <w:footnoteRef/>
      </w:r>
      <w:r w:rsidRPr="0059226F">
        <w:rPr>
          <w:rFonts w:ascii="Verdana" w:hAnsi="Verdana"/>
          <w:sz w:val="16"/>
          <w:szCs w:val="16"/>
        </w:rPr>
        <w:t xml:space="preserve"> </w:t>
      </w:r>
      <w:r w:rsidR="0059226F" w:rsidRPr="0059226F">
        <w:rPr>
          <w:rFonts w:ascii="Verdana" w:hAnsi="Verdana"/>
          <w:sz w:val="16"/>
          <w:szCs w:val="16"/>
        </w:rPr>
        <w:t xml:space="preserve">Prosperidad Social. BOLETÍN TÉCNICO Grupo Interno de Trabajo Sistema de Transferencias Inclusión con Propósito: Discapacidad y transferencias que transforman. Consultado en línea y disponible en: </w:t>
      </w:r>
      <w:hyperlink r:id="rId33" w:history="1">
        <w:r w:rsidR="0059226F" w:rsidRPr="0059226F">
          <w:rPr>
            <w:rStyle w:val="Hipervnculo"/>
            <w:rFonts w:ascii="Verdana" w:hAnsi="Verdana"/>
            <w:sz w:val="16"/>
            <w:szCs w:val="16"/>
          </w:rPr>
          <w:t>http://documentacionmintranet.prosperidadsocial.gov.co/2025/Comunicaciones/Boletin/Noviembre/Boletin-Tecnico-Discapacidad.pdf</w:t>
        </w:r>
      </w:hyperlink>
      <w:r w:rsidR="0059226F" w:rsidRPr="0059226F">
        <w:rPr>
          <w:rFonts w:ascii="Verdana" w:hAnsi="Verdana"/>
          <w:sz w:val="16"/>
          <w:szCs w:val="16"/>
        </w:rPr>
        <w:t xml:space="preserve"> </w:t>
      </w:r>
    </w:p>
  </w:footnote>
  <w:footnote w:id="61">
    <w:p w14:paraId="558E67AE" w14:textId="68FD9429" w:rsidR="00B36305" w:rsidRPr="00EE201B" w:rsidRDefault="00B36305">
      <w:pPr>
        <w:pStyle w:val="Textonotapie"/>
        <w:rPr>
          <w:rFonts w:ascii="Verdana" w:hAnsi="Verdana"/>
          <w:sz w:val="16"/>
          <w:szCs w:val="16"/>
          <w:lang w:val="es-MX"/>
        </w:rPr>
      </w:pPr>
      <w:r w:rsidRPr="00EE201B">
        <w:rPr>
          <w:rStyle w:val="Refdenotaalpie"/>
          <w:rFonts w:ascii="Verdana" w:hAnsi="Verdana"/>
          <w:sz w:val="16"/>
          <w:szCs w:val="16"/>
        </w:rPr>
        <w:footnoteRef/>
      </w:r>
      <w:r w:rsidRPr="00EE201B">
        <w:rPr>
          <w:rFonts w:ascii="Verdana" w:hAnsi="Verdana"/>
          <w:sz w:val="16"/>
          <w:szCs w:val="16"/>
        </w:rPr>
        <w:t xml:space="preserve"> </w:t>
      </w:r>
      <w:r w:rsidRPr="00EE201B">
        <w:rPr>
          <w:rFonts w:ascii="Verdana" w:hAnsi="Verdana"/>
          <w:sz w:val="16"/>
          <w:szCs w:val="16"/>
          <w:lang w:val="es-MX"/>
        </w:rPr>
        <w:t xml:space="preserve">Ministerio de Salud y Protección Social. </w:t>
      </w:r>
      <w:r w:rsidRPr="00EE201B">
        <w:rPr>
          <w:rFonts w:ascii="Verdana" w:hAnsi="Verdana"/>
          <w:sz w:val="16"/>
          <w:szCs w:val="16"/>
        </w:rPr>
        <w:t xml:space="preserve">Registro para la Localización y Caracterización de Personas con Discapacidad (RLCPD). Agosto 2025. </w:t>
      </w:r>
    </w:p>
  </w:footnote>
  <w:footnote w:id="62">
    <w:p w14:paraId="30A5C6E1" w14:textId="5C46B9D4" w:rsidR="00E03DE4" w:rsidRPr="00E03DE4" w:rsidRDefault="00E03DE4">
      <w:pPr>
        <w:pStyle w:val="Textonotapie"/>
        <w:rPr>
          <w:lang w:val="es-MX"/>
        </w:rPr>
      </w:pPr>
      <w:r>
        <w:rPr>
          <w:rStyle w:val="Refdenotaalpie"/>
        </w:rPr>
        <w:footnoteRef/>
      </w:r>
      <w:r>
        <w:t xml:space="preserve"> </w:t>
      </w:r>
      <w:r w:rsidRPr="0059226F">
        <w:rPr>
          <w:rFonts w:ascii="Verdana" w:hAnsi="Verdana"/>
          <w:sz w:val="16"/>
          <w:szCs w:val="16"/>
        </w:rPr>
        <w:t xml:space="preserve">Prosperidad Social. BOLETÍN TÉCNICO Grupo Interno de Trabajo Sistema de Transferencias Inclusión con Propósito: Discapacidad y transferencias que transforman. Consultado en línea y disponible en: </w:t>
      </w:r>
      <w:hyperlink r:id="rId34" w:history="1">
        <w:r w:rsidRPr="0059226F">
          <w:rPr>
            <w:rStyle w:val="Hipervnculo"/>
            <w:rFonts w:ascii="Verdana" w:hAnsi="Verdana"/>
            <w:sz w:val="16"/>
            <w:szCs w:val="16"/>
          </w:rPr>
          <w:t>http://documentacionmintranet.prosperidadsocial.gov.co/2025/Comunicaciones/Boletin/Noviembre/Boletin-Tecnico-Discapacidad.pdf</w:t>
        </w:r>
      </w:hyperlink>
    </w:p>
  </w:footnote>
  <w:footnote w:id="63">
    <w:p w14:paraId="4C5AFA49" w14:textId="77777777" w:rsidR="0003210C" w:rsidRPr="00E03DE4" w:rsidRDefault="0003210C" w:rsidP="00DB658A">
      <w:pPr>
        <w:pStyle w:val="Textonotapie"/>
        <w:rPr>
          <w:rFonts w:ascii="Verdana" w:hAnsi="Verdana"/>
          <w:sz w:val="16"/>
          <w:szCs w:val="16"/>
        </w:rPr>
      </w:pPr>
      <w:r w:rsidRPr="00E03DE4">
        <w:rPr>
          <w:rStyle w:val="Refdenotaalpie"/>
          <w:rFonts w:ascii="Verdana" w:hAnsi="Verdana"/>
          <w:sz w:val="16"/>
          <w:szCs w:val="16"/>
        </w:rPr>
        <w:footnoteRef/>
      </w:r>
      <w:r w:rsidRPr="00E03DE4">
        <w:rPr>
          <w:rFonts w:ascii="Verdana" w:hAnsi="Verdana"/>
          <w:sz w:val="16"/>
          <w:szCs w:val="16"/>
        </w:rPr>
        <w:t xml:space="preserve"> ODEB. Nota Editorial. Desafíos y oportunidades para la inclusión laboral de las personas con discapacidad en Bogotá. Consultado en línea y disponible en: </w:t>
      </w:r>
      <w:hyperlink r:id="rId35" w:history="1">
        <w:r w:rsidRPr="00E03DE4">
          <w:rPr>
            <w:rStyle w:val="Hipervnculo"/>
            <w:rFonts w:ascii="Verdana" w:hAnsi="Verdana"/>
            <w:sz w:val="16"/>
            <w:szCs w:val="16"/>
          </w:rPr>
          <w:t>https://observatorio.desarrolloeconomico.gov.co/wp-content/uploads/2025/02/personas_con_discapacidad-vf.pdf</w:t>
        </w:r>
      </w:hyperlink>
      <w:r w:rsidRPr="00E03DE4">
        <w:rPr>
          <w:rFonts w:ascii="Verdana" w:hAnsi="Verdana"/>
          <w:sz w:val="16"/>
          <w:szCs w:val="16"/>
        </w:rPr>
        <w:t xml:space="preserve"> </w:t>
      </w:r>
    </w:p>
  </w:footnote>
  <w:footnote w:id="64">
    <w:p w14:paraId="5940A653" w14:textId="77777777" w:rsidR="0003210C" w:rsidRPr="004318BB" w:rsidRDefault="0003210C" w:rsidP="0003210C">
      <w:pPr>
        <w:pStyle w:val="Textonotapie"/>
        <w:ind w:right="49"/>
        <w:rPr>
          <w:rFonts w:ascii="Verdana" w:hAnsi="Verdana"/>
          <w:sz w:val="16"/>
          <w:szCs w:val="16"/>
        </w:rPr>
      </w:pPr>
      <w:r w:rsidRPr="004318BB">
        <w:rPr>
          <w:rStyle w:val="Refdenotaalpie"/>
          <w:rFonts w:ascii="Verdana" w:hAnsi="Verdana"/>
          <w:sz w:val="16"/>
          <w:szCs w:val="16"/>
        </w:rPr>
        <w:footnoteRef/>
      </w:r>
      <w:r w:rsidRPr="004318BB">
        <w:rPr>
          <w:rFonts w:ascii="Verdana" w:hAnsi="Verdana"/>
          <w:sz w:val="16"/>
          <w:szCs w:val="16"/>
        </w:rPr>
        <w:t xml:space="preserve"> DANE. Boletín Técnico, Mercado laboral de la población con discapacidad, trimestre móvil noviembre 2025 – enero 2026. Consultado en línea y disponible en: </w:t>
      </w:r>
      <w:hyperlink r:id="rId36" w:history="1">
        <w:r w:rsidRPr="004318BB">
          <w:rPr>
            <w:rStyle w:val="Hipervnculo"/>
            <w:rFonts w:ascii="Verdana" w:hAnsi="Verdana"/>
            <w:sz w:val="16"/>
            <w:szCs w:val="16"/>
          </w:rPr>
          <w:t>https://www.dane.gov.co/index.php/estadisticas-por-tema/mercado-laboral/mercado-laboral-de-las-personas-con-discapacidad</w:t>
        </w:r>
      </w:hyperlink>
      <w:r w:rsidRPr="004318BB">
        <w:rPr>
          <w:rFonts w:ascii="Verdana" w:hAnsi="Verdana"/>
          <w:sz w:val="16"/>
          <w:szCs w:val="16"/>
        </w:rPr>
        <w:t xml:space="preserve"> </w:t>
      </w:r>
    </w:p>
  </w:footnote>
  <w:footnote w:id="65">
    <w:p w14:paraId="203995E5" w14:textId="77777777" w:rsidR="0003210C" w:rsidRPr="001A41C1" w:rsidRDefault="0003210C" w:rsidP="0003210C">
      <w:pPr>
        <w:pStyle w:val="Textonotapie"/>
        <w:rPr>
          <w:rFonts w:ascii="Arial Narrow" w:hAnsi="Arial Narrow"/>
          <w:sz w:val="16"/>
          <w:szCs w:val="16"/>
          <w:lang w:val="es-MX"/>
        </w:rPr>
      </w:pPr>
      <w:r w:rsidRPr="001A41C1">
        <w:rPr>
          <w:rStyle w:val="Refdenotaalpie"/>
          <w:rFonts w:ascii="Arial Narrow" w:hAnsi="Arial Narrow"/>
          <w:sz w:val="16"/>
          <w:szCs w:val="16"/>
        </w:rPr>
        <w:footnoteRef/>
      </w:r>
      <w:r w:rsidRPr="001A41C1">
        <w:rPr>
          <w:rFonts w:ascii="Arial Narrow" w:hAnsi="Arial Narrow"/>
          <w:sz w:val="16"/>
          <w:szCs w:val="16"/>
        </w:rPr>
        <w:t xml:space="preserve"> </w:t>
      </w:r>
      <w:r>
        <w:rPr>
          <w:rFonts w:ascii="Arial Narrow" w:hAnsi="Arial Narrow"/>
          <w:sz w:val="16"/>
          <w:szCs w:val="16"/>
        </w:rPr>
        <w:t>EL SECTOR DE LA CONSTRUCCIÓN: E</w:t>
      </w:r>
      <w:r w:rsidRPr="001A41C1">
        <w:rPr>
          <w:rFonts w:ascii="Arial Narrow" w:hAnsi="Arial Narrow"/>
          <w:sz w:val="16"/>
          <w:szCs w:val="16"/>
        </w:rPr>
        <w:t xml:space="preserve">studio de perfiles ocupacionales para el sector de la construcción en </w:t>
      </w:r>
      <w:r>
        <w:rPr>
          <w:rFonts w:ascii="Arial Narrow" w:hAnsi="Arial Narrow"/>
          <w:sz w:val="16"/>
          <w:szCs w:val="16"/>
        </w:rPr>
        <w:t>I</w:t>
      </w:r>
      <w:r w:rsidRPr="001A41C1">
        <w:rPr>
          <w:rFonts w:ascii="Arial Narrow" w:hAnsi="Arial Narrow"/>
          <w:sz w:val="16"/>
          <w:szCs w:val="16"/>
        </w:rPr>
        <w:t>bagué</w:t>
      </w:r>
      <w:r>
        <w:rPr>
          <w:rFonts w:ascii="Arial Narrow" w:hAnsi="Arial Narrow"/>
          <w:sz w:val="16"/>
          <w:szCs w:val="16"/>
        </w:rPr>
        <w:t xml:space="preserve">. PNUD, DPS y Universidad del Tolima.2013. Disponible en: </w:t>
      </w:r>
      <w:hyperlink r:id="rId37" w:history="1">
        <w:r w:rsidRPr="009D4D87">
          <w:rPr>
            <w:rStyle w:val="Hipervnculo"/>
            <w:rFonts w:ascii="Arial Narrow" w:hAnsi="Arial Narrow"/>
            <w:sz w:val="16"/>
            <w:szCs w:val="16"/>
          </w:rPr>
          <w:t>https://administrativos.ut.edu.co/images/OBSERVATORIOS/Del_Empleo_y_Recursos_Humanos/Sector_construccion.pdf</w:t>
        </w:r>
      </w:hyperlink>
      <w:r>
        <w:rPr>
          <w:rFonts w:ascii="Arial Narrow" w:hAnsi="Arial Narrow"/>
          <w:sz w:val="16"/>
          <w:szCs w:val="16"/>
        </w:rPr>
        <w:t xml:space="preserve"> </w:t>
      </w:r>
    </w:p>
  </w:footnote>
  <w:footnote w:id="66">
    <w:p w14:paraId="312112D1" w14:textId="4B6ED166" w:rsidR="00DE2B56" w:rsidRPr="00DE2B56" w:rsidRDefault="00DE2B56">
      <w:pPr>
        <w:pStyle w:val="Textonotapie"/>
        <w:rPr>
          <w:lang w:val="es-MX"/>
        </w:rPr>
      </w:pPr>
      <w:r>
        <w:rPr>
          <w:rStyle w:val="Refdenotaalpie"/>
        </w:rPr>
        <w:footnoteRef/>
      </w:r>
      <w:r>
        <w:t xml:space="preserve"> </w:t>
      </w:r>
      <w:r w:rsidRPr="00387F5F">
        <w:rPr>
          <w:rFonts w:ascii="Verdana" w:eastAsia="Verdana Pro" w:hAnsi="Verdana" w:cs="Verdana Pro"/>
          <w:sz w:val="16"/>
          <w:szCs w:val="16"/>
          <w:lang w:val="es-MX"/>
        </w:rPr>
        <w:t>Únicamente se analizan las empresas identificadas como MiPymes (</w:t>
      </w:r>
      <w:r>
        <w:rPr>
          <w:rFonts w:ascii="Verdana" w:eastAsia="Verdana Pro" w:hAnsi="Verdana" w:cs="Verdana Pro"/>
          <w:sz w:val="16"/>
          <w:szCs w:val="16"/>
          <w:lang w:val="es-MX"/>
        </w:rPr>
        <w:t>4</w:t>
      </w:r>
      <w:r w:rsidRPr="00387F5F">
        <w:rPr>
          <w:rFonts w:ascii="Verdana" w:eastAsia="Verdana Pro" w:hAnsi="Verdana" w:cs="Verdana Pro"/>
          <w:sz w:val="16"/>
          <w:szCs w:val="16"/>
          <w:lang w:val="es-MX"/>
        </w:rPr>
        <w:t>83 empresas) de la muestra.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51F71" w14:textId="0F10BBBB" w:rsidR="004343E6" w:rsidRDefault="004343E6" w:rsidP="004343E6"/>
  <w:p w14:paraId="000000BE" w14:textId="0FFEA4AB" w:rsidR="00B44DC1"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r>
      <w:rPr>
        <w:noProof/>
      </w:rPr>
      <w:drawing>
        <wp:anchor distT="0" distB="0" distL="114300" distR="114300" simplePos="0" relativeHeight="251658241" behindDoc="1" locked="0" layoutInCell="1" allowOverlap="1" wp14:anchorId="33BA8FED" wp14:editId="1B09D89C">
          <wp:simplePos x="0" y="0"/>
          <wp:positionH relativeFrom="margin">
            <wp:posOffset>2031365</wp:posOffset>
          </wp:positionH>
          <wp:positionV relativeFrom="paragraph">
            <wp:posOffset>34290</wp:posOffset>
          </wp:positionV>
          <wp:extent cx="1943200" cy="863644"/>
          <wp:effectExtent l="0" t="0" r="0" b="0"/>
          <wp:wrapNone/>
          <wp:docPr id="969262778" name="Imagen 2"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262778" name="Imagen 2" descr="Imagen que contiene Logotipo&#10;&#10;Descripción generada automáticamente"/>
                  <pic:cNvPicPr/>
                </pic:nvPicPr>
                <pic:blipFill>
                  <a:blip r:embed="rId1"/>
                  <a:stretch>
                    <a:fillRect/>
                  </a:stretch>
                </pic:blipFill>
                <pic:spPr>
                  <a:xfrm>
                    <a:off x="0" y="0"/>
                    <a:ext cx="1943200" cy="863644"/>
                  </a:xfrm>
                  <a:prstGeom prst="rect">
                    <a:avLst/>
                  </a:prstGeom>
                </pic:spPr>
              </pic:pic>
            </a:graphicData>
          </a:graphic>
        </wp:anchor>
      </w:drawing>
    </w:r>
  </w:p>
  <w:p w14:paraId="2FE9BD5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56B6BF3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696E91B6"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06555801" w14:textId="77777777" w:rsidR="002052D8" w:rsidRDefault="002052D8">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p>
  <w:p w14:paraId="7CAE5841" w14:textId="77777777" w:rsidR="002052D8" w:rsidRDefault="002052D8" w:rsidP="0070709A">
    <w:pPr>
      <w:pStyle w:val="Normal0"/>
      <w:pBdr>
        <w:top w:val="nil"/>
        <w:left w:val="nil"/>
        <w:bottom w:val="nil"/>
        <w:right w:val="nil"/>
        <w:between w:val="nil"/>
      </w:pBdr>
      <w:tabs>
        <w:tab w:val="center" w:pos="4419"/>
        <w:tab w:val="right" w:pos="8838"/>
      </w:tabs>
      <w:spacing w:after="0" w:line="120" w:lineRule="auto"/>
      <w:rPr>
        <w:rFonts w:ascii="Times New Roman" w:eastAsia="Times New Roman" w:hAnsi="Times New Roman" w:cs="Times New Roman"/>
        <w:color w:val="000000"/>
        <w:sz w:val="24"/>
        <w:szCs w:val="24"/>
      </w:rPr>
    </w:pPr>
  </w:p>
  <w:p w14:paraId="14413CBB" w14:textId="5686AB6B" w:rsidR="002052D8" w:rsidRPr="0070709A" w:rsidRDefault="002052D8">
    <w:pPr>
      <w:pStyle w:val="Normal0"/>
      <w:pBdr>
        <w:top w:val="nil"/>
        <w:left w:val="nil"/>
        <w:bottom w:val="nil"/>
        <w:right w:val="nil"/>
        <w:between w:val="nil"/>
      </w:pBdr>
      <w:tabs>
        <w:tab w:val="center" w:pos="4419"/>
        <w:tab w:val="right" w:pos="8838"/>
      </w:tabs>
      <w:spacing w:after="0"/>
      <w:rPr>
        <w:rFonts w:ascii="Verdana" w:eastAsia="Times New Roman" w:hAnsi="Verdana" w:cs="Times New Roman"/>
        <w:b/>
        <w:bCs/>
      </w:rPr>
    </w:pPr>
    <w:r w:rsidRPr="0070709A">
      <w:rPr>
        <w:rFonts w:ascii="Verdana" w:eastAsia="Times New Roman" w:hAnsi="Verdana" w:cs="Times New Roman"/>
        <w:b/>
        <w:bCs/>
      </w:rPr>
      <w:t xml:space="preserve">ANEXO </w:t>
    </w:r>
    <w:r w:rsidR="00DB20D4" w:rsidRPr="0070709A">
      <w:rPr>
        <w:rFonts w:ascii="Verdana" w:eastAsia="Times New Roman" w:hAnsi="Verdana" w:cs="Times New Roman"/>
        <w:b/>
        <w:bCs/>
      </w:rPr>
      <w:t>MEMORIA JUSTIFICATIVA</w:t>
    </w:r>
  </w:p>
  <w:p w14:paraId="3310080B" w14:textId="77777777" w:rsidR="00DB20D4" w:rsidRDefault="00DB20D4" w:rsidP="00DB20D4">
    <w:pPr>
      <w:pStyle w:val="Normal0"/>
      <w:pBdr>
        <w:top w:val="nil"/>
        <w:left w:val="nil"/>
        <w:bottom w:val="nil"/>
        <w:right w:val="nil"/>
        <w:between w:val="nil"/>
      </w:pBdr>
      <w:tabs>
        <w:tab w:val="center" w:pos="4419"/>
        <w:tab w:val="right" w:pos="8838"/>
      </w:tabs>
      <w:spacing w:after="0" w:line="120" w:lineRule="auto"/>
      <w:rPr>
        <w:rFonts w:ascii="Times New Roman" w:eastAsia="Times New Roman" w:hAnsi="Times New Roman" w:cs="Times New Roman"/>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C" w14:textId="5DDDA310" w:rsidR="00B44DC1" w:rsidRDefault="00264D0B">
    <w:pPr>
      <w:pStyle w:val="Normal0"/>
      <w:pBdr>
        <w:top w:val="nil"/>
        <w:left w:val="nil"/>
        <w:bottom w:val="nil"/>
        <w:right w:val="nil"/>
        <w:between w:val="nil"/>
      </w:pBdr>
      <w:tabs>
        <w:tab w:val="center" w:pos="4419"/>
        <w:tab w:val="right" w:pos="8838"/>
      </w:tabs>
      <w:spacing w:after="0"/>
      <w:rPr>
        <w:rFonts w:ascii="Times New Roman" w:eastAsia="Times New Roman" w:hAnsi="Times New Roman" w:cs="Times New Roman"/>
        <w:color w:val="000000"/>
        <w:sz w:val="24"/>
        <w:szCs w:val="24"/>
      </w:rPr>
    </w:pPr>
    <w:r>
      <w:rPr>
        <w:noProof/>
      </w:rPr>
      <w:drawing>
        <wp:anchor distT="0" distB="0" distL="114300" distR="114300" simplePos="0" relativeHeight="251658240" behindDoc="1" locked="0" layoutInCell="1" allowOverlap="1" wp14:anchorId="1AC57CE0" wp14:editId="5DE23864">
          <wp:simplePos x="0" y="0"/>
          <wp:positionH relativeFrom="page">
            <wp:align>left</wp:align>
          </wp:positionH>
          <wp:positionV relativeFrom="paragraph">
            <wp:posOffset>-447675</wp:posOffset>
          </wp:positionV>
          <wp:extent cx="7761249" cy="10044900"/>
          <wp:effectExtent l="0" t="0" r="0" b="0"/>
          <wp:wrapNone/>
          <wp:docPr id="685022261" name="Imagen 1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022261" name="Imagen 11" descr="Imagen que contiene Interfaz de usuario gráfica&#10;&#10;Descripción generada automá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761249" cy="10044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E4807"/>
    <w:multiLevelType w:val="multilevel"/>
    <w:tmpl w:val="EE024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796EF"/>
    <w:multiLevelType w:val="hybridMultilevel"/>
    <w:tmpl w:val="8AB23C76"/>
    <w:lvl w:ilvl="0" w:tplc="F6A26EA2">
      <w:start w:val="1"/>
      <w:numFmt w:val="bullet"/>
      <w:lvlText w:val=""/>
      <w:lvlJc w:val="left"/>
      <w:pPr>
        <w:ind w:left="720" w:hanging="360"/>
      </w:pPr>
      <w:rPr>
        <w:rFonts w:ascii="Symbol" w:hAnsi="Symbol" w:hint="default"/>
      </w:rPr>
    </w:lvl>
    <w:lvl w:ilvl="1" w:tplc="A9D6043A">
      <w:start w:val="1"/>
      <w:numFmt w:val="bullet"/>
      <w:lvlText w:val="o"/>
      <w:lvlJc w:val="left"/>
      <w:pPr>
        <w:ind w:left="1440" w:hanging="360"/>
      </w:pPr>
      <w:rPr>
        <w:rFonts w:ascii="Courier New" w:hAnsi="Courier New" w:hint="default"/>
      </w:rPr>
    </w:lvl>
    <w:lvl w:ilvl="2" w:tplc="70A62614">
      <w:start w:val="1"/>
      <w:numFmt w:val="bullet"/>
      <w:lvlText w:val=""/>
      <w:lvlJc w:val="left"/>
      <w:pPr>
        <w:ind w:left="2160" w:hanging="360"/>
      </w:pPr>
      <w:rPr>
        <w:rFonts w:ascii="Wingdings" w:hAnsi="Wingdings" w:hint="default"/>
      </w:rPr>
    </w:lvl>
    <w:lvl w:ilvl="3" w:tplc="12ACCF0E">
      <w:start w:val="1"/>
      <w:numFmt w:val="bullet"/>
      <w:lvlText w:val=""/>
      <w:lvlJc w:val="left"/>
      <w:pPr>
        <w:ind w:left="2880" w:hanging="360"/>
      </w:pPr>
      <w:rPr>
        <w:rFonts w:ascii="Symbol" w:hAnsi="Symbol" w:hint="default"/>
      </w:rPr>
    </w:lvl>
    <w:lvl w:ilvl="4" w:tplc="FF701200">
      <w:start w:val="1"/>
      <w:numFmt w:val="bullet"/>
      <w:lvlText w:val="o"/>
      <w:lvlJc w:val="left"/>
      <w:pPr>
        <w:ind w:left="3600" w:hanging="360"/>
      </w:pPr>
      <w:rPr>
        <w:rFonts w:ascii="Courier New" w:hAnsi="Courier New" w:hint="default"/>
      </w:rPr>
    </w:lvl>
    <w:lvl w:ilvl="5" w:tplc="EACE5E6A">
      <w:start w:val="1"/>
      <w:numFmt w:val="bullet"/>
      <w:lvlText w:val=""/>
      <w:lvlJc w:val="left"/>
      <w:pPr>
        <w:ind w:left="4320" w:hanging="360"/>
      </w:pPr>
      <w:rPr>
        <w:rFonts w:ascii="Wingdings" w:hAnsi="Wingdings" w:hint="default"/>
      </w:rPr>
    </w:lvl>
    <w:lvl w:ilvl="6" w:tplc="889AE724">
      <w:start w:val="1"/>
      <w:numFmt w:val="bullet"/>
      <w:lvlText w:val=""/>
      <w:lvlJc w:val="left"/>
      <w:pPr>
        <w:ind w:left="5040" w:hanging="360"/>
      </w:pPr>
      <w:rPr>
        <w:rFonts w:ascii="Symbol" w:hAnsi="Symbol" w:hint="default"/>
      </w:rPr>
    </w:lvl>
    <w:lvl w:ilvl="7" w:tplc="FA88F03C">
      <w:start w:val="1"/>
      <w:numFmt w:val="bullet"/>
      <w:lvlText w:val="o"/>
      <w:lvlJc w:val="left"/>
      <w:pPr>
        <w:ind w:left="5760" w:hanging="360"/>
      </w:pPr>
      <w:rPr>
        <w:rFonts w:ascii="Courier New" w:hAnsi="Courier New" w:hint="default"/>
      </w:rPr>
    </w:lvl>
    <w:lvl w:ilvl="8" w:tplc="B7107334">
      <w:start w:val="1"/>
      <w:numFmt w:val="bullet"/>
      <w:lvlText w:val=""/>
      <w:lvlJc w:val="left"/>
      <w:pPr>
        <w:ind w:left="6480" w:hanging="360"/>
      </w:pPr>
      <w:rPr>
        <w:rFonts w:ascii="Wingdings" w:hAnsi="Wingdings" w:hint="default"/>
      </w:rPr>
    </w:lvl>
  </w:abstractNum>
  <w:abstractNum w:abstractNumId="2" w15:restartNumberingAfterBreak="0">
    <w:nsid w:val="03FD3A88"/>
    <w:multiLevelType w:val="multilevel"/>
    <w:tmpl w:val="53AA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0B132A"/>
    <w:multiLevelType w:val="hybridMultilevel"/>
    <w:tmpl w:val="53EC1752"/>
    <w:lvl w:ilvl="0" w:tplc="2992234A">
      <w:start w:val="1"/>
      <w:numFmt w:val="bullet"/>
      <w:lvlText w:val=""/>
      <w:lvlJc w:val="left"/>
      <w:pPr>
        <w:ind w:left="720" w:hanging="360"/>
      </w:pPr>
      <w:rPr>
        <w:rFonts w:ascii="Symbol" w:hAnsi="Symbol" w:hint="default"/>
      </w:rPr>
    </w:lvl>
    <w:lvl w:ilvl="1" w:tplc="45D452A0">
      <w:start w:val="1"/>
      <w:numFmt w:val="bullet"/>
      <w:lvlText w:val="o"/>
      <w:lvlJc w:val="left"/>
      <w:pPr>
        <w:ind w:left="1440" w:hanging="360"/>
      </w:pPr>
      <w:rPr>
        <w:rFonts w:ascii="Courier New" w:hAnsi="Courier New" w:hint="default"/>
      </w:rPr>
    </w:lvl>
    <w:lvl w:ilvl="2" w:tplc="30F0D8B0">
      <w:start w:val="1"/>
      <w:numFmt w:val="bullet"/>
      <w:lvlText w:val=""/>
      <w:lvlJc w:val="left"/>
      <w:pPr>
        <w:ind w:left="2160" w:hanging="360"/>
      </w:pPr>
      <w:rPr>
        <w:rFonts w:ascii="Wingdings" w:hAnsi="Wingdings" w:hint="default"/>
      </w:rPr>
    </w:lvl>
    <w:lvl w:ilvl="3" w:tplc="6E6CA462">
      <w:start w:val="1"/>
      <w:numFmt w:val="bullet"/>
      <w:lvlText w:val=""/>
      <w:lvlJc w:val="left"/>
      <w:pPr>
        <w:ind w:left="2880" w:hanging="360"/>
      </w:pPr>
      <w:rPr>
        <w:rFonts w:ascii="Symbol" w:hAnsi="Symbol" w:hint="default"/>
      </w:rPr>
    </w:lvl>
    <w:lvl w:ilvl="4" w:tplc="D8DAC5F0">
      <w:start w:val="1"/>
      <w:numFmt w:val="bullet"/>
      <w:lvlText w:val="o"/>
      <w:lvlJc w:val="left"/>
      <w:pPr>
        <w:ind w:left="3600" w:hanging="360"/>
      </w:pPr>
      <w:rPr>
        <w:rFonts w:ascii="Courier New" w:hAnsi="Courier New" w:hint="default"/>
      </w:rPr>
    </w:lvl>
    <w:lvl w:ilvl="5" w:tplc="031A3C14">
      <w:start w:val="1"/>
      <w:numFmt w:val="bullet"/>
      <w:lvlText w:val=""/>
      <w:lvlJc w:val="left"/>
      <w:pPr>
        <w:ind w:left="4320" w:hanging="360"/>
      </w:pPr>
      <w:rPr>
        <w:rFonts w:ascii="Wingdings" w:hAnsi="Wingdings" w:hint="default"/>
      </w:rPr>
    </w:lvl>
    <w:lvl w:ilvl="6" w:tplc="54582FA6">
      <w:start w:val="1"/>
      <w:numFmt w:val="bullet"/>
      <w:lvlText w:val=""/>
      <w:lvlJc w:val="left"/>
      <w:pPr>
        <w:ind w:left="5040" w:hanging="360"/>
      </w:pPr>
      <w:rPr>
        <w:rFonts w:ascii="Symbol" w:hAnsi="Symbol" w:hint="default"/>
      </w:rPr>
    </w:lvl>
    <w:lvl w:ilvl="7" w:tplc="4024F414">
      <w:start w:val="1"/>
      <w:numFmt w:val="bullet"/>
      <w:lvlText w:val="o"/>
      <w:lvlJc w:val="left"/>
      <w:pPr>
        <w:ind w:left="5760" w:hanging="360"/>
      </w:pPr>
      <w:rPr>
        <w:rFonts w:ascii="Courier New" w:hAnsi="Courier New" w:hint="default"/>
      </w:rPr>
    </w:lvl>
    <w:lvl w:ilvl="8" w:tplc="36DE619E">
      <w:start w:val="1"/>
      <w:numFmt w:val="bullet"/>
      <w:lvlText w:val=""/>
      <w:lvlJc w:val="left"/>
      <w:pPr>
        <w:ind w:left="6480" w:hanging="360"/>
      </w:pPr>
      <w:rPr>
        <w:rFonts w:ascii="Wingdings" w:hAnsi="Wingdings" w:hint="default"/>
      </w:rPr>
    </w:lvl>
  </w:abstractNum>
  <w:abstractNum w:abstractNumId="4" w15:restartNumberingAfterBreak="0">
    <w:nsid w:val="0429F222"/>
    <w:multiLevelType w:val="hybridMultilevel"/>
    <w:tmpl w:val="8BA82CE0"/>
    <w:lvl w:ilvl="0" w:tplc="DEF0182C">
      <w:start w:val="1"/>
      <w:numFmt w:val="bullet"/>
      <w:lvlText w:val=""/>
      <w:lvlJc w:val="left"/>
      <w:pPr>
        <w:ind w:left="720" w:hanging="360"/>
      </w:pPr>
      <w:rPr>
        <w:rFonts w:ascii="Wingdings,Sans-Serif" w:hAnsi="Wingdings,Sans-Serif" w:hint="default"/>
      </w:rPr>
    </w:lvl>
    <w:lvl w:ilvl="1" w:tplc="9E3AAAB6">
      <w:start w:val="1"/>
      <w:numFmt w:val="bullet"/>
      <w:lvlText w:val="o"/>
      <w:lvlJc w:val="left"/>
      <w:pPr>
        <w:ind w:left="1440" w:hanging="360"/>
      </w:pPr>
      <w:rPr>
        <w:rFonts w:ascii="Courier New" w:hAnsi="Courier New" w:hint="default"/>
      </w:rPr>
    </w:lvl>
    <w:lvl w:ilvl="2" w:tplc="85CC68AA">
      <w:start w:val="1"/>
      <w:numFmt w:val="bullet"/>
      <w:lvlText w:val=""/>
      <w:lvlJc w:val="left"/>
      <w:pPr>
        <w:ind w:left="2160" w:hanging="360"/>
      </w:pPr>
      <w:rPr>
        <w:rFonts w:ascii="Wingdings" w:hAnsi="Wingdings" w:hint="default"/>
      </w:rPr>
    </w:lvl>
    <w:lvl w:ilvl="3" w:tplc="B1E2B288">
      <w:start w:val="1"/>
      <w:numFmt w:val="bullet"/>
      <w:lvlText w:val=""/>
      <w:lvlJc w:val="left"/>
      <w:pPr>
        <w:ind w:left="2880" w:hanging="360"/>
      </w:pPr>
      <w:rPr>
        <w:rFonts w:ascii="Symbol" w:hAnsi="Symbol" w:hint="default"/>
      </w:rPr>
    </w:lvl>
    <w:lvl w:ilvl="4" w:tplc="934A0388">
      <w:start w:val="1"/>
      <w:numFmt w:val="bullet"/>
      <w:lvlText w:val="o"/>
      <w:lvlJc w:val="left"/>
      <w:pPr>
        <w:ind w:left="3600" w:hanging="360"/>
      </w:pPr>
      <w:rPr>
        <w:rFonts w:ascii="Courier New" w:hAnsi="Courier New" w:hint="default"/>
      </w:rPr>
    </w:lvl>
    <w:lvl w:ilvl="5" w:tplc="B68466BA">
      <w:start w:val="1"/>
      <w:numFmt w:val="bullet"/>
      <w:lvlText w:val=""/>
      <w:lvlJc w:val="left"/>
      <w:pPr>
        <w:ind w:left="4320" w:hanging="360"/>
      </w:pPr>
      <w:rPr>
        <w:rFonts w:ascii="Wingdings" w:hAnsi="Wingdings" w:hint="default"/>
      </w:rPr>
    </w:lvl>
    <w:lvl w:ilvl="6" w:tplc="4CEECFE6">
      <w:start w:val="1"/>
      <w:numFmt w:val="bullet"/>
      <w:lvlText w:val=""/>
      <w:lvlJc w:val="left"/>
      <w:pPr>
        <w:ind w:left="5040" w:hanging="360"/>
      </w:pPr>
      <w:rPr>
        <w:rFonts w:ascii="Symbol" w:hAnsi="Symbol" w:hint="default"/>
      </w:rPr>
    </w:lvl>
    <w:lvl w:ilvl="7" w:tplc="24505294">
      <w:start w:val="1"/>
      <w:numFmt w:val="bullet"/>
      <w:lvlText w:val="o"/>
      <w:lvlJc w:val="left"/>
      <w:pPr>
        <w:ind w:left="5760" w:hanging="360"/>
      </w:pPr>
      <w:rPr>
        <w:rFonts w:ascii="Courier New" w:hAnsi="Courier New" w:hint="default"/>
      </w:rPr>
    </w:lvl>
    <w:lvl w:ilvl="8" w:tplc="83248012">
      <w:start w:val="1"/>
      <w:numFmt w:val="bullet"/>
      <w:lvlText w:val=""/>
      <w:lvlJc w:val="left"/>
      <w:pPr>
        <w:ind w:left="6480" w:hanging="360"/>
      </w:pPr>
      <w:rPr>
        <w:rFonts w:ascii="Wingdings" w:hAnsi="Wingdings" w:hint="default"/>
      </w:rPr>
    </w:lvl>
  </w:abstractNum>
  <w:abstractNum w:abstractNumId="5" w15:restartNumberingAfterBreak="0">
    <w:nsid w:val="091B722E"/>
    <w:multiLevelType w:val="multilevel"/>
    <w:tmpl w:val="5C22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3205FD"/>
    <w:multiLevelType w:val="hybridMultilevel"/>
    <w:tmpl w:val="F2A0793E"/>
    <w:lvl w:ilvl="0" w:tplc="B0B490F4">
      <w:start w:val="1"/>
      <w:numFmt w:val="bullet"/>
      <w:lvlText w:val=""/>
      <w:lvlJc w:val="left"/>
      <w:pPr>
        <w:ind w:left="720" w:hanging="360"/>
      </w:pPr>
      <w:rPr>
        <w:rFonts w:ascii="Symbol" w:hAnsi="Symbol" w:hint="default"/>
      </w:rPr>
    </w:lvl>
    <w:lvl w:ilvl="1" w:tplc="7D127C4A">
      <w:start w:val="1"/>
      <w:numFmt w:val="bullet"/>
      <w:lvlText w:val="o"/>
      <w:lvlJc w:val="left"/>
      <w:pPr>
        <w:ind w:left="1440" w:hanging="360"/>
      </w:pPr>
      <w:rPr>
        <w:rFonts w:ascii="Courier New" w:hAnsi="Courier New" w:hint="default"/>
      </w:rPr>
    </w:lvl>
    <w:lvl w:ilvl="2" w:tplc="847629A0">
      <w:start w:val="1"/>
      <w:numFmt w:val="bullet"/>
      <w:lvlText w:val=""/>
      <w:lvlJc w:val="left"/>
      <w:pPr>
        <w:ind w:left="2160" w:hanging="360"/>
      </w:pPr>
      <w:rPr>
        <w:rFonts w:ascii="Wingdings" w:hAnsi="Wingdings" w:hint="default"/>
      </w:rPr>
    </w:lvl>
    <w:lvl w:ilvl="3" w:tplc="32B84B12">
      <w:start w:val="1"/>
      <w:numFmt w:val="bullet"/>
      <w:lvlText w:val=""/>
      <w:lvlJc w:val="left"/>
      <w:pPr>
        <w:ind w:left="2880" w:hanging="360"/>
      </w:pPr>
      <w:rPr>
        <w:rFonts w:ascii="Symbol" w:hAnsi="Symbol" w:hint="default"/>
      </w:rPr>
    </w:lvl>
    <w:lvl w:ilvl="4" w:tplc="4DDA0C3E">
      <w:start w:val="1"/>
      <w:numFmt w:val="bullet"/>
      <w:lvlText w:val="o"/>
      <w:lvlJc w:val="left"/>
      <w:pPr>
        <w:ind w:left="3600" w:hanging="360"/>
      </w:pPr>
      <w:rPr>
        <w:rFonts w:ascii="Courier New" w:hAnsi="Courier New" w:hint="default"/>
      </w:rPr>
    </w:lvl>
    <w:lvl w:ilvl="5" w:tplc="2160C814">
      <w:start w:val="1"/>
      <w:numFmt w:val="bullet"/>
      <w:lvlText w:val=""/>
      <w:lvlJc w:val="left"/>
      <w:pPr>
        <w:ind w:left="4320" w:hanging="360"/>
      </w:pPr>
      <w:rPr>
        <w:rFonts w:ascii="Wingdings" w:hAnsi="Wingdings" w:hint="default"/>
      </w:rPr>
    </w:lvl>
    <w:lvl w:ilvl="6" w:tplc="61DA40C8">
      <w:start w:val="1"/>
      <w:numFmt w:val="bullet"/>
      <w:lvlText w:val=""/>
      <w:lvlJc w:val="left"/>
      <w:pPr>
        <w:ind w:left="5040" w:hanging="360"/>
      </w:pPr>
      <w:rPr>
        <w:rFonts w:ascii="Symbol" w:hAnsi="Symbol" w:hint="default"/>
      </w:rPr>
    </w:lvl>
    <w:lvl w:ilvl="7" w:tplc="C7A0EA1A">
      <w:start w:val="1"/>
      <w:numFmt w:val="bullet"/>
      <w:lvlText w:val="o"/>
      <w:lvlJc w:val="left"/>
      <w:pPr>
        <w:ind w:left="5760" w:hanging="360"/>
      </w:pPr>
      <w:rPr>
        <w:rFonts w:ascii="Courier New" w:hAnsi="Courier New" w:hint="default"/>
      </w:rPr>
    </w:lvl>
    <w:lvl w:ilvl="8" w:tplc="8AA09BC2">
      <w:start w:val="1"/>
      <w:numFmt w:val="bullet"/>
      <w:lvlText w:val=""/>
      <w:lvlJc w:val="left"/>
      <w:pPr>
        <w:ind w:left="6480" w:hanging="360"/>
      </w:pPr>
      <w:rPr>
        <w:rFonts w:ascii="Wingdings" w:hAnsi="Wingdings" w:hint="default"/>
      </w:rPr>
    </w:lvl>
  </w:abstractNum>
  <w:abstractNum w:abstractNumId="7" w15:restartNumberingAfterBreak="0">
    <w:nsid w:val="0B7C38BF"/>
    <w:multiLevelType w:val="hybridMultilevel"/>
    <w:tmpl w:val="653C2DB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0D9955E9"/>
    <w:multiLevelType w:val="hybridMultilevel"/>
    <w:tmpl w:val="C2083B2A"/>
    <w:lvl w:ilvl="0" w:tplc="F27899FC">
      <w:start w:val="1"/>
      <w:numFmt w:val="lowerLetter"/>
      <w:lvlText w:val="%1."/>
      <w:lvlJc w:val="left"/>
      <w:pPr>
        <w:ind w:left="1080" w:hanging="360"/>
      </w:pPr>
    </w:lvl>
    <w:lvl w:ilvl="1" w:tplc="DE9C9AC6" w:tentative="1">
      <w:start w:val="1"/>
      <w:numFmt w:val="bullet"/>
      <w:lvlText w:val="o"/>
      <w:lvlJc w:val="left"/>
      <w:pPr>
        <w:ind w:left="1800" w:hanging="360"/>
      </w:pPr>
      <w:rPr>
        <w:rFonts w:ascii="Courier New" w:hAnsi="Courier New" w:hint="default"/>
      </w:rPr>
    </w:lvl>
    <w:lvl w:ilvl="2" w:tplc="1BDAD298" w:tentative="1">
      <w:start w:val="1"/>
      <w:numFmt w:val="bullet"/>
      <w:lvlText w:val=""/>
      <w:lvlJc w:val="left"/>
      <w:pPr>
        <w:ind w:left="2520" w:hanging="360"/>
      </w:pPr>
      <w:rPr>
        <w:rFonts w:ascii="Wingdings" w:hAnsi="Wingdings" w:hint="default"/>
      </w:rPr>
    </w:lvl>
    <w:lvl w:ilvl="3" w:tplc="A8765AEA" w:tentative="1">
      <w:start w:val="1"/>
      <w:numFmt w:val="bullet"/>
      <w:lvlText w:val=""/>
      <w:lvlJc w:val="left"/>
      <w:pPr>
        <w:ind w:left="3240" w:hanging="360"/>
      </w:pPr>
      <w:rPr>
        <w:rFonts w:ascii="Symbol" w:hAnsi="Symbol" w:hint="default"/>
      </w:rPr>
    </w:lvl>
    <w:lvl w:ilvl="4" w:tplc="1504B7BE" w:tentative="1">
      <w:start w:val="1"/>
      <w:numFmt w:val="bullet"/>
      <w:lvlText w:val="o"/>
      <w:lvlJc w:val="left"/>
      <w:pPr>
        <w:ind w:left="3960" w:hanging="360"/>
      </w:pPr>
      <w:rPr>
        <w:rFonts w:ascii="Courier New" w:hAnsi="Courier New" w:hint="default"/>
      </w:rPr>
    </w:lvl>
    <w:lvl w:ilvl="5" w:tplc="6422D55A" w:tentative="1">
      <w:start w:val="1"/>
      <w:numFmt w:val="bullet"/>
      <w:lvlText w:val=""/>
      <w:lvlJc w:val="left"/>
      <w:pPr>
        <w:ind w:left="4680" w:hanging="360"/>
      </w:pPr>
      <w:rPr>
        <w:rFonts w:ascii="Wingdings" w:hAnsi="Wingdings" w:hint="default"/>
      </w:rPr>
    </w:lvl>
    <w:lvl w:ilvl="6" w:tplc="9668A530" w:tentative="1">
      <w:start w:val="1"/>
      <w:numFmt w:val="bullet"/>
      <w:lvlText w:val=""/>
      <w:lvlJc w:val="left"/>
      <w:pPr>
        <w:ind w:left="5400" w:hanging="360"/>
      </w:pPr>
      <w:rPr>
        <w:rFonts w:ascii="Symbol" w:hAnsi="Symbol" w:hint="default"/>
      </w:rPr>
    </w:lvl>
    <w:lvl w:ilvl="7" w:tplc="9B361226" w:tentative="1">
      <w:start w:val="1"/>
      <w:numFmt w:val="bullet"/>
      <w:lvlText w:val="o"/>
      <w:lvlJc w:val="left"/>
      <w:pPr>
        <w:ind w:left="6120" w:hanging="360"/>
      </w:pPr>
      <w:rPr>
        <w:rFonts w:ascii="Courier New" w:hAnsi="Courier New" w:hint="default"/>
      </w:rPr>
    </w:lvl>
    <w:lvl w:ilvl="8" w:tplc="9E2ED1D6" w:tentative="1">
      <w:start w:val="1"/>
      <w:numFmt w:val="bullet"/>
      <w:lvlText w:val=""/>
      <w:lvlJc w:val="left"/>
      <w:pPr>
        <w:ind w:left="6840" w:hanging="360"/>
      </w:pPr>
      <w:rPr>
        <w:rFonts w:ascii="Wingdings" w:hAnsi="Wingdings" w:hint="default"/>
      </w:rPr>
    </w:lvl>
  </w:abstractNum>
  <w:abstractNum w:abstractNumId="9" w15:restartNumberingAfterBreak="0">
    <w:nsid w:val="0E2E4057"/>
    <w:multiLevelType w:val="hybridMultilevel"/>
    <w:tmpl w:val="C6D8CF10"/>
    <w:lvl w:ilvl="0" w:tplc="12521D2C">
      <w:start w:val="1"/>
      <w:numFmt w:val="bullet"/>
      <w:lvlText w:val=""/>
      <w:lvlJc w:val="left"/>
      <w:pPr>
        <w:ind w:left="720" w:hanging="360"/>
      </w:pPr>
      <w:rPr>
        <w:rFonts w:ascii="Wingdings,Sans-Serif" w:hAnsi="Wingdings,Sans-Serif" w:hint="default"/>
      </w:rPr>
    </w:lvl>
    <w:lvl w:ilvl="1" w:tplc="93CEAB26">
      <w:start w:val="1"/>
      <w:numFmt w:val="bullet"/>
      <w:lvlText w:val="o"/>
      <w:lvlJc w:val="left"/>
      <w:pPr>
        <w:ind w:left="1440" w:hanging="360"/>
      </w:pPr>
      <w:rPr>
        <w:rFonts w:ascii="Courier New" w:hAnsi="Courier New" w:hint="default"/>
      </w:rPr>
    </w:lvl>
    <w:lvl w:ilvl="2" w:tplc="6FA2183C">
      <w:start w:val="1"/>
      <w:numFmt w:val="bullet"/>
      <w:lvlText w:val=""/>
      <w:lvlJc w:val="left"/>
      <w:pPr>
        <w:ind w:left="2160" w:hanging="360"/>
      </w:pPr>
      <w:rPr>
        <w:rFonts w:ascii="Wingdings" w:hAnsi="Wingdings" w:hint="default"/>
      </w:rPr>
    </w:lvl>
    <w:lvl w:ilvl="3" w:tplc="3A1EF2B0">
      <w:start w:val="1"/>
      <w:numFmt w:val="bullet"/>
      <w:lvlText w:val=""/>
      <w:lvlJc w:val="left"/>
      <w:pPr>
        <w:ind w:left="2880" w:hanging="360"/>
      </w:pPr>
      <w:rPr>
        <w:rFonts w:ascii="Symbol" w:hAnsi="Symbol" w:hint="default"/>
      </w:rPr>
    </w:lvl>
    <w:lvl w:ilvl="4" w:tplc="039A752E">
      <w:start w:val="1"/>
      <w:numFmt w:val="bullet"/>
      <w:lvlText w:val="o"/>
      <w:lvlJc w:val="left"/>
      <w:pPr>
        <w:ind w:left="3600" w:hanging="360"/>
      </w:pPr>
      <w:rPr>
        <w:rFonts w:ascii="Courier New" w:hAnsi="Courier New" w:hint="default"/>
      </w:rPr>
    </w:lvl>
    <w:lvl w:ilvl="5" w:tplc="E0C8E89E">
      <w:start w:val="1"/>
      <w:numFmt w:val="bullet"/>
      <w:lvlText w:val=""/>
      <w:lvlJc w:val="left"/>
      <w:pPr>
        <w:ind w:left="4320" w:hanging="360"/>
      </w:pPr>
      <w:rPr>
        <w:rFonts w:ascii="Wingdings" w:hAnsi="Wingdings" w:hint="default"/>
      </w:rPr>
    </w:lvl>
    <w:lvl w:ilvl="6" w:tplc="890E861E">
      <w:start w:val="1"/>
      <w:numFmt w:val="bullet"/>
      <w:lvlText w:val=""/>
      <w:lvlJc w:val="left"/>
      <w:pPr>
        <w:ind w:left="5040" w:hanging="360"/>
      </w:pPr>
      <w:rPr>
        <w:rFonts w:ascii="Symbol" w:hAnsi="Symbol" w:hint="default"/>
      </w:rPr>
    </w:lvl>
    <w:lvl w:ilvl="7" w:tplc="9D042E52">
      <w:start w:val="1"/>
      <w:numFmt w:val="bullet"/>
      <w:lvlText w:val="o"/>
      <w:lvlJc w:val="left"/>
      <w:pPr>
        <w:ind w:left="5760" w:hanging="360"/>
      </w:pPr>
      <w:rPr>
        <w:rFonts w:ascii="Courier New" w:hAnsi="Courier New" w:hint="default"/>
      </w:rPr>
    </w:lvl>
    <w:lvl w:ilvl="8" w:tplc="87C4CA10">
      <w:start w:val="1"/>
      <w:numFmt w:val="bullet"/>
      <w:lvlText w:val=""/>
      <w:lvlJc w:val="left"/>
      <w:pPr>
        <w:ind w:left="6480" w:hanging="360"/>
      </w:pPr>
      <w:rPr>
        <w:rFonts w:ascii="Wingdings" w:hAnsi="Wingdings" w:hint="default"/>
      </w:rPr>
    </w:lvl>
  </w:abstractNum>
  <w:abstractNum w:abstractNumId="10" w15:restartNumberingAfterBreak="0">
    <w:nsid w:val="107FC37E"/>
    <w:multiLevelType w:val="hybridMultilevel"/>
    <w:tmpl w:val="EB1C432A"/>
    <w:lvl w:ilvl="0" w:tplc="214824AA">
      <w:start w:val="1"/>
      <w:numFmt w:val="bullet"/>
      <w:lvlText w:val=""/>
      <w:lvlJc w:val="left"/>
      <w:pPr>
        <w:ind w:left="720" w:hanging="360"/>
      </w:pPr>
      <w:rPr>
        <w:rFonts w:ascii="Wingdings,Sans-Serif" w:hAnsi="Wingdings,Sans-Serif" w:hint="default"/>
      </w:rPr>
    </w:lvl>
    <w:lvl w:ilvl="1" w:tplc="002AA4B6">
      <w:start w:val="1"/>
      <w:numFmt w:val="bullet"/>
      <w:lvlText w:val="o"/>
      <w:lvlJc w:val="left"/>
      <w:pPr>
        <w:ind w:left="1440" w:hanging="360"/>
      </w:pPr>
      <w:rPr>
        <w:rFonts w:ascii="Courier New" w:hAnsi="Courier New" w:hint="default"/>
      </w:rPr>
    </w:lvl>
    <w:lvl w:ilvl="2" w:tplc="655A85DA">
      <w:start w:val="1"/>
      <w:numFmt w:val="bullet"/>
      <w:lvlText w:val=""/>
      <w:lvlJc w:val="left"/>
      <w:pPr>
        <w:ind w:left="2160" w:hanging="360"/>
      </w:pPr>
      <w:rPr>
        <w:rFonts w:ascii="Wingdings" w:hAnsi="Wingdings" w:hint="default"/>
      </w:rPr>
    </w:lvl>
    <w:lvl w:ilvl="3" w:tplc="6A3A986E">
      <w:start w:val="1"/>
      <w:numFmt w:val="bullet"/>
      <w:lvlText w:val=""/>
      <w:lvlJc w:val="left"/>
      <w:pPr>
        <w:ind w:left="2880" w:hanging="360"/>
      </w:pPr>
      <w:rPr>
        <w:rFonts w:ascii="Symbol" w:hAnsi="Symbol" w:hint="default"/>
      </w:rPr>
    </w:lvl>
    <w:lvl w:ilvl="4" w:tplc="423A178E">
      <w:start w:val="1"/>
      <w:numFmt w:val="bullet"/>
      <w:lvlText w:val="o"/>
      <w:lvlJc w:val="left"/>
      <w:pPr>
        <w:ind w:left="3600" w:hanging="360"/>
      </w:pPr>
      <w:rPr>
        <w:rFonts w:ascii="Courier New" w:hAnsi="Courier New" w:hint="default"/>
      </w:rPr>
    </w:lvl>
    <w:lvl w:ilvl="5" w:tplc="EE561D12">
      <w:start w:val="1"/>
      <w:numFmt w:val="bullet"/>
      <w:lvlText w:val=""/>
      <w:lvlJc w:val="left"/>
      <w:pPr>
        <w:ind w:left="4320" w:hanging="360"/>
      </w:pPr>
      <w:rPr>
        <w:rFonts w:ascii="Wingdings" w:hAnsi="Wingdings" w:hint="default"/>
      </w:rPr>
    </w:lvl>
    <w:lvl w:ilvl="6" w:tplc="8056EFC8">
      <w:start w:val="1"/>
      <w:numFmt w:val="bullet"/>
      <w:lvlText w:val=""/>
      <w:lvlJc w:val="left"/>
      <w:pPr>
        <w:ind w:left="5040" w:hanging="360"/>
      </w:pPr>
      <w:rPr>
        <w:rFonts w:ascii="Symbol" w:hAnsi="Symbol" w:hint="default"/>
      </w:rPr>
    </w:lvl>
    <w:lvl w:ilvl="7" w:tplc="53EE5286">
      <w:start w:val="1"/>
      <w:numFmt w:val="bullet"/>
      <w:lvlText w:val="o"/>
      <w:lvlJc w:val="left"/>
      <w:pPr>
        <w:ind w:left="5760" w:hanging="360"/>
      </w:pPr>
      <w:rPr>
        <w:rFonts w:ascii="Courier New" w:hAnsi="Courier New" w:hint="default"/>
      </w:rPr>
    </w:lvl>
    <w:lvl w:ilvl="8" w:tplc="47446F56">
      <w:start w:val="1"/>
      <w:numFmt w:val="bullet"/>
      <w:lvlText w:val=""/>
      <w:lvlJc w:val="left"/>
      <w:pPr>
        <w:ind w:left="6480" w:hanging="360"/>
      </w:pPr>
      <w:rPr>
        <w:rFonts w:ascii="Wingdings" w:hAnsi="Wingdings" w:hint="default"/>
      </w:rPr>
    </w:lvl>
  </w:abstractNum>
  <w:abstractNum w:abstractNumId="11" w15:restartNumberingAfterBreak="0">
    <w:nsid w:val="10C150F9"/>
    <w:multiLevelType w:val="hybridMultilevel"/>
    <w:tmpl w:val="FFFFFFFF"/>
    <w:lvl w:ilvl="0" w:tplc="E872DEDA">
      <w:start w:val="1"/>
      <w:numFmt w:val="bullet"/>
      <w:lvlText w:val=""/>
      <w:lvlJc w:val="left"/>
      <w:pPr>
        <w:ind w:left="720" w:hanging="360"/>
      </w:pPr>
      <w:rPr>
        <w:rFonts w:ascii="Symbol" w:hAnsi="Symbol" w:hint="default"/>
      </w:rPr>
    </w:lvl>
    <w:lvl w:ilvl="1" w:tplc="E72410FE">
      <w:start w:val="1"/>
      <w:numFmt w:val="bullet"/>
      <w:lvlText w:val="o"/>
      <w:lvlJc w:val="left"/>
      <w:pPr>
        <w:ind w:left="1440" w:hanging="360"/>
      </w:pPr>
      <w:rPr>
        <w:rFonts w:ascii="Courier New" w:hAnsi="Courier New" w:hint="default"/>
      </w:rPr>
    </w:lvl>
    <w:lvl w:ilvl="2" w:tplc="618CB5DC">
      <w:start w:val="1"/>
      <w:numFmt w:val="bullet"/>
      <w:lvlText w:val=""/>
      <w:lvlJc w:val="left"/>
      <w:pPr>
        <w:ind w:left="2160" w:hanging="360"/>
      </w:pPr>
      <w:rPr>
        <w:rFonts w:ascii="Wingdings" w:hAnsi="Wingdings" w:hint="default"/>
      </w:rPr>
    </w:lvl>
    <w:lvl w:ilvl="3" w:tplc="5FACE896">
      <w:start w:val="1"/>
      <w:numFmt w:val="bullet"/>
      <w:lvlText w:val=""/>
      <w:lvlJc w:val="left"/>
      <w:pPr>
        <w:ind w:left="2880" w:hanging="360"/>
      </w:pPr>
      <w:rPr>
        <w:rFonts w:ascii="Symbol" w:hAnsi="Symbol" w:hint="default"/>
      </w:rPr>
    </w:lvl>
    <w:lvl w:ilvl="4" w:tplc="88606A90">
      <w:start w:val="1"/>
      <w:numFmt w:val="bullet"/>
      <w:lvlText w:val="o"/>
      <w:lvlJc w:val="left"/>
      <w:pPr>
        <w:ind w:left="3600" w:hanging="360"/>
      </w:pPr>
      <w:rPr>
        <w:rFonts w:ascii="Courier New" w:hAnsi="Courier New" w:hint="default"/>
      </w:rPr>
    </w:lvl>
    <w:lvl w:ilvl="5" w:tplc="74509B54">
      <w:start w:val="1"/>
      <w:numFmt w:val="bullet"/>
      <w:lvlText w:val=""/>
      <w:lvlJc w:val="left"/>
      <w:pPr>
        <w:ind w:left="4320" w:hanging="360"/>
      </w:pPr>
      <w:rPr>
        <w:rFonts w:ascii="Wingdings" w:hAnsi="Wingdings" w:hint="default"/>
      </w:rPr>
    </w:lvl>
    <w:lvl w:ilvl="6" w:tplc="6BE252F2">
      <w:start w:val="1"/>
      <w:numFmt w:val="bullet"/>
      <w:lvlText w:val=""/>
      <w:lvlJc w:val="left"/>
      <w:pPr>
        <w:ind w:left="5040" w:hanging="360"/>
      </w:pPr>
      <w:rPr>
        <w:rFonts w:ascii="Symbol" w:hAnsi="Symbol" w:hint="default"/>
      </w:rPr>
    </w:lvl>
    <w:lvl w:ilvl="7" w:tplc="8D84A170">
      <w:start w:val="1"/>
      <w:numFmt w:val="bullet"/>
      <w:lvlText w:val="o"/>
      <w:lvlJc w:val="left"/>
      <w:pPr>
        <w:ind w:left="5760" w:hanging="360"/>
      </w:pPr>
      <w:rPr>
        <w:rFonts w:ascii="Courier New" w:hAnsi="Courier New" w:hint="default"/>
      </w:rPr>
    </w:lvl>
    <w:lvl w:ilvl="8" w:tplc="D65E52E6">
      <w:start w:val="1"/>
      <w:numFmt w:val="bullet"/>
      <w:lvlText w:val=""/>
      <w:lvlJc w:val="left"/>
      <w:pPr>
        <w:ind w:left="6480" w:hanging="360"/>
      </w:pPr>
      <w:rPr>
        <w:rFonts w:ascii="Wingdings" w:hAnsi="Wingdings" w:hint="default"/>
      </w:rPr>
    </w:lvl>
  </w:abstractNum>
  <w:abstractNum w:abstractNumId="12" w15:restartNumberingAfterBreak="0">
    <w:nsid w:val="10F662CB"/>
    <w:multiLevelType w:val="hybridMultilevel"/>
    <w:tmpl w:val="DEA28526"/>
    <w:lvl w:ilvl="0" w:tplc="6F1E4034">
      <w:numFmt w:val="bullet"/>
      <w:lvlText w:val="-"/>
      <w:lvlJc w:val="left"/>
      <w:pPr>
        <w:ind w:left="1068" w:hanging="360"/>
      </w:pPr>
      <w:rPr>
        <w:rFonts w:ascii="Arial" w:hAnsi="Arial" w:hint="default"/>
        <w:color w:val="auto"/>
      </w:rPr>
    </w:lvl>
    <w:lvl w:ilvl="1" w:tplc="6464F062" w:tentative="1">
      <w:start w:val="1"/>
      <w:numFmt w:val="bullet"/>
      <w:lvlText w:val="o"/>
      <w:lvlJc w:val="left"/>
      <w:pPr>
        <w:ind w:left="1788" w:hanging="360"/>
      </w:pPr>
      <w:rPr>
        <w:rFonts w:ascii="Courier New" w:hAnsi="Courier New" w:hint="default"/>
      </w:rPr>
    </w:lvl>
    <w:lvl w:ilvl="2" w:tplc="752ECD06" w:tentative="1">
      <w:start w:val="1"/>
      <w:numFmt w:val="bullet"/>
      <w:lvlText w:val=""/>
      <w:lvlJc w:val="left"/>
      <w:pPr>
        <w:ind w:left="2508" w:hanging="360"/>
      </w:pPr>
      <w:rPr>
        <w:rFonts w:ascii="Wingdings" w:hAnsi="Wingdings" w:hint="default"/>
      </w:rPr>
    </w:lvl>
    <w:lvl w:ilvl="3" w:tplc="FE2A5DA2" w:tentative="1">
      <w:start w:val="1"/>
      <w:numFmt w:val="bullet"/>
      <w:lvlText w:val=""/>
      <w:lvlJc w:val="left"/>
      <w:pPr>
        <w:ind w:left="3228" w:hanging="360"/>
      </w:pPr>
      <w:rPr>
        <w:rFonts w:ascii="Symbol" w:hAnsi="Symbol" w:hint="default"/>
      </w:rPr>
    </w:lvl>
    <w:lvl w:ilvl="4" w:tplc="9BE4E28E" w:tentative="1">
      <w:start w:val="1"/>
      <w:numFmt w:val="bullet"/>
      <w:lvlText w:val="o"/>
      <w:lvlJc w:val="left"/>
      <w:pPr>
        <w:ind w:left="3948" w:hanging="360"/>
      </w:pPr>
      <w:rPr>
        <w:rFonts w:ascii="Courier New" w:hAnsi="Courier New" w:hint="default"/>
      </w:rPr>
    </w:lvl>
    <w:lvl w:ilvl="5" w:tplc="0CB830E0" w:tentative="1">
      <w:start w:val="1"/>
      <w:numFmt w:val="bullet"/>
      <w:lvlText w:val=""/>
      <w:lvlJc w:val="left"/>
      <w:pPr>
        <w:ind w:left="4668" w:hanging="360"/>
      </w:pPr>
      <w:rPr>
        <w:rFonts w:ascii="Wingdings" w:hAnsi="Wingdings" w:hint="default"/>
      </w:rPr>
    </w:lvl>
    <w:lvl w:ilvl="6" w:tplc="6C045EDE" w:tentative="1">
      <w:start w:val="1"/>
      <w:numFmt w:val="bullet"/>
      <w:lvlText w:val=""/>
      <w:lvlJc w:val="left"/>
      <w:pPr>
        <w:ind w:left="5388" w:hanging="360"/>
      </w:pPr>
      <w:rPr>
        <w:rFonts w:ascii="Symbol" w:hAnsi="Symbol" w:hint="default"/>
      </w:rPr>
    </w:lvl>
    <w:lvl w:ilvl="7" w:tplc="041CF82A" w:tentative="1">
      <w:start w:val="1"/>
      <w:numFmt w:val="bullet"/>
      <w:lvlText w:val="o"/>
      <w:lvlJc w:val="left"/>
      <w:pPr>
        <w:ind w:left="6108" w:hanging="360"/>
      </w:pPr>
      <w:rPr>
        <w:rFonts w:ascii="Courier New" w:hAnsi="Courier New" w:hint="default"/>
      </w:rPr>
    </w:lvl>
    <w:lvl w:ilvl="8" w:tplc="04EAC5DA" w:tentative="1">
      <w:start w:val="1"/>
      <w:numFmt w:val="bullet"/>
      <w:lvlText w:val=""/>
      <w:lvlJc w:val="left"/>
      <w:pPr>
        <w:ind w:left="6828" w:hanging="360"/>
      </w:pPr>
      <w:rPr>
        <w:rFonts w:ascii="Wingdings" w:hAnsi="Wingdings" w:hint="default"/>
      </w:rPr>
    </w:lvl>
  </w:abstractNum>
  <w:abstractNum w:abstractNumId="13" w15:restartNumberingAfterBreak="0">
    <w:nsid w:val="113A8D0B"/>
    <w:multiLevelType w:val="hybridMultilevel"/>
    <w:tmpl w:val="F52C6212"/>
    <w:lvl w:ilvl="0" w:tplc="CE9E2EBA">
      <w:start w:val="1"/>
      <w:numFmt w:val="bullet"/>
      <w:lvlText w:val=""/>
      <w:lvlJc w:val="left"/>
      <w:pPr>
        <w:ind w:left="720" w:hanging="360"/>
      </w:pPr>
      <w:rPr>
        <w:rFonts w:ascii="Wingdings,Sans-Serif" w:hAnsi="Wingdings,Sans-Serif" w:hint="default"/>
      </w:rPr>
    </w:lvl>
    <w:lvl w:ilvl="1" w:tplc="FF2A98F2">
      <w:start w:val="1"/>
      <w:numFmt w:val="bullet"/>
      <w:lvlText w:val="o"/>
      <w:lvlJc w:val="left"/>
      <w:pPr>
        <w:ind w:left="1440" w:hanging="360"/>
      </w:pPr>
      <w:rPr>
        <w:rFonts w:ascii="Courier New" w:hAnsi="Courier New" w:hint="default"/>
      </w:rPr>
    </w:lvl>
    <w:lvl w:ilvl="2" w:tplc="E8189C8C">
      <w:start w:val="1"/>
      <w:numFmt w:val="bullet"/>
      <w:lvlText w:val=""/>
      <w:lvlJc w:val="left"/>
      <w:pPr>
        <w:ind w:left="2160" w:hanging="360"/>
      </w:pPr>
      <w:rPr>
        <w:rFonts w:ascii="Wingdings" w:hAnsi="Wingdings" w:hint="default"/>
      </w:rPr>
    </w:lvl>
    <w:lvl w:ilvl="3" w:tplc="17A69C16">
      <w:start w:val="1"/>
      <w:numFmt w:val="bullet"/>
      <w:lvlText w:val=""/>
      <w:lvlJc w:val="left"/>
      <w:pPr>
        <w:ind w:left="2880" w:hanging="360"/>
      </w:pPr>
      <w:rPr>
        <w:rFonts w:ascii="Symbol" w:hAnsi="Symbol" w:hint="default"/>
      </w:rPr>
    </w:lvl>
    <w:lvl w:ilvl="4" w:tplc="78F4CD50">
      <w:start w:val="1"/>
      <w:numFmt w:val="bullet"/>
      <w:lvlText w:val="o"/>
      <w:lvlJc w:val="left"/>
      <w:pPr>
        <w:ind w:left="3600" w:hanging="360"/>
      </w:pPr>
      <w:rPr>
        <w:rFonts w:ascii="Courier New" w:hAnsi="Courier New" w:hint="default"/>
      </w:rPr>
    </w:lvl>
    <w:lvl w:ilvl="5" w:tplc="16AC2718">
      <w:start w:val="1"/>
      <w:numFmt w:val="bullet"/>
      <w:lvlText w:val=""/>
      <w:lvlJc w:val="left"/>
      <w:pPr>
        <w:ind w:left="4320" w:hanging="360"/>
      </w:pPr>
      <w:rPr>
        <w:rFonts w:ascii="Wingdings" w:hAnsi="Wingdings" w:hint="default"/>
      </w:rPr>
    </w:lvl>
    <w:lvl w:ilvl="6" w:tplc="29308078">
      <w:start w:val="1"/>
      <w:numFmt w:val="bullet"/>
      <w:lvlText w:val=""/>
      <w:lvlJc w:val="left"/>
      <w:pPr>
        <w:ind w:left="5040" w:hanging="360"/>
      </w:pPr>
      <w:rPr>
        <w:rFonts w:ascii="Symbol" w:hAnsi="Symbol" w:hint="default"/>
      </w:rPr>
    </w:lvl>
    <w:lvl w:ilvl="7" w:tplc="FD42573E">
      <w:start w:val="1"/>
      <w:numFmt w:val="bullet"/>
      <w:lvlText w:val="o"/>
      <w:lvlJc w:val="left"/>
      <w:pPr>
        <w:ind w:left="5760" w:hanging="360"/>
      </w:pPr>
      <w:rPr>
        <w:rFonts w:ascii="Courier New" w:hAnsi="Courier New" w:hint="default"/>
      </w:rPr>
    </w:lvl>
    <w:lvl w:ilvl="8" w:tplc="601EBF32">
      <w:start w:val="1"/>
      <w:numFmt w:val="bullet"/>
      <w:lvlText w:val=""/>
      <w:lvlJc w:val="left"/>
      <w:pPr>
        <w:ind w:left="6480" w:hanging="360"/>
      </w:pPr>
      <w:rPr>
        <w:rFonts w:ascii="Wingdings" w:hAnsi="Wingdings" w:hint="default"/>
      </w:rPr>
    </w:lvl>
  </w:abstractNum>
  <w:abstractNum w:abstractNumId="14" w15:restartNumberingAfterBreak="0">
    <w:nsid w:val="15BB4942"/>
    <w:multiLevelType w:val="hybridMultilevel"/>
    <w:tmpl w:val="33FCD670"/>
    <w:lvl w:ilvl="0" w:tplc="FFFFFFFF">
      <w:start w:val="1"/>
      <w:numFmt w:val="bullet"/>
      <w:lvlText w:val=""/>
      <w:lvlJc w:val="left"/>
      <w:pPr>
        <w:ind w:left="720" w:hanging="360"/>
      </w:pPr>
      <w:rPr>
        <w:rFonts w:ascii="Symbol" w:hAnsi="Symbol" w:hint="default"/>
        <w:color w:val="auto"/>
      </w:rPr>
    </w:lvl>
    <w:lvl w:ilvl="1" w:tplc="864CA57E">
      <w:numFmt w:val="bullet"/>
      <w:lvlText w:val="-"/>
      <w:lvlJc w:val="left"/>
      <w:pPr>
        <w:ind w:left="1440" w:hanging="360"/>
      </w:pPr>
      <w:rPr>
        <w:rFonts w:ascii="Verdana" w:eastAsiaTheme="minorHAnsi" w:hAnsi="Verdana" w:cstheme="minorBid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9B90D97"/>
    <w:multiLevelType w:val="hybridMultilevel"/>
    <w:tmpl w:val="12EC53F8"/>
    <w:lvl w:ilvl="0" w:tplc="77B85A72">
      <w:start w:val="1"/>
      <w:numFmt w:val="bullet"/>
      <w:lvlText w:val=""/>
      <w:lvlJc w:val="left"/>
      <w:pPr>
        <w:ind w:left="720" w:hanging="360"/>
      </w:pPr>
      <w:rPr>
        <w:rFonts w:ascii="Symbol" w:hAnsi="Symbol" w:hint="default"/>
      </w:rPr>
    </w:lvl>
    <w:lvl w:ilvl="1" w:tplc="57DE57BC" w:tentative="1">
      <w:start w:val="1"/>
      <w:numFmt w:val="bullet"/>
      <w:lvlText w:val="o"/>
      <w:lvlJc w:val="left"/>
      <w:pPr>
        <w:ind w:left="1440" w:hanging="360"/>
      </w:pPr>
      <w:rPr>
        <w:rFonts w:ascii="Courier New" w:hAnsi="Courier New" w:hint="default"/>
      </w:rPr>
    </w:lvl>
    <w:lvl w:ilvl="2" w:tplc="5322CFCC" w:tentative="1">
      <w:start w:val="1"/>
      <w:numFmt w:val="bullet"/>
      <w:lvlText w:val=""/>
      <w:lvlJc w:val="left"/>
      <w:pPr>
        <w:ind w:left="2160" w:hanging="360"/>
      </w:pPr>
      <w:rPr>
        <w:rFonts w:ascii="Wingdings" w:hAnsi="Wingdings" w:hint="default"/>
      </w:rPr>
    </w:lvl>
    <w:lvl w:ilvl="3" w:tplc="654C895A" w:tentative="1">
      <w:start w:val="1"/>
      <w:numFmt w:val="bullet"/>
      <w:lvlText w:val=""/>
      <w:lvlJc w:val="left"/>
      <w:pPr>
        <w:ind w:left="2880" w:hanging="360"/>
      </w:pPr>
      <w:rPr>
        <w:rFonts w:ascii="Symbol" w:hAnsi="Symbol" w:hint="default"/>
      </w:rPr>
    </w:lvl>
    <w:lvl w:ilvl="4" w:tplc="A1166AC4" w:tentative="1">
      <w:start w:val="1"/>
      <w:numFmt w:val="bullet"/>
      <w:lvlText w:val="o"/>
      <w:lvlJc w:val="left"/>
      <w:pPr>
        <w:ind w:left="3600" w:hanging="360"/>
      </w:pPr>
      <w:rPr>
        <w:rFonts w:ascii="Courier New" w:hAnsi="Courier New" w:hint="default"/>
      </w:rPr>
    </w:lvl>
    <w:lvl w:ilvl="5" w:tplc="4B800520" w:tentative="1">
      <w:start w:val="1"/>
      <w:numFmt w:val="bullet"/>
      <w:lvlText w:val=""/>
      <w:lvlJc w:val="left"/>
      <w:pPr>
        <w:ind w:left="4320" w:hanging="360"/>
      </w:pPr>
      <w:rPr>
        <w:rFonts w:ascii="Wingdings" w:hAnsi="Wingdings" w:hint="default"/>
      </w:rPr>
    </w:lvl>
    <w:lvl w:ilvl="6" w:tplc="DFB6C9B8" w:tentative="1">
      <w:start w:val="1"/>
      <w:numFmt w:val="bullet"/>
      <w:lvlText w:val=""/>
      <w:lvlJc w:val="left"/>
      <w:pPr>
        <w:ind w:left="5040" w:hanging="360"/>
      </w:pPr>
      <w:rPr>
        <w:rFonts w:ascii="Symbol" w:hAnsi="Symbol" w:hint="default"/>
      </w:rPr>
    </w:lvl>
    <w:lvl w:ilvl="7" w:tplc="2A9867C2" w:tentative="1">
      <w:start w:val="1"/>
      <w:numFmt w:val="bullet"/>
      <w:lvlText w:val="o"/>
      <w:lvlJc w:val="left"/>
      <w:pPr>
        <w:ind w:left="5760" w:hanging="360"/>
      </w:pPr>
      <w:rPr>
        <w:rFonts w:ascii="Courier New" w:hAnsi="Courier New" w:hint="default"/>
      </w:rPr>
    </w:lvl>
    <w:lvl w:ilvl="8" w:tplc="1D0A5AA2" w:tentative="1">
      <w:start w:val="1"/>
      <w:numFmt w:val="bullet"/>
      <w:lvlText w:val=""/>
      <w:lvlJc w:val="left"/>
      <w:pPr>
        <w:ind w:left="6480" w:hanging="360"/>
      </w:pPr>
      <w:rPr>
        <w:rFonts w:ascii="Wingdings" w:hAnsi="Wingdings" w:hint="default"/>
      </w:rPr>
    </w:lvl>
  </w:abstractNum>
  <w:abstractNum w:abstractNumId="16" w15:restartNumberingAfterBreak="0">
    <w:nsid w:val="19CC3AC9"/>
    <w:multiLevelType w:val="hybridMultilevel"/>
    <w:tmpl w:val="91E47CB8"/>
    <w:lvl w:ilvl="0" w:tplc="24DEC664">
      <w:start w:val="1"/>
      <w:numFmt w:val="bullet"/>
      <w:lvlText w:val=""/>
      <w:lvlJc w:val="left"/>
      <w:pPr>
        <w:ind w:left="720" w:hanging="360"/>
      </w:pPr>
      <w:rPr>
        <w:rFonts w:ascii="Wingdings,Sans-Serif" w:hAnsi="Wingdings,Sans-Serif" w:hint="default"/>
      </w:rPr>
    </w:lvl>
    <w:lvl w:ilvl="1" w:tplc="847864E4">
      <w:start w:val="1"/>
      <w:numFmt w:val="bullet"/>
      <w:lvlText w:val="o"/>
      <w:lvlJc w:val="left"/>
      <w:pPr>
        <w:ind w:left="1440" w:hanging="360"/>
      </w:pPr>
      <w:rPr>
        <w:rFonts w:ascii="Courier New" w:hAnsi="Courier New" w:hint="default"/>
      </w:rPr>
    </w:lvl>
    <w:lvl w:ilvl="2" w:tplc="D7289DA2">
      <w:start w:val="1"/>
      <w:numFmt w:val="bullet"/>
      <w:lvlText w:val=""/>
      <w:lvlJc w:val="left"/>
      <w:pPr>
        <w:ind w:left="2160" w:hanging="360"/>
      </w:pPr>
      <w:rPr>
        <w:rFonts w:ascii="Wingdings" w:hAnsi="Wingdings" w:hint="default"/>
      </w:rPr>
    </w:lvl>
    <w:lvl w:ilvl="3" w:tplc="B7A2772A">
      <w:start w:val="1"/>
      <w:numFmt w:val="bullet"/>
      <w:lvlText w:val=""/>
      <w:lvlJc w:val="left"/>
      <w:pPr>
        <w:ind w:left="2880" w:hanging="360"/>
      </w:pPr>
      <w:rPr>
        <w:rFonts w:ascii="Symbol" w:hAnsi="Symbol" w:hint="default"/>
      </w:rPr>
    </w:lvl>
    <w:lvl w:ilvl="4" w:tplc="1458ED54">
      <w:start w:val="1"/>
      <w:numFmt w:val="bullet"/>
      <w:lvlText w:val="o"/>
      <w:lvlJc w:val="left"/>
      <w:pPr>
        <w:ind w:left="3600" w:hanging="360"/>
      </w:pPr>
      <w:rPr>
        <w:rFonts w:ascii="Courier New" w:hAnsi="Courier New" w:hint="default"/>
      </w:rPr>
    </w:lvl>
    <w:lvl w:ilvl="5" w:tplc="674E9C5E">
      <w:start w:val="1"/>
      <w:numFmt w:val="bullet"/>
      <w:lvlText w:val=""/>
      <w:lvlJc w:val="left"/>
      <w:pPr>
        <w:ind w:left="4320" w:hanging="360"/>
      </w:pPr>
      <w:rPr>
        <w:rFonts w:ascii="Wingdings" w:hAnsi="Wingdings" w:hint="default"/>
      </w:rPr>
    </w:lvl>
    <w:lvl w:ilvl="6" w:tplc="3DB25ABE">
      <w:start w:val="1"/>
      <w:numFmt w:val="bullet"/>
      <w:lvlText w:val=""/>
      <w:lvlJc w:val="left"/>
      <w:pPr>
        <w:ind w:left="5040" w:hanging="360"/>
      </w:pPr>
      <w:rPr>
        <w:rFonts w:ascii="Symbol" w:hAnsi="Symbol" w:hint="default"/>
      </w:rPr>
    </w:lvl>
    <w:lvl w:ilvl="7" w:tplc="B4A6E598">
      <w:start w:val="1"/>
      <w:numFmt w:val="bullet"/>
      <w:lvlText w:val="o"/>
      <w:lvlJc w:val="left"/>
      <w:pPr>
        <w:ind w:left="5760" w:hanging="360"/>
      </w:pPr>
      <w:rPr>
        <w:rFonts w:ascii="Courier New" w:hAnsi="Courier New" w:hint="default"/>
      </w:rPr>
    </w:lvl>
    <w:lvl w:ilvl="8" w:tplc="7804A4DE">
      <w:start w:val="1"/>
      <w:numFmt w:val="bullet"/>
      <w:lvlText w:val=""/>
      <w:lvlJc w:val="left"/>
      <w:pPr>
        <w:ind w:left="6480" w:hanging="360"/>
      </w:pPr>
      <w:rPr>
        <w:rFonts w:ascii="Wingdings" w:hAnsi="Wingdings" w:hint="default"/>
      </w:rPr>
    </w:lvl>
  </w:abstractNum>
  <w:abstractNum w:abstractNumId="17" w15:restartNumberingAfterBreak="0">
    <w:nsid w:val="19D410DB"/>
    <w:multiLevelType w:val="hybridMultilevel"/>
    <w:tmpl w:val="7F30CB26"/>
    <w:lvl w:ilvl="0" w:tplc="3D429596">
      <w:start w:val="1"/>
      <w:numFmt w:val="bullet"/>
      <w:lvlText w:val=""/>
      <w:lvlJc w:val="left"/>
      <w:pPr>
        <w:ind w:left="720" w:hanging="360"/>
      </w:pPr>
      <w:rPr>
        <w:rFonts w:ascii="Symbol" w:hAnsi="Symbol" w:hint="default"/>
      </w:rPr>
    </w:lvl>
    <w:lvl w:ilvl="1" w:tplc="0F4ADBDC" w:tentative="1">
      <w:start w:val="1"/>
      <w:numFmt w:val="bullet"/>
      <w:lvlText w:val="o"/>
      <w:lvlJc w:val="left"/>
      <w:pPr>
        <w:ind w:left="1440" w:hanging="360"/>
      </w:pPr>
      <w:rPr>
        <w:rFonts w:ascii="Courier New" w:hAnsi="Courier New" w:hint="default"/>
      </w:rPr>
    </w:lvl>
    <w:lvl w:ilvl="2" w:tplc="20D00C8A" w:tentative="1">
      <w:start w:val="1"/>
      <w:numFmt w:val="bullet"/>
      <w:lvlText w:val=""/>
      <w:lvlJc w:val="left"/>
      <w:pPr>
        <w:ind w:left="2160" w:hanging="360"/>
      </w:pPr>
      <w:rPr>
        <w:rFonts w:ascii="Wingdings" w:hAnsi="Wingdings" w:hint="default"/>
      </w:rPr>
    </w:lvl>
    <w:lvl w:ilvl="3" w:tplc="65142F22" w:tentative="1">
      <w:start w:val="1"/>
      <w:numFmt w:val="bullet"/>
      <w:lvlText w:val=""/>
      <w:lvlJc w:val="left"/>
      <w:pPr>
        <w:ind w:left="2880" w:hanging="360"/>
      </w:pPr>
      <w:rPr>
        <w:rFonts w:ascii="Symbol" w:hAnsi="Symbol" w:hint="default"/>
      </w:rPr>
    </w:lvl>
    <w:lvl w:ilvl="4" w:tplc="8C2E5544" w:tentative="1">
      <w:start w:val="1"/>
      <w:numFmt w:val="bullet"/>
      <w:lvlText w:val="o"/>
      <w:lvlJc w:val="left"/>
      <w:pPr>
        <w:ind w:left="3600" w:hanging="360"/>
      </w:pPr>
      <w:rPr>
        <w:rFonts w:ascii="Courier New" w:hAnsi="Courier New" w:hint="default"/>
      </w:rPr>
    </w:lvl>
    <w:lvl w:ilvl="5" w:tplc="9F9CD4D6" w:tentative="1">
      <w:start w:val="1"/>
      <w:numFmt w:val="bullet"/>
      <w:lvlText w:val=""/>
      <w:lvlJc w:val="left"/>
      <w:pPr>
        <w:ind w:left="4320" w:hanging="360"/>
      </w:pPr>
      <w:rPr>
        <w:rFonts w:ascii="Wingdings" w:hAnsi="Wingdings" w:hint="default"/>
      </w:rPr>
    </w:lvl>
    <w:lvl w:ilvl="6" w:tplc="AC5AA6BE" w:tentative="1">
      <w:start w:val="1"/>
      <w:numFmt w:val="bullet"/>
      <w:lvlText w:val=""/>
      <w:lvlJc w:val="left"/>
      <w:pPr>
        <w:ind w:left="5040" w:hanging="360"/>
      </w:pPr>
      <w:rPr>
        <w:rFonts w:ascii="Symbol" w:hAnsi="Symbol" w:hint="default"/>
      </w:rPr>
    </w:lvl>
    <w:lvl w:ilvl="7" w:tplc="62584390" w:tentative="1">
      <w:start w:val="1"/>
      <w:numFmt w:val="bullet"/>
      <w:lvlText w:val="o"/>
      <w:lvlJc w:val="left"/>
      <w:pPr>
        <w:ind w:left="5760" w:hanging="360"/>
      </w:pPr>
      <w:rPr>
        <w:rFonts w:ascii="Courier New" w:hAnsi="Courier New" w:hint="default"/>
      </w:rPr>
    </w:lvl>
    <w:lvl w:ilvl="8" w:tplc="45CCF97E" w:tentative="1">
      <w:start w:val="1"/>
      <w:numFmt w:val="bullet"/>
      <w:lvlText w:val=""/>
      <w:lvlJc w:val="left"/>
      <w:pPr>
        <w:ind w:left="6480" w:hanging="360"/>
      </w:pPr>
      <w:rPr>
        <w:rFonts w:ascii="Wingdings" w:hAnsi="Wingdings" w:hint="default"/>
      </w:rPr>
    </w:lvl>
  </w:abstractNum>
  <w:abstractNum w:abstractNumId="18" w15:restartNumberingAfterBreak="0">
    <w:nsid w:val="1C80257C"/>
    <w:multiLevelType w:val="hybridMultilevel"/>
    <w:tmpl w:val="379A82BE"/>
    <w:lvl w:ilvl="0" w:tplc="38D6D086">
      <w:start w:val="1"/>
      <w:numFmt w:val="bullet"/>
      <w:lvlText w:val=""/>
      <w:lvlJc w:val="left"/>
      <w:pPr>
        <w:ind w:left="720" w:hanging="360"/>
      </w:pPr>
      <w:rPr>
        <w:rFonts w:ascii="Wingdings,Sans-Serif" w:hAnsi="Wingdings,Sans-Serif" w:hint="default"/>
      </w:rPr>
    </w:lvl>
    <w:lvl w:ilvl="1" w:tplc="65D4D6EC">
      <w:start w:val="1"/>
      <w:numFmt w:val="bullet"/>
      <w:lvlText w:val="o"/>
      <w:lvlJc w:val="left"/>
      <w:pPr>
        <w:ind w:left="1440" w:hanging="360"/>
      </w:pPr>
      <w:rPr>
        <w:rFonts w:ascii="Courier New" w:hAnsi="Courier New" w:hint="default"/>
      </w:rPr>
    </w:lvl>
    <w:lvl w:ilvl="2" w:tplc="D8DE5A12">
      <w:start w:val="1"/>
      <w:numFmt w:val="bullet"/>
      <w:lvlText w:val=""/>
      <w:lvlJc w:val="left"/>
      <w:pPr>
        <w:ind w:left="2160" w:hanging="360"/>
      </w:pPr>
      <w:rPr>
        <w:rFonts w:ascii="Wingdings" w:hAnsi="Wingdings" w:hint="default"/>
      </w:rPr>
    </w:lvl>
    <w:lvl w:ilvl="3" w:tplc="FF388EF4">
      <w:start w:val="1"/>
      <w:numFmt w:val="bullet"/>
      <w:lvlText w:val=""/>
      <w:lvlJc w:val="left"/>
      <w:pPr>
        <w:ind w:left="2880" w:hanging="360"/>
      </w:pPr>
      <w:rPr>
        <w:rFonts w:ascii="Symbol" w:hAnsi="Symbol" w:hint="default"/>
      </w:rPr>
    </w:lvl>
    <w:lvl w:ilvl="4" w:tplc="9B4E83D4">
      <w:start w:val="1"/>
      <w:numFmt w:val="bullet"/>
      <w:lvlText w:val="o"/>
      <w:lvlJc w:val="left"/>
      <w:pPr>
        <w:ind w:left="3600" w:hanging="360"/>
      </w:pPr>
      <w:rPr>
        <w:rFonts w:ascii="Courier New" w:hAnsi="Courier New" w:hint="default"/>
      </w:rPr>
    </w:lvl>
    <w:lvl w:ilvl="5" w:tplc="E4E020E4">
      <w:start w:val="1"/>
      <w:numFmt w:val="bullet"/>
      <w:lvlText w:val=""/>
      <w:lvlJc w:val="left"/>
      <w:pPr>
        <w:ind w:left="4320" w:hanging="360"/>
      </w:pPr>
      <w:rPr>
        <w:rFonts w:ascii="Wingdings" w:hAnsi="Wingdings" w:hint="default"/>
      </w:rPr>
    </w:lvl>
    <w:lvl w:ilvl="6" w:tplc="4574D922">
      <w:start w:val="1"/>
      <w:numFmt w:val="bullet"/>
      <w:lvlText w:val=""/>
      <w:lvlJc w:val="left"/>
      <w:pPr>
        <w:ind w:left="5040" w:hanging="360"/>
      </w:pPr>
      <w:rPr>
        <w:rFonts w:ascii="Symbol" w:hAnsi="Symbol" w:hint="default"/>
      </w:rPr>
    </w:lvl>
    <w:lvl w:ilvl="7" w:tplc="8986636E">
      <w:start w:val="1"/>
      <w:numFmt w:val="bullet"/>
      <w:lvlText w:val="o"/>
      <w:lvlJc w:val="left"/>
      <w:pPr>
        <w:ind w:left="5760" w:hanging="360"/>
      </w:pPr>
      <w:rPr>
        <w:rFonts w:ascii="Courier New" w:hAnsi="Courier New" w:hint="default"/>
      </w:rPr>
    </w:lvl>
    <w:lvl w:ilvl="8" w:tplc="EA76664C">
      <w:start w:val="1"/>
      <w:numFmt w:val="bullet"/>
      <w:lvlText w:val=""/>
      <w:lvlJc w:val="left"/>
      <w:pPr>
        <w:ind w:left="6480" w:hanging="360"/>
      </w:pPr>
      <w:rPr>
        <w:rFonts w:ascii="Wingdings" w:hAnsi="Wingdings" w:hint="default"/>
      </w:rPr>
    </w:lvl>
  </w:abstractNum>
  <w:abstractNum w:abstractNumId="19" w15:restartNumberingAfterBreak="0">
    <w:nsid w:val="1D188094"/>
    <w:multiLevelType w:val="hybridMultilevel"/>
    <w:tmpl w:val="7EF4D1F2"/>
    <w:lvl w:ilvl="0" w:tplc="B5447372">
      <w:start w:val="1"/>
      <w:numFmt w:val="bullet"/>
      <w:lvlText w:val=""/>
      <w:lvlJc w:val="left"/>
      <w:pPr>
        <w:ind w:left="720" w:hanging="360"/>
      </w:pPr>
      <w:rPr>
        <w:rFonts w:ascii="Wingdings,Sans-Serif" w:hAnsi="Wingdings,Sans-Serif" w:hint="default"/>
      </w:rPr>
    </w:lvl>
    <w:lvl w:ilvl="1" w:tplc="5CB616CC">
      <w:start w:val="1"/>
      <w:numFmt w:val="bullet"/>
      <w:lvlText w:val="o"/>
      <w:lvlJc w:val="left"/>
      <w:pPr>
        <w:ind w:left="1440" w:hanging="360"/>
      </w:pPr>
      <w:rPr>
        <w:rFonts w:ascii="Courier New" w:hAnsi="Courier New" w:hint="default"/>
      </w:rPr>
    </w:lvl>
    <w:lvl w:ilvl="2" w:tplc="D2ACB5B2">
      <w:start w:val="1"/>
      <w:numFmt w:val="bullet"/>
      <w:lvlText w:val=""/>
      <w:lvlJc w:val="left"/>
      <w:pPr>
        <w:ind w:left="2160" w:hanging="360"/>
      </w:pPr>
      <w:rPr>
        <w:rFonts w:ascii="Wingdings" w:hAnsi="Wingdings" w:hint="default"/>
      </w:rPr>
    </w:lvl>
    <w:lvl w:ilvl="3" w:tplc="05A4C54E">
      <w:start w:val="1"/>
      <w:numFmt w:val="bullet"/>
      <w:lvlText w:val=""/>
      <w:lvlJc w:val="left"/>
      <w:pPr>
        <w:ind w:left="2880" w:hanging="360"/>
      </w:pPr>
      <w:rPr>
        <w:rFonts w:ascii="Symbol" w:hAnsi="Symbol" w:hint="default"/>
      </w:rPr>
    </w:lvl>
    <w:lvl w:ilvl="4" w:tplc="D8107FFC">
      <w:start w:val="1"/>
      <w:numFmt w:val="bullet"/>
      <w:lvlText w:val="o"/>
      <w:lvlJc w:val="left"/>
      <w:pPr>
        <w:ind w:left="3600" w:hanging="360"/>
      </w:pPr>
      <w:rPr>
        <w:rFonts w:ascii="Courier New" w:hAnsi="Courier New" w:hint="default"/>
      </w:rPr>
    </w:lvl>
    <w:lvl w:ilvl="5" w:tplc="58FC398E">
      <w:start w:val="1"/>
      <w:numFmt w:val="bullet"/>
      <w:lvlText w:val=""/>
      <w:lvlJc w:val="left"/>
      <w:pPr>
        <w:ind w:left="4320" w:hanging="360"/>
      </w:pPr>
      <w:rPr>
        <w:rFonts w:ascii="Wingdings" w:hAnsi="Wingdings" w:hint="default"/>
      </w:rPr>
    </w:lvl>
    <w:lvl w:ilvl="6" w:tplc="6348240C">
      <w:start w:val="1"/>
      <w:numFmt w:val="bullet"/>
      <w:lvlText w:val=""/>
      <w:lvlJc w:val="left"/>
      <w:pPr>
        <w:ind w:left="5040" w:hanging="360"/>
      </w:pPr>
      <w:rPr>
        <w:rFonts w:ascii="Symbol" w:hAnsi="Symbol" w:hint="default"/>
      </w:rPr>
    </w:lvl>
    <w:lvl w:ilvl="7" w:tplc="2312F1F4">
      <w:start w:val="1"/>
      <w:numFmt w:val="bullet"/>
      <w:lvlText w:val="o"/>
      <w:lvlJc w:val="left"/>
      <w:pPr>
        <w:ind w:left="5760" w:hanging="360"/>
      </w:pPr>
      <w:rPr>
        <w:rFonts w:ascii="Courier New" w:hAnsi="Courier New" w:hint="default"/>
      </w:rPr>
    </w:lvl>
    <w:lvl w:ilvl="8" w:tplc="A0D0EE66">
      <w:start w:val="1"/>
      <w:numFmt w:val="bullet"/>
      <w:lvlText w:val=""/>
      <w:lvlJc w:val="left"/>
      <w:pPr>
        <w:ind w:left="6480" w:hanging="360"/>
      </w:pPr>
      <w:rPr>
        <w:rFonts w:ascii="Wingdings" w:hAnsi="Wingdings" w:hint="default"/>
      </w:rPr>
    </w:lvl>
  </w:abstractNum>
  <w:abstractNum w:abstractNumId="20" w15:restartNumberingAfterBreak="0">
    <w:nsid w:val="1D6AB62F"/>
    <w:multiLevelType w:val="hybridMultilevel"/>
    <w:tmpl w:val="C21429D6"/>
    <w:lvl w:ilvl="0" w:tplc="7FF69976">
      <w:start w:val="1"/>
      <w:numFmt w:val="bullet"/>
      <w:lvlText w:val=""/>
      <w:lvlJc w:val="left"/>
      <w:pPr>
        <w:ind w:left="720" w:hanging="360"/>
      </w:pPr>
      <w:rPr>
        <w:rFonts w:ascii="Wingdings,Sans-Serif" w:hAnsi="Wingdings,Sans-Serif" w:hint="default"/>
      </w:rPr>
    </w:lvl>
    <w:lvl w:ilvl="1" w:tplc="E51E3B9A">
      <w:start w:val="1"/>
      <w:numFmt w:val="bullet"/>
      <w:lvlText w:val="o"/>
      <w:lvlJc w:val="left"/>
      <w:pPr>
        <w:ind w:left="1440" w:hanging="360"/>
      </w:pPr>
      <w:rPr>
        <w:rFonts w:ascii="Courier New" w:hAnsi="Courier New" w:hint="default"/>
      </w:rPr>
    </w:lvl>
    <w:lvl w:ilvl="2" w:tplc="CF0459E0">
      <w:start w:val="1"/>
      <w:numFmt w:val="bullet"/>
      <w:lvlText w:val=""/>
      <w:lvlJc w:val="left"/>
      <w:pPr>
        <w:ind w:left="2160" w:hanging="360"/>
      </w:pPr>
      <w:rPr>
        <w:rFonts w:ascii="Wingdings" w:hAnsi="Wingdings" w:hint="default"/>
      </w:rPr>
    </w:lvl>
    <w:lvl w:ilvl="3" w:tplc="3B2424E8">
      <w:start w:val="1"/>
      <w:numFmt w:val="bullet"/>
      <w:lvlText w:val=""/>
      <w:lvlJc w:val="left"/>
      <w:pPr>
        <w:ind w:left="2880" w:hanging="360"/>
      </w:pPr>
      <w:rPr>
        <w:rFonts w:ascii="Symbol" w:hAnsi="Symbol" w:hint="default"/>
      </w:rPr>
    </w:lvl>
    <w:lvl w:ilvl="4" w:tplc="3334C3CA">
      <w:start w:val="1"/>
      <w:numFmt w:val="bullet"/>
      <w:lvlText w:val="o"/>
      <w:lvlJc w:val="left"/>
      <w:pPr>
        <w:ind w:left="3600" w:hanging="360"/>
      </w:pPr>
      <w:rPr>
        <w:rFonts w:ascii="Courier New" w:hAnsi="Courier New" w:hint="default"/>
      </w:rPr>
    </w:lvl>
    <w:lvl w:ilvl="5" w:tplc="BE0412FC">
      <w:start w:val="1"/>
      <w:numFmt w:val="bullet"/>
      <w:lvlText w:val=""/>
      <w:lvlJc w:val="left"/>
      <w:pPr>
        <w:ind w:left="4320" w:hanging="360"/>
      </w:pPr>
      <w:rPr>
        <w:rFonts w:ascii="Wingdings" w:hAnsi="Wingdings" w:hint="default"/>
      </w:rPr>
    </w:lvl>
    <w:lvl w:ilvl="6" w:tplc="8DBA9C24">
      <w:start w:val="1"/>
      <w:numFmt w:val="bullet"/>
      <w:lvlText w:val=""/>
      <w:lvlJc w:val="left"/>
      <w:pPr>
        <w:ind w:left="5040" w:hanging="360"/>
      </w:pPr>
      <w:rPr>
        <w:rFonts w:ascii="Symbol" w:hAnsi="Symbol" w:hint="default"/>
      </w:rPr>
    </w:lvl>
    <w:lvl w:ilvl="7" w:tplc="C0DC29F0">
      <w:start w:val="1"/>
      <w:numFmt w:val="bullet"/>
      <w:lvlText w:val="o"/>
      <w:lvlJc w:val="left"/>
      <w:pPr>
        <w:ind w:left="5760" w:hanging="360"/>
      </w:pPr>
      <w:rPr>
        <w:rFonts w:ascii="Courier New" w:hAnsi="Courier New" w:hint="default"/>
      </w:rPr>
    </w:lvl>
    <w:lvl w:ilvl="8" w:tplc="56685A3C">
      <w:start w:val="1"/>
      <w:numFmt w:val="bullet"/>
      <w:lvlText w:val=""/>
      <w:lvlJc w:val="left"/>
      <w:pPr>
        <w:ind w:left="6480" w:hanging="360"/>
      </w:pPr>
      <w:rPr>
        <w:rFonts w:ascii="Wingdings" w:hAnsi="Wingdings" w:hint="default"/>
      </w:rPr>
    </w:lvl>
  </w:abstractNum>
  <w:abstractNum w:abstractNumId="21" w15:restartNumberingAfterBreak="0">
    <w:nsid w:val="1D741912"/>
    <w:multiLevelType w:val="hybridMultilevel"/>
    <w:tmpl w:val="F8D2539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1DC53930"/>
    <w:multiLevelType w:val="hybridMultilevel"/>
    <w:tmpl w:val="3CB418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DE46B81"/>
    <w:multiLevelType w:val="hybridMultilevel"/>
    <w:tmpl w:val="2214CC4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DF02950"/>
    <w:multiLevelType w:val="hybridMultilevel"/>
    <w:tmpl w:val="AD262024"/>
    <w:lvl w:ilvl="0" w:tplc="7298D454">
      <w:start w:val="1"/>
      <w:numFmt w:val="lowerLetter"/>
      <w:lvlText w:val="%1."/>
      <w:lvlJc w:val="left"/>
      <w:pPr>
        <w:ind w:left="1080" w:hanging="360"/>
      </w:pPr>
    </w:lvl>
    <w:lvl w:ilvl="1" w:tplc="3B94E780" w:tentative="1">
      <w:start w:val="1"/>
      <w:numFmt w:val="bullet"/>
      <w:lvlText w:val="o"/>
      <w:lvlJc w:val="left"/>
      <w:pPr>
        <w:ind w:left="1800" w:hanging="360"/>
      </w:pPr>
      <w:rPr>
        <w:rFonts w:ascii="Courier New" w:hAnsi="Courier New" w:hint="default"/>
      </w:rPr>
    </w:lvl>
    <w:lvl w:ilvl="2" w:tplc="C6426548" w:tentative="1">
      <w:start w:val="1"/>
      <w:numFmt w:val="bullet"/>
      <w:lvlText w:val=""/>
      <w:lvlJc w:val="left"/>
      <w:pPr>
        <w:ind w:left="2520" w:hanging="360"/>
      </w:pPr>
      <w:rPr>
        <w:rFonts w:ascii="Wingdings" w:hAnsi="Wingdings" w:hint="default"/>
      </w:rPr>
    </w:lvl>
    <w:lvl w:ilvl="3" w:tplc="F26EFDB0" w:tentative="1">
      <w:start w:val="1"/>
      <w:numFmt w:val="bullet"/>
      <w:lvlText w:val=""/>
      <w:lvlJc w:val="left"/>
      <w:pPr>
        <w:ind w:left="3240" w:hanging="360"/>
      </w:pPr>
      <w:rPr>
        <w:rFonts w:ascii="Symbol" w:hAnsi="Symbol" w:hint="default"/>
      </w:rPr>
    </w:lvl>
    <w:lvl w:ilvl="4" w:tplc="CEB827BE" w:tentative="1">
      <w:start w:val="1"/>
      <w:numFmt w:val="bullet"/>
      <w:lvlText w:val="o"/>
      <w:lvlJc w:val="left"/>
      <w:pPr>
        <w:ind w:left="3960" w:hanging="360"/>
      </w:pPr>
      <w:rPr>
        <w:rFonts w:ascii="Courier New" w:hAnsi="Courier New" w:hint="default"/>
      </w:rPr>
    </w:lvl>
    <w:lvl w:ilvl="5" w:tplc="08E4664C" w:tentative="1">
      <w:start w:val="1"/>
      <w:numFmt w:val="bullet"/>
      <w:lvlText w:val=""/>
      <w:lvlJc w:val="left"/>
      <w:pPr>
        <w:ind w:left="4680" w:hanging="360"/>
      </w:pPr>
      <w:rPr>
        <w:rFonts w:ascii="Wingdings" w:hAnsi="Wingdings" w:hint="default"/>
      </w:rPr>
    </w:lvl>
    <w:lvl w:ilvl="6" w:tplc="E2B8311E" w:tentative="1">
      <w:start w:val="1"/>
      <w:numFmt w:val="bullet"/>
      <w:lvlText w:val=""/>
      <w:lvlJc w:val="left"/>
      <w:pPr>
        <w:ind w:left="5400" w:hanging="360"/>
      </w:pPr>
      <w:rPr>
        <w:rFonts w:ascii="Symbol" w:hAnsi="Symbol" w:hint="default"/>
      </w:rPr>
    </w:lvl>
    <w:lvl w:ilvl="7" w:tplc="BE58DB08" w:tentative="1">
      <w:start w:val="1"/>
      <w:numFmt w:val="bullet"/>
      <w:lvlText w:val="o"/>
      <w:lvlJc w:val="left"/>
      <w:pPr>
        <w:ind w:left="6120" w:hanging="360"/>
      </w:pPr>
      <w:rPr>
        <w:rFonts w:ascii="Courier New" w:hAnsi="Courier New" w:hint="default"/>
      </w:rPr>
    </w:lvl>
    <w:lvl w:ilvl="8" w:tplc="6D4A48CC" w:tentative="1">
      <w:start w:val="1"/>
      <w:numFmt w:val="bullet"/>
      <w:lvlText w:val=""/>
      <w:lvlJc w:val="left"/>
      <w:pPr>
        <w:ind w:left="6840" w:hanging="360"/>
      </w:pPr>
      <w:rPr>
        <w:rFonts w:ascii="Wingdings" w:hAnsi="Wingdings" w:hint="default"/>
      </w:rPr>
    </w:lvl>
  </w:abstractNum>
  <w:abstractNum w:abstractNumId="25" w15:restartNumberingAfterBreak="0">
    <w:nsid w:val="1E431B29"/>
    <w:multiLevelType w:val="hybridMultilevel"/>
    <w:tmpl w:val="D9727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EAC6DB0"/>
    <w:multiLevelType w:val="hybridMultilevel"/>
    <w:tmpl w:val="FAF0573C"/>
    <w:lvl w:ilvl="0" w:tplc="FD4290B4">
      <w:start w:val="11"/>
      <w:numFmt w:val="bullet"/>
      <w:lvlText w:val="-"/>
      <w:lvlJc w:val="left"/>
      <w:pPr>
        <w:ind w:left="720" w:hanging="360"/>
      </w:pPr>
      <w:rPr>
        <w:rFonts w:ascii="Arial" w:hAnsi="Arial" w:hint="default"/>
      </w:rPr>
    </w:lvl>
    <w:lvl w:ilvl="1" w:tplc="C2AA8A70" w:tentative="1">
      <w:start w:val="1"/>
      <w:numFmt w:val="bullet"/>
      <w:lvlText w:val="o"/>
      <w:lvlJc w:val="left"/>
      <w:pPr>
        <w:ind w:left="1440" w:hanging="360"/>
      </w:pPr>
      <w:rPr>
        <w:rFonts w:ascii="Courier New" w:hAnsi="Courier New" w:hint="default"/>
      </w:rPr>
    </w:lvl>
    <w:lvl w:ilvl="2" w:tplc="60A86D18" w:tentative="1">
      <w:start w:val="1"/>
      <w:numFmt w:val="bullet"/>
      <w:lvlText w:val=""/>
      <w:lvlJc w:val="left"/>
      <w:pPr>
        <w:ind w:left="2160" w:hanging="360"/>
      </w:pPr>
      <w:rPr>
        <w:rFonts w:ascii="Wingdings" w:hAnsi="Wingdings" w:hint="default"/>
      </w:rPr>
    </w:lvl>
    <w:lvl w:ilvl="3" w:tplc="AD681FC0" w:tentative="1">
      <w:start w:val="1"/>
      <w:numFmt w:val="bullet"/>
      <w:lvlText w:val=""/>
      <w:lvlJc w:val="left"/>
      <w:pPr>
        <w:ind w:left="2880" w:hanging="360"/>
      </w:pPr>
      <w:rPr>
        <w:rFonts w:ascii="Symbol" w:hAnsi="Symbol" w:hint="default"/>
      </w:rPr>
    </w:lvl>
    <w:lvl w:ilvl="4" w:tplc="5E3217FA" w:tentative="1">
      <w:start w:val="1"/>
      <w:numFmt w:val="bullet"/>
      <w:lvlText w:val="o"/>
      <w:lvlJc w:val="left"/>
      <w:pPr>
        <w:ind w:left="3600" w:hanging="360"/>
      </w:pPr>
      <w:rPr>
        <w:rFonts w:ascii="Courier New" w:hAnsi="Courier New" w:hint="default"/>
      </w:rPr>
    </w:lvl>
    <w:lvl w:ilvl="5" w:tplc="1D827CB4" w:tentative="1">
      <w:start w:val="1"/>
      <w:numFmt w:val="bullet"/>
      <w:lvlText w:val=""/>
      <w:lvlJc w:val="left"/>
      <w:pPr>
        <w:ind w:left="4320" w:hanging="360"/>
      </w:pPr>
      <w:rPr>
        <w:rFonts w:ascii="Wingdings" w:hAnsi="Wingdings" w:hint="default"/>
      </w:rPr>
    </w:lvl>
    <w:lvl w:ilvl="6" w:tplc="70C803CE" w:tentative="1">
      <w:start w:val="1"/>
      <w:numFmt w:val="bullet"/>
      <w:lvlText w:val=""/>
      <w:lvlJc w:val="left"/>
      <w:pPr>
        <w:ind w:left="5040" w:hanging="360"/>
      </w:pPr>
      <w:rPr>
        <w:rFonts w:ascii="Symbol" w:hAnsi="Symbol" w:hint="default"/>
      </w:rPr>
    </w:lvl>
    <w:lvl w:ilvl="7" w:tplc="2D1E4AB8" w:tentative="1">
      <w:start w:val="1"/>
      <w:numFmt w:val="bullet"/>
      <w:lvlText w:val="o"/>
      <w:lvlJc w:val="left"/>
      <w:pPr>
        <w:ind w:left="5760" w:hanging="360"/>
      </w:pPr>
      <w:rPr>
        <w:rFonts w:ascii="Courier New" w:hAnsi="Courier New" w:hint="default"/>
      </w:rPr>
    </w:lvl>
    <w:lvl w:ilvl="8" w:tplc="DAA0EDCE" w:tentative="1">
      <w:start w:val="1"/>
      <w:numFmt w:val="bullet"/>
      <w:lvlText w:val=""/>
      <w:lvlJc w:val="left"/>
      <w:pPr>
        <w:ind w:left="6480" w:hanging="360"/>
      </w:pPr>
      <w:rPr>
        <w:rFonts w:ascii="Wingdings" w:hAnsi="Wingdings" w:hint="default"/>
      </w:rPr>
    </w:lvl>
  </w:abstractNum>
  <w:abstractNum w:abstractNumId="27" w15:restartNumberingAfterBreak="0">
    <w:nsid w:val="20330D2F"/>
    <w:multiLevelType w:val="hybridMultilevel"/>
    <w:tmpl w:val="DBA871AA"/>
    <w:lvl w:ilvl="0" w:tplc="4492FED0">
      <w:start w:val="1"/>
      <w:numFmt w:val="lowerLetter"/>
      <w:lvlText w:val="%1."/>
      <w:lvlJc w:val="left"/>
      <w:pPr>
        <w:ind w:left="1080" w:hanging="360"/>
      </w:pPr>
    </w:lvl>
    <w:lvl w:ilvl="1" w:tplc="24289B6E" w:tentative="1">
      <w:start w:val="1"/>
      <w:numFmt w:val="bullet"/>
      <w:lvlText w:val="o"/>
      <w:lvlJc w:val="left"/>
      <w:pPr>
        <w:ind w:left="1800" w:hanging="360"/>
      </w:pPr>
      <w:rPr>
        <w:rFonts w:ascii="Courier New" w:hAnsi="Courier New" w:hint="default"/>
      </w:rPr>
    </w:lvl>
    <w:lvl w:ilvl="2" w:tplc="32322404" w:tentative="1">
      <w:start w:val="1"/>
      <w:numFmt w:val="bullet"/>
      <w:lvlText w:val=""/>
      <w:lvlJc w:val="left"/>
      <w:pPr>
        <w:ind w:left="2520" w:hanging="360"/>
      </w:pPr>
      <w:rPr>
        <w:rFonts w:ascii="Wingdings" w:hAnsi="Wingdings" w:hint="default"/>
      </w:rPr>
    </w:lvl>
    <w:lvl w:ilvl="3" w:tplc="0108ED66" w:tentative="1">
      <w:start w:val="1"/>
      <w:numFmt w:val="bullet"/>
      <w:lvlText w:val=""/>
      <w:lvlJc w:val="left"/>
      <w:pPr>
        <w:ind w:left="3240" w:hanging="360"/>
      </w:pPr>
      <w:rPr>
        <w:rFonts w:ascii="Symbol" w:hAnsi="Symbol" w:hint="default"/>
      </w:rPr>
    </w:lvl>
    <w:lvl w:ilvl="4" w:tplc="0532BA50" w:tentative="1">
      <w:start w:val="1"/>
      <w:numFmt w:val="bullet"/>
      <w:lvlText w:val="o"/>
      <w:lvlJc w:val="left"/>
      <w:pPr>
        <w:ind w:left="3960" w:hanging="360"/>
      </w:pPr>
      <w:rPr>
        <w:rFonts w:ascii="Courier New" w:hAnsi="Courier New" w:hint="default"/>
      </w:rPr>
    </w:lvl>
    <w:lvl w:ilvl="5" w:tplc="2E7EDFEA" w:tentative="1">
      <w:start w:val="1"/>
      <w:numFmt w:val="bullet"/>
      <w:lvlText w:val=""/>
      <w:lvlJc w:val="left"/>
      <w:pPr>
        <w:ind w:left="4680" w:hanging="360"/>
      </w:pPr>
      <w:rPr>
        <w:rFonts w:ascii="Wingdings" w:hAnsi="Wingdings" w:hint="default"/>
      </w:rPr>
    </w:lvl>
    <w:lvl w:ilvl="6" w:tplc="C13E0F86" w:tentative="1">
      <w:start w:val="1"/>
      <w:numFmt w:val="bullet"/>
      <w:lvlText w:val=""/>
      <w:lvlJc w:val="left"/>
      <w:pPr>
        <w:ind w:left="5400" w:hanging="360"/>
      </w:pPr>
      <w:rPr>
        <w:rFonts w:ascii="Symbol" w:hAnsi="Symbol" w:hint="default"/>
      </w:rPr>
    </w:lvl>
    <w:lvl w:ilvl="7" w:tplc="D8803AA8" w:tentative="1">
      <w:start w:val="1"/>
      <w:numFmt w:val="bullet"/>
      <w:lvlText w:val="o"/>
      <w:lvlJc w:val="left"/>
      <w:pPr>
        <w:ind w:left="6120" w:hanging="360"/>
      </w:pPr>
      <w:rPr>
        <w:rFonts w:ascii="Courier New" w:hAnsi="Courier New" w:hint="default"/>
      </w:rPr>
    </w:lvl>
    <w:lvl w:ilvl="8" w:tplc="AC36328C" w:tentative="1">
      <w:start w:val="1"/>
      <w:numFmt w:val="bullet"/>
      <w:lvlText w:val=""/>
      <w:lvlJc w:val="left"/>
      <w:pPr>
        <w:ind w:left="6840" w:hanging="360"/>
      </w:pPr>
      <w:rPr>
        <w:rFonts w:ascii="Wingdings" w:hAnsi="Wingdings" w:hint="default"/>
      </w:rPr>
    </w:lvl>
  </w:abstractNum>
  <w:abstractNum w:abstractNumId="28" w15:restartNumberingAfterBreak="0">
    <w:nsid w:val="20AC18DE"/>
    <w:multiLevelType w:val="hybridMultilevel"/>
    <w:tmpl w:val="068C9758"/>
    <w:lvl w:ilvl="0" w:tplc="B1D03094">
      <w:start w:val="1"/>
      <w:numFmt w:val="bullet"/>
      <w:lvlText w:val=""/>
      <w:lvlJc w:val="left"/>
      <w:pPr>
        <w:ind w:left="720" w:hanging="360"/>
      </w:pPr>
      <w:rPr>
        <w:rFonts w:ascii="Symbol" w:hAnsi="Symbol" w:hint="default"/>
      </w:rPr>
    </w:lvl>
    <w:lvl w:ilvl="1" w:tplc="E294DA5C">
      <w:start w:val="1"/>
      <w:numFmt w:val="bullet"/>
      <w:lvlText w:val="o"/>
      <w:lvlJc w:val="left"/>
      <w:pPr>
        <w:ind w:left="1440" w:hanging="360"/>
      </w:pPr>
      <w:rPr>
        <w:rFonts w:ascii="Courier New" w:hAnsi="Courier New" w:hint="default"/>
      </w:rPr>
    </w:lvl>
    <w:lvl w:ilvl="2" w:tplc="ACE09278">
      <w:start w:val="1"/>
      <w:numFmt w:val="bullet"/>
      <w:lvlText w:val=""/>
      <w:lvlJc w:val="left"/>
      <w:pPr>
        <w:ind w:left="2160" w:hanging="360"/>
      </w:pPr>
      <w:rPr>
        <w:rFonts w:ascii="Wingdings" w:hAnsi="Wingdings" w:hint="default"/>
      </w:rPr>
    </w:lvl>
    <w:lvl w:ilvl="3" w:tplc="7C9A9854">
      <w:start w:val="1"/>
      <w:numFmt w:val="bullet"/>
      <w:lvlText w:val=""/>
      <w:lvlJc w:val="left"/>
      <w:pPr>
        <w:ind w:left="2880" w:hanging="360"/>
      </w:pPr>
      <w:rPr>
        <w:rFonts w:ascii="Symbol" w:hAnsi="Symbol" w:hint="default"/>
      </w:rPr>
    </w:lvl>
    <w:lvl w:ilvl="4" w:tplc="722442EA">
      <w:start w:val="1"/>
      <w:numFmt w:val="bullet"/>
      <w:lvlText w:val="o"/>
      <w:lvlJc w:val="left"/>
      <w:pPr>
        <w:ind w:left="3600" w:hanging="360"/>
      </w:pPr>
      <w:rPr>
        <w:rFonts w:ascii="Courier New" w:hAnsi="Courier New" w:hint="default"/>
      </w:rPr>
    </w:lvl>
    <w:lvl w:ilvl="5" w:tplc="97168C2C">
      <w:start w:val="1"/>
      <w:numFmt w:val="bullet"/>
      <w:lvlText w:val=""/>
      <w:lvlJc w:val="left"/>
      <w:pPr>
        <w:ind w:left="4320" w:hanging="360"/>
      </w:pPr>
      <w:rPr>
        <w:rFonts w:ascii="Wingdings" w:hAnsi="Wingdings" w:hint="default"/>
      </w:rPr>
    </w:lvl>
    <w:lvl w:ilvl="6" w:tplc="11AC714C">
      <w:start w:val="1"/>
      <w:numFmt w:val="bullet"/>
      <w:lvlText w:val=""/>
      <w:lvlJc w:val="left"/>
      <w:pPr>
        <w:ind w:left="5040" w:hanging="360"/>
      </w:pPr>
      <w:rPr>
        <w:rFonts w:ascii="Symbol" w:hAnsi="Symbol" w:hint="default"/>
      </w:rPr>
    </w:lvl>
    <w:lvl w:ilvl="7" w:tplc="FF228804">
      <w:start w:val="1"/>
      <w:numFmt w:val="bullet"/>
      <w:lvlText w:val="o"/>
      <w:lvlJc w:val="left"/>
      <w:pPr>
        <w:ind w:left="5760" w:hanging="360"/>
      </w:pPr>
      <w:rPr>
        <w:rFonts w:ascii="Courier New" w:hAnsi="Courier New" w:hint="default"/>
      </w:rPr>
    </w:lvl>
    <w:lvl w:ilvl="8" w:tplc="9A32F3EC">
      <w:start w:val="1"/>
      <w:numFmt w:val="bullet"/>
      <w:lvlText w:val=""/>
      <w:lvlJc w:val="left"/>
      <w:pPr>
        <w:ind w:left="6480" w:hanging="360"/>
      </w:pPr>
      <w:rPr>
        <w:rFonts w:ascii="Wingdings" w:hAnsi="Wingdings" w:hint="default"/>
      </w:rPr>
    </w:lvl>
  </w:abstractNum>
  <w:abstractNum w:abstractNumId="29" w15:restartNumberingAfterBreak="0">
    <w:nsid w:val="210610CF"/>
    <w:multiLevelType w:val="hybridMultilevel"/>
    <w:tmpl w:val="24D8BB1C"/>
    <w:lvl w:ilvl="0" w:tplc="8FD8F350">
      <w:start w:val="1"/>
      <w:numFmt w:val="bullet"/>
      <w:lvlText w:val=""/>
      <w:lvlJc w:val="left"/>
      <w:pPr>
        <w:ind w:left="720" w:hanging="360"/>
      </w:pPr>
      <w:rPr>
        <w:rFonts w:ascii="Symbol" w:hAnsi="Symbol" w:hint="default"/>
      </w:rPr>
    </w:lvl>
    <w:lvl w:ilvl="1" w:tplc="D78A4708" w:tentative="1">
      <w:start w:val="1"/>
      <w:numFmt w:val="bullet"/>
      <w:lvlText w:val="o"/>
      <w:lvlJc w:val="left"/>
      <w:pPr>
        <w:ind w:left="1440" w:hanging="360"/>
      </w:pPr>
      <w:rPr>
        <w:rFonts w:ascii="Courier New" w:hAnsi="Courier New" w:hint="default"/>
      </w:rPr>
    </w:lvl>
    <w:lvl w:ilvl="2" w:tplc="66066ACC" w:tentative="1">
      <w:start w:val="1"/>
      <w:numFmt w:val="bullet"/>
      <w:lvlText w:val=""/>
      <w:lvlJc w:val="left"/>
      <w:pPr>
        <w:ind w:left="2160" w:hanging="360"/>
      </w:pPr>
      <w:rPr>
        <w:rFonts w:ascii="Wingdings" w:hAnsi="Wingdings" w:hint="default"/>
      </w:rPr>
    </w:lvl>
    <w:lvl w:ilvl="3" w:tplc="9DCAC4CC" w:tentative="1">
      <w:start w:val="1"/>
      <w:numFmt w:val="bullet"/>
      <w:lvlText w:val=""/>
      <w:lvlJc w:val="left"/>
      <w:pPr>
        <w:ind w:left="2880" w:hanging="360"/>
      </w:pPr>
      <w:rPr>
        <w:rFonts w:ascii="Symbol" w:hAnsi="Symbol" w:hint="default"/>
      </w:rPr>
    </w:lvl>
    <w:lvl w:ilvl="4" w:tplc="467C6CD2" w:tentative="1">
      <w:start w:val="1"/>
      <w:numFmt w:val="bullet"/>
      <w:lvlText w:val="o"/>
      <w:lvlJc w:val="left"/>
      <w:pPr>
        <w:ind w:left="3600" w:hanging="360"/>
      </w:pPr>
      <w:rPr>
        <w:rFonts w:ascii="Courier New" w:hAnsi="Courier New" w:hint="default"/>
      </w:rPr>
    </w:lvl>
    <w:lvl w:ilvl="5" w:tplc="1D408532" w:tentative="1">
      <w:start w:val="1"/>
      <w:numFmt w:val="bullet"/>
      <w:lvlText w:val=""/>
      <w:lvlJc w:val="left"/>
      <w:pPr>
        <w:ind w:left="4320" w:hanging="360"/>
      </w:pPr>
      <w:rPr>
        <w:rFonts w:ascii="Wingdings" w:hAnsi="Wingdings" w:hint="default"/>
      </w:rPr>
    </w:lvl>
    <w:lvl w:ilvl="6" w:tplc="6B423C3E" w:tentative="1">
      <w:start w:val="1"/>
      <w:numFmt w:val="bullet"/>
      <w:lvlText w:val=""/>
      <w:lvlJc w:val="left"/>
      <w:pPr>
        <w:ind w:left="5040" w:hanging="360"/>
      </w:pPr>
      <w:rPr>
        <w:rFonts w:ascii="Symbol" w:hAnsi="Symbol" w:hint="default"/>
      </w:rPr>
    </w:lvl>
    <w:lvl w:ilvl="7" w:tplc="980A3384" w:tentative="1">
      <w:start w:val="1"/>
      <w:numFmt w:val="bullet"/>
      <w:lvlText w:val="o"/>
      <w:lvlJc w:val="left"/>
      <w:pPr>
        <w:ind w:left="5760" w:hanging="360"/>
      </w:pPr>
      <w:rPr>
        <w:rFonts w:ascii="Courier New" w:hAnsi="Courier New" w:hint="default"/>
      </w:rPr>
    </w:lvl>
    <w:lvl w:ilvl="8" w:tplc="AC329178" w:tentative="1">
      <w:start w:val="1"/>
      <w:numFmt w:val="bullet"/>
      <w:lvlText w:val=""/>
      <w:lvlJc w:val="left"/>
      <w:pPr>
        <w:ind w:left="6480" w:hanging="360"/>
      </w:pPr>
      <w:rPr>
        <w:rFonts w:ascii="Wingdings" w:hAnsi="Wingdings" w:hint="default"/>
      </w:rPr>
    </w:lvl>
  </w:abstractNum>
  <w:abstractNum w:abstractNumId="30" w15:restartNumberingAfterBreak="0">
    <w:nsid w:val="23AF2DBE"/>
    <w:multiLevelType w:val="multilevel"/>
    <w:tmpl w:val="33303C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5A1E937"/>
    <w:multiLevelType w:val="hybridMultilevel"/>
    <w:tmpl w:val="52D046F6"/>
    <w:lvl w:ilvl="0" w:tplc="B5CE4D72">
      <w:start w:val="1"/>
      <w:numFmt w:val="decimal"/>
      <w:lvlText w:val="%1."/>
      <w:lvlJc w:val="left"/>
      <w:pPr>
        <w:ind w:left="720" w:hanging="360"/>
      </w:pPr>
    </w:lvl>
    <w:lvl w:ilvl="1" w:tplc="863E81C6">
      <w:start w:val="1"/>
      <w:numFmt w:val="lowerLetter"/>
      <w:lvlText w:val="%2."/>
      <w:lvlJc w:val="left"/>
      <w:pPr>
        <w:ind w:left="1440" w:hanging="360"/>
      </w:pPr>
    </w:lvl>
    <w:lvl w:ilvl="2" w:tplc="11065C7A">
      <w:start w:val="1"/>
      <w:numFmt w:val="lowerRoman"/>
      <w:lvlText w:val="%3."/>
      <w:lvlJc w:val="right"/>
      <w:pPr>
        <w:ind w:left="2160" w:hanging="180"/>
      </w:pPr>
    </w:lvl>
    <w:lvl w:ilvl="3" w:tplc="22D23466">
      <w:start w:val="1"/>
      <w:numFmt w:val="decimal"/>
      <w:lvlText w:val="%4."/>
      <w:lvlJc w:val="left"/>
      <w:pPr>
        <w:ind w:left="2880" w:hanging="360"/>
      </w:pPr>
    </w:lvl>
    <w:lvl w:ilvl="4" w:tplc="7938F5D8">
      <w:start w:val="1"/>
      <w:numFmt w:val="lowerLetter"/>
      <w:lvlText w:val="%5."/>
      <w:lvlJc w:val="left"/>
      <w:pPr>
        <w:ind w:left="3600" w:hanging="360"/>
      </w:pPr>
    </w:lvl>
    <w:lvl w:ilvl="5" w:tplc="069C0D9A">
      <w:start w:val="1"/>
      <w:numFmt w:val="lowerRoman"/>
      <w:lvlText w:val="%6."/>
      <w:lvlJc w:val="right"/>
      <w:pPr>
        <w:ind w:left="4320" w:hanging="180"/>
      </w:pPr>
    </w:lvl>
    <w:lvl w:ilvl="6" w:tplc="36BE847A">
      <w:start w:val="1"/>
      <w:numFmt w:val="decimal"/>
      <w:lvlText w:val="%7."/>
      <w:lvlJc w:val="left"/>
      <w:pPr>
        <w:ind w:left="5040" w:hanging="360"/>
      </w:pPr>
    </w:lvl>
    <w:lvl w:ilvl="7" w:tplc="CC4AB054">
      <w:start w:val="1"/>
      <w:numFmt w:val="lowerLetter"/>
      <w:lvlText w:val="%8."/>
      <w:lvlJc w:val="left"/>
      <w:pPr>
        <w:ind w:left="5760" w:hanging="360"/>
      </w:pPr>
    </w:lvl>
    <w:lvl w:ilvl="8" w:tplc="21F87D50">
      <w:start w:val="1"/>
      <w:numFmt w:val="lowerRoman"/>
      <w:lvlText w:val="%9."/>
      <w:lvlJc w:val="right"/>
      <w:pPr>
        <w:ind w:left="6480" w:hanging="180"/>
      </w:pPr>
    </w:lvl>
  </w:abstractNum>
  <w:abstractNum w:abstractNumId="32" w15:restartNumberingAfterBreak="0">
    <w:nsid w:val="264571A8"/>
    <w:multiLevelType w:val="hybridMultilevel"/>
    <w:tmpl w:val="F244AA6C"/>
    <w:lvl w:ilvl="0" w:tplc="080A0019">
      <w:start w:val="1"/>
      <w:numFmt w:val="lowerLetter"/>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3" w15:restartNumberingAfterBreak="0">
    <w:nsid w:val="264B1E32"/>
    <w:multiLevelType w:val="hybridMultilevel"/>
    <w:tmpl w:val="619AB850"/>
    <w:lvl w:ilvl="0" w:tplc="5AE6A7F8">
      <w:start w:val="1"/>
      <w:numFmt w:val="decimal"/>
      <w:lvlText w:val="%1."/>
      <w:lvlJc w:val="left"/>
      <w:pPr>
        <w:ind w:left="720" w:hanging="360"/>
      </w:pPr>
    </w:lvl>
    <w:lvl w:ilvl="1" w:tplc="72FC875A">
      <w:start w:val="1"/>
      <w:numFmt w:val="lowerLetter"/>
      <w:lvlText w:val="%2."/>
      <w:lvlJc w:val="left"/>
      <w:pPr>
        <w:ind w:left="1440" w:hanging="360"/>
      </w:pPr>
    </w:lvl>
    <w:lvl w:ilvl="2" w:tplc="EAD0DAB0">
      <w:start w:val="1"/>
      <w:numFmt w:val="lowerRoman"/>
      <w:lvlText w:val="%3."/>
      <w:lvlJc w:val="right"/>
      <w:pPr>
        <w:ind w:left="2160" w:hanging="180"/>
      </w:pPr>
    </w:lvl>
    <w:lvl w:ilvl="3" w:tplc="1E5E62C4">
      <w:start w:val="1"/>
      <w:numFmt w:val="decimal"/>
      <w:lvlText w:val="%4."/>
      <w:lvlJc w:val="left"/>
      <w:pPr>
        <w:ind w:left="2880" w:hanging="360"/>
      </w:pPr>
    </w:lvl>
    <w:lvl w:ilvl="4" w:tplc="90FE0840">
      <w:start w:val="1"/>
      <w:numFmt w:val="lowerLetter"/>
      <w:lvlText w:val="%5."/>
      <w:lvlJc w:val="left"/>
      <w:pPr>
        <w:ind w:left="3600" w:hanging="360"/>
      </w:pPr>
    </w:lvl>
    <w:lvl w:ilvl="5" w:tplc="CEB8F9CE">
      <w:start w:val="1"/>
      <w:numFmt w:val="lowerRoman"/>
      <w:lvlText w:val="%6."/>
      <w:lvlJc w:val="right"/>
      <w:pPr>
        <w:ind w:left="4320" w:hanging="180"/>
      </w:pPr>
    </w:lvl>
    <w:lvl w:ilvl="6" w:tplc="E12AA402">
      <w:start w:val="1"/>
      <w:numFmt w:val="decimal"/>
      <w:lvlText w:val="%7."/>
      <w:lvlJc w:val="left"/>
      <w:pPr>
        <w:ind w:left="5040" w:hanging="360"/>
      </w:pPr>
    </w:lvl>
    <w:lvl w:ilvl="7" w:tplc="73F62E50">
      <w:start w:val="1"/>
      <w:numFmt w:val="lowerLetter"/>
      <w:lvlText w:val="%8."/>
      <w:lvlJc w:val="left"/>
      <w:pPr>
        <w:ind w:left="5760" w:hanging="360"/>
      </w:pPr>
    </w:lvl>
    <w:lvl w:ilvl="8" w:tplc="405A3770">
      <w:start w:val="1"/>
      <w:numFmt w:val="lowerRoman"/>
      <w:lvlText w:val="%9."/>
      <w:lvlJc w:val="right"/>
      <w:pPr>
        <w:ind w:left="6480" w:hanging="180"/>
      </w:pPr>
    </w:lvl>
  </w:abstractNum>
  <w:abstractNum w:abstractNumId="34" w15:restartNumberingAfterBreak="0">
    <w:nsid w:val="26B261ED"/>
    <w:multiLevelType w:val="hybridMultilevel"/>
    <w:tmpl w:val="1F6A88A8"/>
    <w:lvl w:ilvl="0" w:tplc="2B8A9E7A">
      <w:start w:val="1"/>
      <w:numFmt w:val="bullet"/>
      <w:lvlText w:val=""/>
      <w:lvlJc w:val="left"/>
      <w:pPr>
        <w:ind w:left="720" w:hanging="360"/>
      </w:pPr>
      <w:rPr>
        <w:rFonts w:ascii="Wingdings,Sans-Serif" w:hAnsi="Wingdings,Sans-Serif" w:hint="default"/>
      </w:rPr>
    </w:lvl>
    <w:lvl w:ilvl="1" w:tplc="2514C230">
      <w:start w:val="1"/>
      <w:numFmt w:val="bullet"/>
      <w:lvlText w:val="o"/>
      <w:lvlJc w:val="left"/>
      <w:pPr>
        <w:ind w:left="1440" w:hanging="360"/>
      </w:pPr>
      <w:rPr>
        <w:rFonts w:ascii="Courier New" w:hAnsi="Courier New" w:hint="default"/>
      </w:rPr>
    </w:lvl>
    <w:lvl w:ilvl="2" w:tplc="3026AA62">
      <w:start w:val="1"/>
      <w:numFmt w:val="bullet"/>
      <w:lvlText w:val=""/>
      <w:lvlJc w:val="left"/>
      <w:pPr>
        <w:ind w:left="2160" w:hanging="360"/>
      </w:pPr>
      <w:rPr>
        <w:rFonts w:ascii="Wingdings" w:hAnsi="Wingdings" w:hint="default"/>
      </w:rPr>
    </w:lvl>
    <w:lvl w:ilvl="3" w:tplc="EE188D74">
      <w:start w:val="1"/>
      <w:numFmt w:val="bullet"/>
      <w:lvlText w:val=""/>
      <w:lvlJc w:val="left"/>
      <w:pPr>
        <w:ind w:left="2880" w:hanging="360"/>
      </w:pPr>
      <w:rPr>
        <w:rFonts w:ascii="Symbol" w:hAnsi="Symbol" w:hint="default"/>
      </w:rPr>
    </w:lvl>
    <w:lvl w:ilvl="4" w:tplc="020AB79C">
      <w:start w:val="1"/>
      <w:numFmt w:val="bullet"/>
      <w:lvlText w:val="o"/>
      <w:lvlJc w:val="left"/>
      <w:pPr>
        <w:ind w:left="3600" w:hanging="360"/>
      </w:pPr>
      <w:rPr>
        <w:rFonts w:ascii="Courier New" w:hAnsi="Courier New" w:hint="default"/>
      </w:rPr>
    </w:lvl>
    <w:lvl w:ilvl="5" w:tplc="590EEF2A">
      <w:start w:val="1"/>
      <w:numFmt w:val="bullet"/>
      <w:lvlText w:val=""/>
      <w:lvlJc w:val="left"/>
      <w:pPr>
        <w:ind w:left="4320" w:hanging="360"/>
      </w:pPr>
      <w:rPr>
        <w:rFonts w:ascii="Wingdings" w:hAnsi="Wingdings" w:hint="default"/>
      </w:rPr>
    </w:lvl>
    <w:lvl w:ilvl="6" w:tplc="B3762CE6">
      <w:start w:val="1"/>
      <w:numFmt w:val="bullet"/>
      <w:lvlText w:val=""/>
      <w:lvlJc w:val="left"/>
      <w:pPr>
        <w:ind w:left="5040" w:hanging="360"/>
      </w:pPr>
      <w:rPr>
        <w:rFonts w:ascii="Symbol" w:hAnsi="Symbol" w:hint="default"/>
      </w:rPr>
    </w:lvl>
    <w:lvl w:ilvl="7" w:tplc="F54E6716">
      <w:start w:val="1"/>
      <w:numFmt w:val="bullet"/>
      <w:lvlText w:val="o"/>
      <w:lvlJc w:val="left"/>
      <w:pPr>
        <w:ind w:left="5760" w:hanging="360"/>
      </w:pPr>
      <w:rPr>
        <w:rFonts w:ascii="Courier New" w:hAnsi="Courier New" w:hint="default"/>
      </w:rPr>
    </w:lvl>
    <w:lvl w:ilvl="8" w:tplc="3DEC0A1E">
      <w:start w:val="1"/>
      <w:numFmt w:val="bullet"/>
      <w:lvlText w:val=""/>
      <w:lvlJc w:val="left"/>
      <w:pPr>
        <w:ind w:left="6480" w:hanging="360"/>
      </w:pPr>
      <w:rPr>
        <w:rFonts w:ascii="Wingdings" w:hAnsi="Wingdings" w:hint="default"/>
      </w:rPr>
    </w:lvl>
  </w:abstractNum>
  <w:abstractNum w:abstractNumId="35" w15:restartNumberingAfterBreak="0">
    <w:nsid w:val="26D97C11"/>
    <w:multiLevelType w:val="multilevel"/>
    <w:tmpl w:val="A4365CEA"/>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9D8DA34"/>
    <w:multiLevelType w:val="hybridMultilevel"/>
    <w:tmpl w:val="785AB3DE"/>
    <w:lvl w:ilvl="0" w:tplc="DE3063A4">
      <w:start w:val="1"/>
      <w:numFmt w:val="bullet"/>
      <w:lvlText w:val=""/>
      <w:lvlJc w:val="left"/>
      <w:pPr>
        <w:ind w:left="720" w:hanging="360"/>
      </w:pPr>
      <w:rPr>
        <w:rFonts w:ascii="Symbol" w:hAnsi="Symbol" w:hint="default"/>
      </w:rPr>
    </w:lvl>
    <w:lvl w:ilvl="1" w:tplc="FFEA49B6">
      <w:start w:val="1"/>
      <w:numFmt w:val="bullet"/>
      <w:lvlText w:val="o"/>
      <w:lvlJc w:val="left"/>
      <w:pPr>
        <w:ind w:left="1440" w:hanging="360"/>
      </w:pPr>
      <w:rPr>
        <w:rFonts w:ascii="Courier New" w:hAnsi="Courier New" w:hint="default"/>
      </w:rPr>
    </w:lvl>
    <w:lvl w:ilvl="2" w:tplc="4E6634D0">
      <w:start w:val="1"/>
      <w:numFmt w:val="bullet"/>
      <w:lvlText w:val=""/>
      <w:lvlJc w:val="left"/>
      <w:pPr>
        <w:ind w:left="2160" w:hanging="360"/>
      </w:pPr>
      <w:rPr>
        <w:rFonts w:ascii="Wingdings" w:hAnsi="Wingdings" w:hint="default"/>
      </w:rPr>
    </w:lvl>
    <w:lvl w:ilvl="3" w:tplc="871E1A6E">
      <w:start w:val="1"/>
      <w:numFmt w:val="bullet"/>
      <w:lvlText w:val=""/>
      <w:lvlJc w:val="left"/>
      <w:pPr>
        <w:ind w:left="2880" w:hanging="360"/>
      </w:pPr>
      <w:rPr>
        <w:rFonts w:ascii="Symbol" w:hAnsi="Symbol" w:hint="default"/>
      </w:rPr>
    </w:lvl>
    <w:lvl w:ilvl="4" w:tplc="45CE3F7C">
      <w:start w:val="1"/>
      <w:numFmt w:val="bullet"/>
      <w:lvlText w:val="o"/>
      <w:lvlJc w:val="left"/>
      <w:pPr>
        <w:ind w:left="3600" w:hanging="360"/>
      </w:pPr>
      <w:rPr>
        <w:rFonts w:ascii="Courier New" w:hAnsi="Courier New" w:hint="default"/>
      </w:rPr>
    </w:lvl>
    <w:lvl w:ilvl="5" w:tplc="D1C4F026">
      <w:start w:val="1"/>
      <w:numFmt w:val="bullet"/>
      <w:lvlText w:val=""/>
      <w:lvlJc w:val="left"/>
      <w:pPr>
        <w:ind w:left="4320" w:hanging="360"/>
      </w:pPr>
      <w:rPr>
        <w:rFonts w:ascii="Wingdings" w:hAnsi="Wingdings" w:hint="default"/>
      </w:rPr>
    </w:lvl>
    <w:lvl w:ilvl="6" w:tplc="6AB29532">
      <w:start w:val="1"/>
      <w:numFmt w:val="bullet"/>
      <w:lvlText w:val=""/>
      <w:lvlJc w:val="left"/>
      <w:pPr>
        <w:ind w:left="5040" w:hanging="360"/>
      </w:pPr>
      <w:rPr>
        <w:rFonts w:ascii="Symbol" w:hAnsi="Symbol" w:hint="default"/>
      </w:rPr>
    </w:lvl>
    <w:lvl w:ilvl="7" w:tplc="073CC240">
      <w:start w:val="1"/>
      <w:numFmt w:val="bullet"/>
      <w:lvlText w:val="o"/>
      <w:lvlJc w:val="left"/>
      <w:pPr>
        <w:ind w:left="5760" w:hanging="360"/>
      </w:pPr>
      <w:rPr>
        <w:rFonts w:ascii="Courier New" w:hAnsi="Courier New" w:hint="default"/>
      </w:rPr>
    </w:lvl>
    <w:lvl w:ilvl="8" w:tplc="C97C1B98">
      <w:start w:val="1"/>
      <w:numFmt w:val="bullet"/>
      <w:lvlText w:val=""/>
      <w:lvlJc w:val="left"/>
      <w:pPr>
        <w:ind w:left="6480" w:hanging="360"/>
      </w:pPr>
      <w:rPr>
        <w:rFonts w:ascii="Wingdings" w:hAnsi="Wingdings" w:hint="default"/>
      </w:rPr>
    </w:lvl>
  </w:abstractNum>
  <w:abstractNum w:abstractNumId="37" w15:restartNumberingAfterBreak="0">
    <w:nsid w:val="2A8FE535"/>
    <w:multiLevelType w:val="hybridMultilevel"/>
    <w:tmpl w:val="F758B09E"/>
    <w:lvl w:ilvl="0" w:tplc="35C4F9F2">
      <w:start w:val="1"/>
      <w:numFmt w:val="bullet"/>
      <w:lvlText w:val=""/>
      <w:lvlJc w:val="left"/>
      <w:pPr>
        <w:ind w:left="720" w:hanging="360"/>
      </w:pPr>
      <w:rPr>
        <w:rFonts w:ascii="Wingdings,Sans-Serif" w:hAnsi="Wingdings,Sans-Serif" w:hint="default"/>
      </w:rPr>
    </w:lvl>
    <w:lvl w:ilvl="1" w:tplc="4E4AF7AA">
      <w:start w:val="1"/>
      <w:numFmt w:val="bullet"/>
      <w:lvlText w:val="o"/>
      <w:lvlJc w:val="left"/>
      <w:pPr>
        <w:ind w:left="1440" w:hanging="360"/>
      </w:pPr>
      <w:rPr>
        <w:rFonts w:ascii="Courier New" w:hAnsi="Courier New" w:hint="default"/>
      </w:rPr>
    </w:lvl>
    <w:lvl w:ilvl="2" w:tplc="0018F0C2">
      <w:start w:val="1"/>
      <w:numFmt w:val="bullet"/>
      <w:lvlText w:val=""/>
      <w:lvlJc w:val="left"/>
      <w:pPr>
        <w:ind w:left="2160" w:hanging="360"/>
      </w:pPr>
      <w:rPr>
        <w:rFonts w:ascii="Wingdings" w:hAnsi="Wingdings" w:hint="default"/>
      </w:rPr>
    </w:lvl>
    <w:lvl w:ilvl="3" w:tplc="FFBA4682">
      <w:start w:val="1"/>
      <w:numFmt w:val="bullet"/>
      <w:lvlText w:val=""/>
      <w:lvlJc w:val="left"/>
      <w:pPr>
        <w:ind w:left="2880" w:hanging="360"/>
      </w:pPr>
      <w:rPr>
        <w:rFonts w:ascii="Symbol" w:hAnsi="Symbol" w:hint="default"/>
      </w:rPr>
    </w:lvl>
    <w:lvl w:ilvl="4" w:tplc="74543DCC">
      <w:start w:val="1"/>
      <w:numFmt w:val="bullet"/>
      <w:lvlText w:val="o"/>
      <w:lvlJc w:val="left"/>
      <w:pPr>
        <w:ind w:left="3600" w:hanging="360"/>
      </w:pPr>
      <w:rPr>
        <w:rFonts w:ascii="Courier New" w:hAnsi="Courier New" w:hint="default"/>
      </w:rPr>
    </w:lvl>
    <w:lvl w:ilvl="5" w:tplc="080AE034">
      <w:start w:val="1"/>
      <w:numFmt w:val="bullet"/>
      <w:lvlText w:val=""/>
      <w:lvlJc w:val="left"/>
      <w:pPr>
        <w:ind w:left="4320" w:hanging="360"/>
      </w:pPr>
      <w:rPr>
        <w:rFonts w:ascii="Wingdings" w:hAnsi="Wingdings" w:hint="default"/>
      </w:rPr>
    </w:lvl>
    <w:lvl w:ilvl="6" w:tplc="E7F2D302">
      <w:start w:val="1"/>
      <w:numFmt w:val="bullet"/>
      <w:lvlText w:val=""/>
      <w:lvlJc w:val="left"/>
      <w:pPr>
        <w:ind w:left="5040" w:hanging="360"/>
      </w:pPr>
      <w:rPr>
        <w:rFonts w:ascii="Symbol" w:hAnsi="Symbol" w:hint="default"/>
      </w:rPr>
    </w:lvl>
    <w:lvl w:ilvl="7" w:tplc="7A0C8F90">
      <w:start w:val="1"/>
      <w:numFmt w:val="bullet"/>
      <w:lvlText w:val="o"/>
      <w:lvlJc w:val="left"/>
      <w:pPr>
        <w:ind w:left="5760" w:hanging="360"/>
      </w:pPr>
      <w:rPr>
        <w:rFonts w:ascii="Courier New" w:hAnsi="Courier New" w:hint="default"/>
      </w:rPr>
    </w:lvl>
    <w:lvl w:ilvl="8" w:tplc="3184DC0A">
      <w:start w:val="1"/>
      <w:numFmt w:val="bullet"/>
      <w:lvlText w:val=""/>
      <w:lvlJc w:val="left"/>
      <w:pPr>
        <w:ind w:left="6480" w:hanging="360"/>
      </w:pPr>
      <w:rPr>
        <w:rFonts w:ascii="Wingdings" w:hAnsi="Wingdings" w:hint="default"/>
      </w:rPr>
    </w:lvl>
  </w:abstractNum>
  <w:abstractNum w:abstractNumId="38" w15:restartNumberingAfterBreak="0">
    <w:nsid w:val="2B1A049C"/>
    <w:multiLevelType w:val="hybridMultilevel"/>
    <w:tmpl w:val="6EF41B6C"/>
    <w:lvl w:ilvl="0" w:tplc="77BA77C4">
      <w:start w:val="1"/>
      <w:numFmt w:val="bullet"/>
      <w:lvlText w:val=""/>
      <w:lvlJc w:val="left"/>
      <w:pPr>
        <w:ind w:left="720" w:hanging="360"/>
      </w:pPr>
      <w:rPr>
        <w:rFonts w:ascii="Symbol" w:hAnsi="Symbol" w:hint="default"/>
      </w:rPr>
    </w:lvl>
    <w:lvl w:ilvl="1" w:tplc="03ECB04A">
      <w:start w:val="1"/>
      <w:numFmt w:val="bullet"/>
      <w:lvlText w:val="o"/>
      <w:lvlJc w:val="left"/>
      <w:pPr>
        <w:ind w:left="1440" w:hanging="360"/>
      </w:pPr>
      <w:rPr>
        <w:rFonts w:ascii="Courier New" w:hAnsi="Courier New" w:hint="default"/>
      </w:rPr>
    </w:lvl>
    <w:lvl w:ilvl="2" w:tplc="86F04ADE">
      <w:start w:val="1"/>
      <w:numFmt w:val="bullet"/>
      <w:lvlText w:val=""/>
      <w:lvlJc w:val="left"/>
      <w:pPr>
        <w:ind w:left="2160" w:hanging="360"/>
      </w:pPr>
      <w:rPr>
        <w:rFonts w:ascii="Wingdings" w:hAnsi="Wingdings" w:hint="default"/>
      </w:rPr>
    </w:lvl>
    <w:lvl w:ilvl="3" w:tplc="99D052A6">
      <w:start w:val="1"/>
      <w:numFmt w:val="bullet"/>
      <w:lvlText w:val=""/>
      <w:lvlJc w:val="left"/>
      <w:pPr>
        <w:ind w:left="2880" w:hanging="360"/>
      </w:pPr>
      <w:rPr>
        <w:rFonts w:ascii="Symbol" w:hAnsi="Symbol" w:hint="default"/>
      </w:rPr>
    </w:lvl>
    <w:lvl w:ilvl="4" w:tplc="268ADBC2">
      <w:start w:val="1"/>
      <w:numFmt w:val="bullet"/>
      <w:lvlText w:val="o"/>
      <w:lvlJc w:val="left"/>
      <w:pPr>
        <w:ind w:left="3600" w:hanging="360"/>
      </w:pPr>
      <w:rPr>
        <w:rFonts w:ascii="Courier New" w:hAnsi="Courier New" w:hint="default"/>
      </w:rPr>
    </w:lvl>
    <w:lvl w:ilvl="5" w:tplc="1E10A748">
      <w:start w:val="1"/>
      <w:numFmt w:val="bullet"/>
      <w:lvlText w:val=""/>
      <w:lvlJc w:val="left"/>
      <w:pPr>
        <w:ind w:left="4320" w:hanging="360"/>
      </w:pPr>
      <w:rPr>
        <w:rFonts w:ascii="Wingdings" w:hAnsi="Wingdings" w:hint="default"/>
      </w:rPr>
    </w:lvl>
    <w:lvl w:ilvl="6" w:tplc="FF1674FC">
      <w:start w:val="1"/>
      <w:numFmt w:val="bullet"/>
      <w:lvlText w:val=""/>
      <w:lvlJc w:val="left"/>
      <w:pPr>
        <w:ind w:left="5040" w:hanging="360"/>
      </w:pPr>
      <w:rPr>
        <w:rFonts w:ascii="Symbol" w:hAnsi="Symbol" w:hint="default"/>
      </w:rPr>
    </w:lvl>
    <w:lvl w:ilvl="7" w:tplc="7E60A4B6">
      <w:start w:val="1"/>
      <w:numFmt w:val="bullet"/>
      <w:lvlText w:val="o"/>
      <w:lvlJc w:val="left"/>
      <w:pPr>
        <w:ind w:left="5760" w:hanging="360"/>
      </w:pPr>
      <w:rPr>
        <w:rFonts w:ascii="Courier New" w:hAnsi="Courier New" w:hint="default"/>
      </w:rPr>
    </w:lvl>
    <w:lvl w:ilvl="8" w:tplc="82FCA0BA">
      <w:start w:val="1"/>
      <w:numFmt w:val="bullet"/>
      <w:lvlText w:val=""/>
      <w:lvlJc w:val="left"/>
      <w:pPr>
        <w:ind w:left="6480" w:hanging="360"/>
      </w:pPr>
      <w:rPr>
        <w:rFonts w:ascii="Wingdings" w:hAnsi="Wingdings" w:hint="default"/>
      </w:rPr>
    </w:lvl>
  </w:abstractNum>
  <w:abstractNum w:abstractNumId="39" w15:restartNumberingAfterBreak="0">
    <w:nsid w:val="2B88390B"/>
    <w:multiLevelType w:val="hybridMultilevel"/>
    <w:tmpl w:val="414EB3F4"/>
    <w:lvl w:ilvl="0" w:tplc="9E70AAD2">
      <w:start w:val="1"/>
      <w:numFmt w:val="bullet"/>
      <w:lvlText w:val=""/>
      <w:lvlJc w:val="left"/>
      <w:pPr>
        <w:ind w:left="720" w:hanging="360"/>
      </w:pPr>
      <w:rPr>
        <w:rFonts w:ascii="Symbol" w:hAnsi="Symbol" w:hint="default"/>
      </w:rPr>
    </w:lvl>
    <w:lvl w:ilvl="1" w:tplc="B1EAEF88" w:tentative="1">
      <w:start w:val="1"/>
      <w:numFmt w:val="bullet"/>
      <w:lvlText w:val="o"/>
      <w:lvlJc w:val="left"/>
      <w:pPr>
        <w:ind w:left="1440" w:hanging="360"/>
      </w:pPr>
      <w:rPr>
        <w:rFonts w:ascii="Courier New" w:hAnsi="Courier New" w:hint="default"/>
      </w:rPr>
    </w:lvl>
    <w:lvl w:ilvl="2" w:tplc="E7D0D86C" w:tentative="1">
      <w:start w:val="1"/>
      <w:numFmt w:val="bullet"/>
      <w:lvlText w:val=""/>
      <w:lvlJc w:val="left"/>
      <w:pPr>
        <w:ind w:left="2160" w:hanging="360"/>
      </w:pPr>
      <w:rPr>
        <w:rFonts w:ascii="Wingdings" w:hAnsi="Wingdings" w:hint="default"/>
      </w:rPr>
    </w:lvl>
    <w:lvl w:ilvl="3" w:tplc="288AACC2" w:tentative="1">
      <w:start w:val="1"/>
      <w:numFmt w:val="bullet"/>
      <w:lvlText w:val=""/>
      <w:lvlJc w:val="left"/>
      <w:pPr>
        <w:ind w:left="2880" w:hanging="360"/>
      </w:pPr>
      <w:rPr>
        <w:rFonts w:ascii="Symbol" w:hAnsi="Symbol" w:hint="default"/>
      </w:rPr>
    </w:lvl>
    <w:lvl w:ilvl="4" w:tplc="362C8408" w:tentative="1">
      <w:start w:val="1"/>
      <w:numFmt w:val="bullet"/>
      <w:lvlText w:val="o"/>
      <w:lvlJc w:val="left"/>
      <w:pPr>
        <w:ind w:left="3600" w:hanging="360"/>
      </w:pPr>
      <w:rPr>
        <w:rFonts w:ascii="Courier New" w:hAnsi="Courier New" w:hint="default"/>
      </w:rPr>
    </w:lvl>
    <w:lvl w:ilvl="5" w:tplc="A7FA9182" w:tentative="1">
      <w:start w:val="1"/>
      <w:numFmt w:val="bullet"/>
      <w:lvlText w:val=""/>
      <w:lvlJc w:val="left"/>
      <w:pPr>
        <w:ind w:left="4320" w:hanging="360"/>
      </w:pPr>
      <w:rPr>
        <w:rFonts w:ascii="Wingdings" w:hAnsi="Wingdings" w:hint="default"/>
      </w:rPr>
    </w:lvl>
    <w:lvl w:ilvl="6" w:tplc="C1648E8E" w:tentative="1">
      <w:start w:val="1"/>
      <w:numFmt w:val="bullet"/>
      <w:lvlText w:val=""/>
      <w:lvlJc w:val="left"/>
      <w:pPr>
        <w:ind w:left="5040" w:hanging="360"/>
      </w:pPr>
      <w:rPr>
        <w:rFonts w:ascii="Symbol" w:hAnsi="Symbol" w:hint="default"/>
      </w:rPr>
    </w:lvl>
    <w:lvl w:ilvl="7" w:tplc="5C5A4040" w:tentative="1">
      <w:start w:val="1"/>
      <w:numFmt w:val="bullet"/>
      <w:lvlText w:val="o"/>
      <w:lvlJc w:val="left"/>
      <w:pPr>
        <w:ind w:left="5760" w:hanging="360"/>
      </w:pPr>
      <w:rPr>
        <w:rFonts w:ascii="Courier New" w:hAnsi="Courier New" w:hint="default"/>
      </w:rPr>
    </w:lvl>
    <w:lvl w:ilvl="8" w:tplc="33EE7D46" w:tentative="1">
      <w:start w:val="1"/>
      <w:numFmt w:val="bullet"/>
      <w:lvlText w:val=""/>
      <w:lvlJc w:val="left"/>
      <w:pPr>
        <w:ind w:left="6480" w:hanging="360"/>
      </w:pPr>
      <w:rPr>
        <w:rFonts w:ascii="Wingdings" w:hAnsi="Wingdings" w:hint="default"/>
      </w:rPr>
    </w:lvl>
  </w:abstractNum>
  <w:abstractNum w:abstractNumId="40" w15:restartNumberingAfterBreak="0">
    <w:nsid w:val="2B8C492C"/>
    <w:multiLevelType w:val="multilevel"/>
    <w:tmpl w:val="CC38FD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CB016FA"/>
    <w:multiLevelType w:val="hybridMultilevel"/>
    <w:tmpl w:val="FFFFFFFF"/>
    <w:lvl w:ilvl="0" w:tplc="71EAAD3A">
      <w:start w:val="1"/>
      <w:numFmt w:val="bullet"/>
      <w:lvlText w:val=""/>
      <w:lvlJc w:val="left"/>
      <w:pPr>
        <w:ind w:left="720" w:hanging="360"/>
      </w:pPr>
      <w:rPr>
        <w:rFonts w:ascii="Symbol" w:hAnsi="Symbol" w:hint="default"/>
      </w:rPr>
    </w:lvl>
    <w:lvl w:ilvl="1" w:tplc="FCF62140">
      <w:start w:val="1"/>
      <w:numFmt w:val="bullet"/>
      <w:lvlText w:val="o"/>
      <w:lvlJc w:val="left"/>
      <w:pPr>
        <w:ind w:left="1440" w:hanging="360"/>
      </w:pPr>
      <w:rPr>
        <w:rFonts w:ascii="Courier New" w:hAnsi="Courier New" w:hint="default"/>
      </w:rPr>
    </w:lvl>
    <w:lvl w:ilvl="2" w:tplc="01E05E68">
      <w:start w:val="1"/>
      <w:numFmt w:val="bullet"/>
      <w:lvlText w:val=""/>
      <w:lvlJc w:val="left"/>
      <w:pPr>
        <w:ind w:left="2160" w:hanging="360"/>
      </w:pPr>
      <w:rPr>
        <w:rFonts w:ascii="Wingdings" w:hAnsi="Wingdings" w:hint="default"/>
      </w:rPr>
    </w:lvl>
    <w:lvl w:ilvl="3" w:tplc="4AF280C4">
      <w:start w:val="1"/>
      <w:numFmt w:val="bullet"/>
      <w:lvlText w:val=""/>
      <w:lvlJc w:val="left"/>
      <w:pPr>
        <w:ind w:left="2880" w:hanging="360"/>
      </w:pPr>
      <w:rPr>
        <w:rFonts w:ascii="Symbol" w:hAnsi="Symbol" w:hint="default"/>
      </w:rPr>
    </w:lvl>
    <w:lvl w:ilvl="4" w:tplc="4DA631FE">
      <w:start w:val="1"/>
      <w:numFmt w:val="bullet"/>
      <w:lvlText w:val="o"/>
      <w:lvlJc w:val="left"/>
      <w:pPr>
        <w:ind w:left="3600" w:hanging="360"/>
      </w:pPr>
      <w:rPr>
        <w:rFonts w:ascii="Courier New" w:hAnsi="Courier New" w:hint="default"/>
      </w:rPr>
    </w:lvl>
    <w:lvl w:ilvl="5" w:tplc="619040C6">
      <w:start w:val="1"/>
      <w:numFmt w:val="bullet"/>
      <w:lvlText w:val=""/>
      <w:lvlJc w:val="left"/>
      <w:pPr>
        <w:ind w:left="4320" w:hanging="360"/>
      </w:pPr>
      <w:rPr>
        <w:rFonts w:ascii="Wingdings" w:hAnsi="Wingdings" w:hint="default"/>
      </w:rPr>
    </w:lvl>
    <w:lvl w:ilvl="6" w:tplc="4D18156A">
      <w:start w:val="1"/>
      <w:numFmt w:val="bullet"/>
      <w:lvlText w:val=""/>
      <w:lvlJc w:val="left"/>
      <w:pPr>
        <w:ind w:left="5040" w:hanging="360"/>
      </w:pPr>
      <w:rPr>
        <w:rFonts w:ascii="Symbol" w:hAnsi="Symbol" w:hint="default"/>
      </w:rPr>
    </w:lvl>
    <w:lvl w:ilvl="7" w:tplc="010A4FC2">
      <w:start w:val="1"/>
      <w:numFmt w:val="bullet"/>
      <w:lvlText w:val="o"/>
      <w:lvlJc w:val="left"/>
      <w:pPr>
        <w:ind w:left="5760" w:hanging="360"/>
      </w:pPr>
      <w:rPr>
        <w:rFonts w:ascii="Courier New" w:hAnsi="Courier New" w:hint="default"/>
      </w:rPr>
    </w:lvl>
    <w:lvl w:ilvl="8" w:tplc="459A73D8">
      <w:start w:val="1"/>
      <w:numFmt w:val="bullet"/>
      <w:lvlText w:val=""/>
      <w:lvlJc w:val="left"/>
      <w:pPr>
        <w:ind w:left="6480" w:hanging="360"/>
      </w:pPr>
      <w:rPr>
        <w:rFonts w:ascii="Wingdings" w:hAnsi="Wingdings" w:hint="default"/>
      </w:rPr>
    </w:lvl>
  </w:abstractNum>
  <w:abstractNum w:abstractNumId="42" w15:restartNumberingAfterBreak="0">
    <w:nsid w:val="2E257349"/>
    <w:multiLevelType w:val="hybridMultilevel"/>
    <w:tmpl w:val="EBDA9C64"/>
    <w:lvl w:ilvl="0" w:tplc="3E56B62C">
      <w:start w:val="1"/>
      <w:numFmt w:val="bullet"/>
      <w:lvlText w:val=""/>
      <w:lvlJc w:val="left"/>
      <w:pPr>
        <w:ind w:left="720" w:hanging="360"/>
      </w:pPr>
      <w:rPr>
        <w:rFonts w:ascii="Wingdings,Sans-Serif" w:hAnsi="Wingdings,Sans-Serif" w:hint="default"/>
      </w:rPr>
    </w:lvl>
    <w:lvl w:ilvl="1" w:tplc="27FC4D76">
      <w:start w:val="1"/>
      <w:numFmt w:val="bullet"/>
      <w:lvlText w:val="o"/>
      <w:lvlJc w:val="left"/>
      <w:pPr>
        <w:ind w:left="1440" w:hanging="360"/>
      </w:pPr>
      <w:rPr>
        <w:rFonts w:ascii="Courier New" w:hAnsi="Courier New" w:hint="default"/>
      </w:rPr>
    </w:lvl>
    <w:lvl w:ilvl="2" w:tplc="3CFE259C">
      <w:start w:val="1"/>
      <w:numFmt w:val="bullet"/>
      <w:lvlText w:val=""/>
      <w:lvlJc w:val="left"/>
      <w:pPr>
        <w:ind w:left="2160" w:hanging="360"/>
      </w:pPr>
      <w:rPr>
        <w:rFonts w:ascii="Wingdings" w:hAnsi="Wingdings" w:hint="default"/>
      </w:rPr>
    </w:lvl>
    <w:lvl w:ilvl="3" w:tplc="26643230">
      <w:start w:val="1"/>
      <w:numFmt w:val="bullet"/>
      <w:lvlText w:val=""/>
      <w:lvlJc w:val="left"/>
      <w:pPr>
        <w:ind w:left="2880" w:hanging="360"/>
      </w:pPr>
      <w:rPr>
        <w:rFonts w:ascii="Symbol" w:hAnsi="Symbol" w:hint="default"/>
      </w:rPr>
    </w:lvl>
    <w:lvl w:ilvl="4" w:tplc="BD18F5EC">
      <w:start w:val="1"/>
      <w:numFmt w:val="bullet"/>
      <w:lvlText w:val="o"/>
      <w:lvlJc w:val="left"/>
      <w:pPr>
        <w:ind w:left="3600" w:hanging="360"/>
      </w:pPr>
      <w:rPr>
        <w:rFonts w:ascii="Courier New" w:hAnsi="Courier New" w:hint="default"/>
      </w:rPr>
    </w:lvl>
    <w:lvl w:ilvl="5" w:tplc="FC90D23A">
      <w:start w:val="1"/>
      <w:numFmt w:val="bullet"/>
      <w:lvlText w:val=""/>
      <w:lvlJc w:val="left"/>
      <w:pPr>
        <w:ind w:left="4320" w:hanging="360"/>
      </w:pPr>
      <w:rPr>
        <w:rFonts w:ascii="Wingdings" w:hAnsi="Wingdings" w:hint="default"/>
      </w:rPr>
    </w:lvl>
    <w:lvl w:ilvl="6" w:tplc="A7285D14">
      <w:start w:val="1"/>
      <w:numFmt w:val="bullet"/>
      <w:lvlText w:val=""/>
      <w:lvlJc w:val="left"/>
      <w:pPr>
        <w:ind w:left="5040" w:hanging="360"/>
      </w:pPr>
      <w:rPr>
        <w:rFonts w:ascii="Symbol" w:hAnsi="Symbol" w:hint="default"/>
      </w:rPr>
    </w:lvl>
    <w:lvl w:ilvl="7" w:tplc="294CB594">
      <w:start w:val="1"/>
      <w:numFmt w:val="bullet"/>
      <w:lvlText w:val="o"/>
      <w:lvlJc w:val="left"/>
      <w:pPr>
        <w:ind w:left="5760" w:hanging="360"/>
      </w:pPr>
      <w:rPr>
        <w:rFonts w:ascii="Courier New" w:hAnsi="Courier New" w:hint="default"/>
      </w:rPr>
    </w:lvl>
    <w:lvl w:ilvl="8" w:tplc="9A9029BE">
      <w:start w:val="1"/>
      <w:numFmt w:val="bullet"/>
      <w:lvlText w:val=""/>
      <w:lvlJc w:val="left"/>
      <w:pPr>
        <w:ind w:left="6480" w:hanging="360"/>
      </w:pPr>
      <w:rPr>
        <w:rFonts w:ascii="Wingdings" w:hAnsi="Wingdings" w:hint="default"/>
      </w:rPr>
    </w:lvl>
  </w:abstractNum>
  <w:abstractNum w:abstractNumId="43" w15:restartNumberingAfterBreak="0">
    <w:nsid w:val="2E314E45"/>
    <w:multiLevelType w:val="hybridMultilevel"/>
    <w:tmpl w:val="9F94A0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2E953513"/>
    <w:multiLevelType w:val="hybridMultilevel"/>
    <w:tmpl w:val="B1AA6A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31357B21"/>
    <w:multiLevelType w:val="hybridMultilevel"/>
    <w:tmpl w:val="FED02932"/>
    <w:lvl w:ilvl="0" w:tplc="20D4D896">
      <w:start w:val="1"/>
      <w:numFmt w:val="bullet"/>
      <w:lvlText w:val=""/>
      <w:lvlJc w:val="left"/>
      <w:pPr>
        <w:ind w:left="720" w:hanging="360"/>
      </w:pPr>
      <w:rPr>
        <w:rFonts w:ascii="Symbol" w:hAnsi="Symbol" w:hint="default"/>
      </w:rPr>
    </w:lvl>
    <w:lvl w:ilvl="1" w:tplc="AF0A922A" w:tentative="1">
      <w:start w:val="1"/>
      <w:numFmt w:val="bullet"/>
      <w:lvlText w:val="o"/>
      <w:lvlJc w:val="left"/>
      <w:pPr>
        <w:ind w:left="1440" w:hanging="360"/>
      </w:pPr>
      <w:rPr>
        <w:rFonts w:ascii="Courier New" w:hAnsi="Courier New" w:hint="default"/>
      </w:rPr>
    </w:lvl>
    <w:lvl w:ilvl="2" w:tplc="F94C8286" w:tentative="1">
      <w:start w:val="1"/>
      <w:numFmt w:val="bullet"/>
      <w:lvlText w:val=""/>
      <w:lvlJc w:val="left"/>
      <w:pPr>
        <w:ind w:left="2160" w:hanging="360"/>
      </w:pPr>
      <w:rPr>
        <w:rFonts w:ascii="Wingdings" w:hAnsi="Wingdings" w:hint="default"/>
      </w:rPr>
    </w:lvl>
    <w:lvl w:ilvl="3" w:tplc="F2347104" w:tentative="1">
      <w:start w:val="1"/>
      <w:numFmt w:val="bullet"/>
      <w:lvlText w:val=""/>
      <w:lvlJc w:val="left"/>
      <w:pPr>
        <w:ind w:left="2880" w:hanging="360"/>
      </w:pPr>
      <w:rPr>
        <w:rFonts w:ascii="Symbol" w:hAnsi="Symbol" w:hint="default"/>
      </w:rPr>
    </w:lvl>
    <w:lvl w:ilvl="4" w:tplc="07545D72" w:tentative="1">
      <w:start w:val="1"/>
      <w:numFmt w:val="bullet"/>
      <w:lvlText w:val="o"/>
      <w:lvlJc w:val="left"/>
      <w:pPr>
        <w:ind w:left="3600" w:hanging="360"/>
      </w:pPr>
      <w:rPr>
        <w:rFonts w:ascii="Courier New" w:hAnsi="Courier New" w:hint="default"/>
      </w:rPr>
    </w:lvl>
    <w:lvl w:ilvl="5" w:tplc="46F20F36" w:tentative="1">
      <w:start w:val="1"/>
      <w:numFmt w:val="bullet"/>
      <w:lvlText w:val=""/>
      <w:lvlJc w:val="left"/>
      <w:pPr>
        <w:ind w:left="4320" w:hanging="360"/>
      </w:pPr>
      <w:rPr>
        <w:rFonts w:ascii="Wingdings" w:hAnsi="Wingdings" w:hint="default"/>
      </w:rPr>
    </w:lvl>
    <w:lvl w:ilvl="6" w:tplc="CEA06E4A" w:tentative="1">
      <w:start w:val="1"/>
      <w:numFmt w:val="bullet"/>
      <w:lvlText w:val=""/>
      <w:lvlJc w:val="left"/>
      <w:pPr>
        <w:ind w:left="5040" w:hanging="360"/>
      </w:pPr>
      <w:rPr>
        <w:rFonts w:ascii="Symbol" w:hAnsi="Symbol" w:hint="default"/>
      </w:rPr>
    </w:lvl>
    <w:lvl w:ilvl="7" w:tplc="695C53DA" w:tentative="1">
      <w:start w:val="1"/>
      <w:numFmt w:val="bullet"/>
      <w:lvlText w:val="o"/>
      <w:lvlJc w:val="left"/>
      <w:pPr>
        <w:ind w:left="5760" w:hanging="360"/>
      </w:pPr>
      <w:rPr>
        <w:rFonts w:ascii="Courier New" w:hAnsi="Courier New" w:hint="default"/>
      </w:rPr>
    </w:lvl>
    <w:lvl w:ilvl="8" w:tplc="3EB2C3A0" w:tentative="1">
      <w:start w:val="1"/>
      <w:numFmt w:val="bullet"/>
      <w:lvlText w:val=""/>
      <w:lvlJc w:val="left"/>
      <w:pPr>
        <w:ind w:left="6480" w:hanging="360"/>
      </w:pPr>
      <w:rPr>
        <w:rFonts w:ascii="Wingdings" w:hAnsi="Wingdings" w:hint="default"/>
      </w:rPr>
    </w:lvl>
  </w:abstractNum>
  <w:abstractNum w:abstractNumId="46" w15:restartNumberingAfterBreak="0">
    <w:nsid w:val="31AB27CD"/>
    <w:multiLevelType w:val="multilevel"/>
    <w:tmpl w:val="A4365CEA"/>
    <w:lvl w:ilvl="0">
      <w:start w:val="1"/>
      <w:numFmt w:val="bullet"/>
      <w:lvlText w:val=""/>
      <w:lvlJc w:val="left"/>
      <w:pPr>
        <w:tabs>
          <w:tab w:val="num" w:pos="720"/>
        </w:tabs>
        <w:ind w:left="720" w:hanging="360"/>
      </w:pPr>
      <w:rPr>
        <w:rFonts w:ascii="Symbol" w:hAnsi="Symbol" w:hint="default"/>
        <w:sz w:val="20"/>
      </w:rPr>
    </w:lvl>
    <w:lvl w:ilvl="1">
      <w:start w:val="3"/>
      <w:numFmt w:val="upperLetter"/>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3EC15B6"/>
    <w:multiLevelType w:val="hybridMultilevel"/>
    <w:tmpl w:val="D9727CC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343BF50F"/>
    <w:multiLevelType w:val="hybridMultilevel"/>
    <w:tmpl w:val="C3CCEC7C"/>
    <w:lvl w:ilvl="0" w:tplc="FFC4BB16">
      <w:start w:val="1"/>
      <w:numFmt w:val="bullet"/>
      <w:lvlText w:val="·"/>
      <w:lvlJc w:val="left"/>
      <w:pPr>
        <w:ind w:left="720" w:hanging="360"/>
      </w:pPr>
      <w:rPr>
        <w:rFonts w:ascii="Symbol" w:hAnsi="Symbol" w:hint="default"/>
      </w:rPr>
    </w:lvl>
    <w:lvl w:ilvl="1" w:tplc="ACE2F844">
      <w:start w:val="1"/>
      <w:numFmt w:val="bullet"/>
      <w:lvlText w:val="-"/>
      <w:lvlJc w:val="left"/>
      <w:pPr>
        <w:ind w:left="1440" w:hanging="360"/>
      </w:pPr>
      <w:rPr>
        <w:rFonts w:ascii="Symbol" w:hAnsi="Symbol" w:hint="default"/>
      </w:rPr>
    </w:lvl>
    <w:lvl w:ilvl="2" w:tplc="C9F66836">
      <w:start w:val="1"/>
      <w:numFmt w:val="bullet"/>
      <w:lvlText w:val=""/>
      <w:lvlJc w:val="left"/>
      <w:pPr>
        <w:ind w:left="2160" w:hanging="360"/>
      </w:pPr>
      <w:rPr>
        <w:rFonts w:ascii="Wingdings" w:hAnsi="Wingdings" w:hint="default"/>
      </w:rPr>
    </w:lvl>
    <w:lvl w:ilvl="3" w:tplc="752CAD8C">
      <w:start w:val="1"/>
      <w:numFmt w:val="bullet"/>
      <w:lvlText w:val=""/>
      <w:lvlJc w:val="left"/>
      <w:pPr>
        <w:ind w:left="2880" w:hanging="360"/>
      </w:pPr>
      <w:rPr>
        <w:rFonts w:ascii="Symbol" w:hAnsi="Symbol" w:hint="default"/>
      </w:rPr>
    </w:lvl>
    <w:lvl w:ilvl="4" w:tplc="4F2A717A">
      <w:start w:val="1"/>
      <w:numFmt w:val="bullet"/>
      <w:lvlText w:val="o"/>
      <w:lvlJc w:val="left"/>
      <w:pPr>
        <w:ind w:left="3600" w:hanging="360"/>
      </w:pPr>
      <w:rPr>
        <w:rFonts w:ascii="Courier New" w:hAnsi="Courier New" w:hint="default"/>
      </w:rPr>
    </w:lvl>
    <w:lvl w:ilvl="5" w:tplc="C4AEE5E6">
      <w:start w:val="1"/>
      <w:numFmt w:val="bullet"/>
      <w:lvlText w:val=""/>
      <w:lvlJc w:val="left"/>
      <w:pPr>
        <w:ind w:left="4320" w:hanging="360"/>
      </w:pPr>
      <w:rPr>
        <w:rFonts w:ascii="Wingdings" w:hAnsi="Wingdings" w:hint="default"/>
      </w:rPr>
    </w:lvl>
    <w:lvl w:ilvl="6" w:tplc="56BE4DF2">
      <w:start w:val="1"/>
      <w:numFmt w:val="bullet"/>
      <w:lvlText w:val=""/>
      <w:lvlJc w:val="left"/>
      <w:pPr>
        <w:ind w:left="5040" w:hanging="360"/>
      </w:pPr>
      <w:rPr>
        <w:rFonts w:ascii="Symbol" w:hAnsi="Symbol" w:hint="default"/>
      </w:rPr>
    </w:lvl>
    <w:lvl w:ilvl="7" w:tplc="C27823CC">
      <w:start w:val="1"/>
      <w:numFmt w:val="bullet"/>
      <w:lvlText w:val="o"/>
      <w:lvlJc w:val="left"/>
      <w:pPr>
        <w:ind w:left="5760" w:hanging="360"/>
      </w:pPr>
      <w:rPr>
        <w:rFonts w:ascii="Courier New" w:hAnsi="Courier New" w:hint="default"/>
      </w:rPr>
    </w:lvl>
    <w:lvl w:ilvl="8" w:tplc="8BC47C34">
      <w:start w:val="1"/>
      <w:numFmt w:val="bullet"/>
      <w:lvlText w:val=""/>
      <w:lvlJc w:val="left"/>
      <w:pPr>
        <w:ind w:left="6480" w:hanging="360"/>
      </w:pPr>
      <w:rPr>
        <w:rFonts w:ascii="Wingdings" w:hAnsi="Wingdings" w:hint="default"/>
      </w:rPr>
    </w:lvl>
  </w:abstractNum>
  <w:abstractNum w:abstractNumId="49" w15:restartNumberingAfterBreak="0">
    <w:nsid w:val="3707EE6F"/>
    <w:multiLevelType w:val="hybridMultilevel"/>
    <w:tmpl w:val="7AE42322"/>
    <w:lvl w:ilvl="0" w:tplc="3FEA5E1E">
      <w:start w:val="1"/>
      <w:numFmt w:val="bullet"/>
      <w:lvlText w:val=""/>
      <w:lvlJc w:val="left"/>
      <w:pPr>
        <w:ind w:left="720" w:hanging="360"/>
      </w:pPr>
      <w:rPr>
        <w:rFonts w:ascii="Wingdings,Sans-Serif" w:hAnsi="Wingdings,Sans-Serif" w:hint="default"/>
      </w:rPr>
    </w:lvl>
    <w:lvl w:ilvl="1" w:tplc="2D14C358">
      <w:start w:val="1"/>
      <w:numFmt w:val="bullet"/>
      <w:lvlText w:val="o"/>
      <w:lvlJc w:val="left"/>
      <w:pPr>
        <w:ind w:left="1440" w:hanging="360"/>
      </w:pPr>
      <w:rPr>
        <w:rFonts w:ascii="Courier New" w:hAnsi="Courier New" w:hint="default"/>
      </w:rPr>
    </w:lvl>
    <w:lvl w:ilvl="2" w:tplc="928CA1D0">
      <w:start w:val="1"/>
      <w:numFmt w:val="bullet"/>
      <w:lvlText w:val=""/>
      <w:lvlJc w:val="left"/>
      <w:pPr>
        <w:ind w:left="2160" w:hanging="360"/>
      </w:pPr>
      <w:rPr>
        <w:rFonts w:ascii="Wingdings" w:hAnsi="Wingdings" w:hint="default"/>
      </w:rPr>
    </w:lvl>
    <w:lvl w:ilvl="3" w:tplc="265865B4">
      <w:start w:val="1"/>
      <w:numFmt w:val="bullet"/>
      <w:lvlText w:val=""/>
      <w:lvlJc w:val="left"/>
      <w:pPr>
        <w:ind w:left="2880" w:hanging="360"/>
      </w:pPr>
      <w:rPr>
        <w:rFonts w:ascii="Symbol" w:hAnsi="Symbol" w:hint="default"/>
      </w:rPr>
    </w:lvl>
    <w:lvl w:ilvl="4" w:tplc="2C621DBA">
      <w:start w:val="1"/>
      <w:numFmt w:val="bullet"/>
      <w:lvlText w:val="o"/>
      <w:lvlJc w:val="left"/>
      <w:pPr>
        <w:ind w:left="3600" w:hanging="360"/>
      </w:pPr>
      <w:rPr>
        <w:rFonts w:ascii="Courier New" w:hAnsi="Courier New" w:hint="default"/>
      </w:rPr>
    </w:lvl>
    <w:lvl w:ilvl="5" w:tplc="AD8EBCCA">
      <w:start w:val="1"/>
      <w:numFmt w:val="bullet"/>
      <w:lvlText w:val=""/>
      <w:lvlJc w:val="left"/>
      <w:pPr>
        <w:ind w:left="4320" w:hanging="360"/>
      </w:pPr>
      <w:rPr>
        <w:rFonts w:ascii="Wingdings" w:hAnsi="Wingdings" w:hint="default"/>
      </w:rPr>
    </w:lvl>
    <w:lvl w:ilvl="6" w:tplc="2AD23AD6">
      <w:start w:val="1"/>
      <w:numFmt w:val="bullet"/>
      <w:lvlText w:val=""/>
      <w:lvlJc w:val="left"/>
      <w:pPr>
        <w:ind w:left="5040" w:hanging="360"/>
      </w:pPr>
      <w:rPr>
        <w:rFonts w:ascii="Symbol" w:hAnsi="Symbol" w:hint="default"/>
      </w:rPr>
    </w:lvl>
    <w:lvl w:ilvl="7" w:tplc="8C4CB66A">
      <w:start w:val="1"/>
      <w:numFmt w:val="bullet"/>
      <w:lvlText w:val="o"/>
      <w:lvlJc w:val="left"/>
      <w:pPr>
        <w:ind w:left="5760" w:hanging="360"/>
      </w:pPr>
      <w:rPr>
        <w:rFonts w:ascii="Courier New" w:hAnsi="Courier New" w:hint="default"/>
      </w:rPr>
    </w:lvl>
    <w:lvl w:ilvl="8" w:tplc="9118C93A">
      <w:start w:val="1"/>
      <w:numFmt w:val="bullet"/>
      <w:lvlText w:val=""/>
      <w:lvlJc w:val="left"/>
      <w:pPr>
        <w:ind w:left="6480" w:hanging="360"/>
      </w:pPr>
      <w:rPr>
        <w:rFonts w:ascii="Wingdings" w:hAnsi="Wingdings" w:hint="default"/>
      </w:rPr>
    </w:lvl>
  </w:abstractNum>
  <w:abstractNum w:abstractNumId="50" w15:restartNumberingAfterBreak="0">
    <w:nsid w:val="3A9CBD3E"/>
    <w:multiLevelType w:val="hybridMultilevel"/>
    <w:tmpl w:val="F4867B8A"/>
    <w:lvl w:ilvl="0" w:tplc="CB760AD2">
      <w:start w:val="1"/>
      <w:numFmt w:val="bullet"/>
      <w:lvlText w:val=""/>
      <w:lvlJc w:val="left"/>
      <w:pPr>
        <w:ind w:left="720" w:hanging="360"/>
      </w:pPr>
      <w:rPr>
        <w:rFonts w:ascii="Wingdings,Sans-Serif" w:hAnsi="Wingdings,Sans-Serif" w:hint="default"/>
      </w:rPr>
    </w:lvl>
    <w:lvl w:ilvl="1" w:tplc="550E88C2">
      <w:start w:val="1"/>
      <w:numFmt w:val="bullet"/>
      <w:lvlText w:val="o"/>
      <w:lvlJc w:val="left"/>
      <w:pPr>
        <w:ind w:left="1440" w:hanging="360"/>
      </w:pPr>
      <w:rPr>
        <w:rFonts w:ascii="Courier New" w:hAnsi="Courier New" w:hint="default"/>
      </w:rPr>
    </w:lvl>
    <w:lvl w:ilvl="2" w:tplc="E65E20BE">
      <w:start w:val="1"/>
      <w:numFmt w:val="bullet"/>
      <w:lvlText w:val=""/>
      <w:lvlJc w:val="left"/>
      <w:pPr>
        <w:ind w:left="2160" w:hanging="360"/>
      </w:pPr>
      <w:rPr>
        <w:rFonts w:ascii="Wingdings" w:hAnsi="Wingdings" w:hint="default"/>
      </w:rPr>
    </w:lvl>
    <w:lvl w:ilvl="3" w:tplc="8C704A3E">
      <w:start w:val="1"/>
      <w:numFmt w:val="bullet"/>
      <w:lvlText w:val=""/>
      <w:lvlJc w:val="left"/>
      <w:pPr>
        <w:ind w:left="2880" w:hanging="360"/>
      </w:pPr>
      <w:rPr>
        <w:rFonts w:ascii="Symbol" w:hAnsi="Symbol" w:hint="default"/>
      </w:rPr>
    </w:lvl>
    <w:lvl w:ilvl="4" w:tplc="888CFF6A">
      <w:start w:val="1"/>
      <w:numFmt w:val="bullet"/>
      <w:lvlText w:val="o"/>
      <w:lvlJc w:val="left"/>
      <w:pPr>
        <w:ind w:left="3600" w:hanging="360"/>
      </w:pPr>
      <w:rPr>
        <w:rFonts w:ascii="Courier New" w:hAnsi="Courier New" w:hint="default"/>
      </w:rPr>
    </w:lvl>
    <w:lvl w:ilvl="5" w:tplc="0E38D130">
      <w:start w:val="1"/>
      <w:numFmt w:val="bullet"/>
      <w:lvlText w:val=""/>
      <w:lvlJc w:val="left"/>
      <w:pPr>
        <w:ind w:left="4320" w:hanging="360"/>
      </w:pPr>
      <w:rPr>
        <w:rFonts w:ascii="Wingdings" w:hAnsi="Wingdings" w:hint="default"/>
      </w:rPr>
    </w:lvl>
    <w:lvl w:ilvl="6" w:tplc="D71CD23A">
      <w:start w:val="1"/>
      <w:numFmt w:val="bullet"/>
      <w:lvlText w:val=""/>
      <w:lvlJc w:val="left"/>
      <w:pPr>
        <w:ind w:left="5040" w:hanging="360"/>
      </w:pPr>
      <w:rPr>
        <w:rFonts w:ascii="Symbol" w:hAnsi="Symbol" w:hint="default"/>
      </w:rPr>
    </w:lvl>
    <w:lvl w:ilvl="7" w:tplc="765E6F20">
      <w:start w:val="1"/>
      <w:numFmt w:val="bullet"/>
      <w:lvlText w:val="o"/>
      <w:lvlJc w:val="left"/>
      <w:pPr>
        <w:ind w:left="5760" w:hanging="360"/>
      </w:pPr>
      <w:rPr>
        <w:rFonts w:ascii="Courier New" w:hAnsi="Courier New" w:hint="default"/>
      </w:rPr>
    </w:lvl>
    <w:lvl w:ilvl="8" w:tplc="AEB4B908">
      <w:start w:val="1"/>
      <w:numFmt w:val="bullet"/>
      <w:lvlText w:val=""/>
      <w:lvlJc w:val="left"/>
      <w:pPr>
        <w:ind w:left="6480" w:hanging="360"/>
      </w:pPr>
      <w:rPr>
        <w:rFonts w:ascii="Wingdings" w:hAnsi="Wingdings" w:hint="default"/>
      </w:rPr>
    </w:lvl>
  </w:abstractNum>
  <w:abstractNum w:abstractNumId="51" w15:restartNumberingAfterBreak="0">
    <w:nsid w:val="3AE1AD05"/>
    <w:multiLevelType w:val="hybridMultilevel"/>
    <w:tmpl w:val="6546B61E"/>
    <w:lvl w:ilvl="0" w:tplc="394A4E24">
      <w:start w:val="1"/>
      <w:numFmt w:val="decimal"/>
      <w:lvlText w:val="%1."/>
      <w:lvlJc w:val="left"/>
      <w:pPr>
        <w:ind w:left="720" w:hanging="360"/>
      </w:pPr>
    </w:lvl>
    <w:lvl w:ilvl="1" w:tplc="0994AD98">
      <w:start w:val="1"/>
      <w:numFmt w:val="lowerLetter"/>
      <w:lvlText w:val="%2."/>
      <w:lvlJc w:val="left"/>
      <w:pPr>
        <w:ind w:left="1440" w:hanging="360"/>
      </w:pPr>
    </w:lvl>
    <w:lvl w:ilvl="2" w:tplc="17627442">
      <w:start w:val="1"/>
      <w:numFmt w:val="lowerRoman"/>
      <w:lvlText w:val="%3."/>
      <w:lvlJc w:val="right"/>
      <w:pPr>
        <w:ind w:left="2160" w:hanging="180"/>
      </w:pPr>
    </w:lvl>
    <w:lvl w:ilvl="3" w:tplc="76C60C50">
      <w:start w:val="1"/>
      <w:numFmt w:val="decimal"/>
      <w:lvlText w:val="%4."/>
      <w:lvlJc w:val="left"/>
      <w:pPr>
        <w:ind w:left="2880" w:hanging="360"/>
      </w:pPr>
    </w:lvl>
    <w:lvl w:ilvl="4" w:tplc="B38225CC">
      <w:start w:val="1"/>
      <w:numFmt w:val="lowerLetter"/>
      <w:lvlText w:val="%5."/>
      <w:lvlJc w:val="left"/>
      <w:pPr>
        <w:ind w:left="3600" w:hanging="360"/>
      </w:pPr>
    </w:lvl>
    <w:lvl w:ilvl="5" w:tplc="6E88C858">
      <w:start w:val="1"/>
      <w:numFmt w:val="lowerRoman"/>
      <w:lvlText w:val="%6."/>
      <w:lvlJc w:val="right"/>
      <w:pPr>
        <w:ind w:left="4320" w:hanging="180"/>
      </w:pPr>
    </w:lvl>
    <w:lvl w:ilvl="6" w:tplc="5A7E23DC">
      <w:start w:val="1"/>
      <w:numFmt w:val="decimal"/>
      <w:lvlText w:val="%7."/>
      <w:lvlJc w:val="left"/>
      <w:pPr>
        <w:ind w:left="5040" w:hanging="360"/>
      </w:pPr>
    </w:lvl>
    <w:lvl w:ilvl="7" w:tplc="FA4CE800">
      <w:start w:val="1"/>
      <w:numFmt w:val="lowerLetter"/>
      <w:lvlText w:val="%8."/>
      <w:lvlJc w:val="left"/>
      <w:pPr>
        <w:ind w:left="5760" w:hanging="360"/>
      </w:pPr>
    </w:lvl>
    <w:lvl w:ilvl="8" w:tplc="CF28C22C">
      <w:start w:val="1"/>
      <w:numFmt w:val="lowerRoman"/>
      <w:lvlText w:val="%9."/>
      <w:lvlJc w:val="right"/>
      <w:pPr>
        <w:ind w:left="6480" w:hanging="180"/>
      </w:pPr>
    </w:lvl>
  </w:abstractNum>
  <w:abstractNum w:abstractNumId="52" w15:restartNumberingAfterBreak="0">
    <w:nsid w:val="3B556528"/>
    <w:multiLevelType w:val="hybridMultilevel"/>
    <w:tmpl w:val="DE64358C"/>
    <w:lvl w:ilvl="0" w:tplc="2CECA6DA">
      <w:start w:val="1"/>
      <w:numFmt w:val="bullet"/>
      <w:lvlText w:val=""/>
      <w:lvlJc w:val="left"/>
      <w:pPr>
        <w:ind w:left="720" w:hanging="360"/>
      </w:pPr>
      <w:rPr>
        <w:rFonts w:ascii="Symbol" w:hAnsi="Symbol" w:hint="default"/>
      </w:rPr>
    </w:lvl>
    <w:lvl w:ilvl="1" w:tplc="ABF8E114" w:tentative="1">
      <w:start w:val="1"/>
      <w:numFmt w:val="bullet"/>
      <w:lvlText w:val="o"/>
      <w:lvlJc w:val="left"/>
      <w:pPr>
        <w:ind w:left="1440" w:hanging="360"/>
      </w:pPr>
      <w:rPr>
        <w:rFonts w:ascii="Courier New" w:hAnsi="Courier New" w:hint="default"/>
      </w:rPr>
    </w:lvl>
    <w:lvl w:ilvl="2" w:tplc="807CB81E" w:tentative="1">
      <w:start w:val="1"/>
      <w:numFmt w:val="bullet"/>
      <w:lvlText w:val=""/>
      <w:lvlJc w:val="left"/>
      <w:pPr>
        <w:ind w:left="2160" w:hanging="360"/>
      </w:pPr>
      <w:rPr>
        <w:rFonts w:ascii="Wingdings" w:hAnsi="Wingdings" w:hint="default"/>
      </w:rPr>
    </w:lvl>
    <w:lvl w:ilvl="3" w:tplc="E988CA52" w:tentative="1">
      <w:start w:val="1"/>
      <w:numFmt w:val="bullet"/>
      <w:lvlText w:val=""/>
      <w:lvlJc w:val="left"/>
      <w:pPr>
        <w:ind w:left="2880" w:hanging="360"/>
      </w:pPr>
      <w:rPr>
        <w:rFonts w:ascii="Symbol" w:hAnsi="Symbol" w:hint="default"/>
      </w:rPr>
    </w:lvl>
    <w:lvl w:ilvl="4" w:tplc="23CCD4A2" w:tentative="1">
      <w:start w:val="1"/>
      <w:numFmt w:val="bullet"/>
      <w:lvlText w:val="o"/>
      <w:lvlJc w:val="left"/>
      <w:pPr>
        <w:ind w:left="3600" w:hanging="360"/>
      </w:pPr>
      <w:rPr>
        <w:rFonts w:ascii="Courier New" w:hAnsi="Courier New" w:hint="default"/>
      </w:rPr>
    </w:lvl>
    <w:lvl w:ilvl="5" w:tplc="C96CCFF6" w:tentative="1">
      <w:start w:val="1"/>
      <w:numFmt w:val="bullet"/>
      <w:lvlText w:val=""/>
      <w:lvlJc w:val="left"/>
      <w:pPr>
        <w:ind w:left="4320" w:hanging="360"/>
      </w:pPr>
      <w:rPr>
        <w:rFonts w:ascii="Wingdings" w:hAnsi="Wingdings" w:hint="default"/>
      </w:rPr>
    </w:lvl>
    <w:lvl w:ilvl="6" w:tplc="B9162372" w:tentative="1">
      <w:start w:val="1"/>
      <w:numFmt w:val="bullet"/>
      <w:lvlText w:val=""/>
      <w:lvlJc w:val="left"/>
      <w:pPr>
        <w:ind w:left="5040" w:hanging="360"/>
      </w:pPr>
      <w:rPr>
        <w:rFonts w:ascii="Symbol" w:hAnsi="Symbol" w:hint="default"/>
      </w:rPr>
    </w:lvl>
    <w:lvl w:ilvl="7" w:tplc="1D38749C" w:tentative="1">
      <w:start w:val="1"/>
      <w:numFmt w:val="bullet"/>
      <w:lvlText w:val="o"/>
      <w:lvlJc w:val="left"/>
      <w:pPr>
        <w:ind w:left="5760" w:hanging="360"/>
      </w:pPr>
      <w:rPr>
        <w:rFonts w:ascii="Courier New" w:hAnsi="Courier New" w:hint="default"/>
      </w:rPr>
    </w:lvl>
    <w:lvl w:ilvl="8" w:tplc="21309028" w:tentative="1">
      <w:start w:val="1"/>
      <w:numFmt w:val="bullet"/>
      <w:lvlText w:val=""/>
      <w:lvlJc w:val="left"/>
      <w:pPr>
        <w:ind w:left="6480" w:hanging="360"/>
      </w:pPr>
      <w:rPr>
        <w:rFonts w:ascii="Wingdings" w:hAnsi="Wingdings" w:hint="default"/>
      </w:rPr>
    </w:lvl>
  </w:abstractNum>
  <w:abstractNum w:abstractNumId="53" w15:restartNumberingAfterBreak="0">
    <w:nsid w:val="3BEB74E9"/>
    <w:multiLevelType w:val="hybridMultilevel"/>
    <w:tmpl w:val="1DEA09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4" w15:restartNumberingAfterBreak="0">
    <w:nsid w:val="3D2878DA"/>
    <w:multiLevelType w:val="hybridMultilevel"/>
    <w:tmpl w:val="4CF49B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3E284094"/>
    <w:multiLevelType w:val="multilevel"/>
    <w:tmpl w:val="5B288C74"/>
    <w:lvl w:ilvl="0">
      <w:start w:val="1"/>
      <w:numFmt w:val="upperRoman"/>
      <w:lvlText w:val="%1."/>
      <w:lvlJc w:val="left"/>
      <w:pPr>
        <w:ind w:left="1080" w:hanging="720"/>
      </w:pPr>
    </w:lvl>
    <w:lvl w:ilvl="1">
      <w:start w:val="1"/>
      <w:numFmt w:val="decimal"/>
      <w:lvlText w:val="%1.%2"/>
      <w:lvlJc w:val="left"/>
      <w:pPr>
        <w:ind w:left="720" w:hanging="360"/>
      </w:pPr>
    </w:lvl>
    <w:lvl w:ilvl="2">
      <w:start w:val="1"/>
      <w:numFmt w:val="decimal"/>
      <w:lvlText w:val="%1.%2.%3"/>
      <w:lvlJc w:val="left"/>
      <w:pPr>
        <w:ind w:left="1080" w:hanging="720"/>
      </w:pPr>
      <w:rPr>
        <w:b/>
        <w:bCs w:val="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6" w15:restartNumberingAfterBreak="0">
    <w:nsid w:val="3F68F149"/>
    <w:multiLevelType w:val="hybridMultilevel"/>
    <w:tmpl w:val="8046879C"/>
    <w:lvl w:ilvl="0" w:tplc="0A862400">
      <w:start w:val="1"/>
      <w:numFmt w:val="bullet"/>
      <w:lvlText w:val=""/>
      <w:lvlJc w:val="left"/>
      <w:pPr>
        <w:ind w:left="720" w:hanging="360"/>
      </w:pPr>
      <w:rPr>
        <w:rFonts w:ascii="Wingdings,Sans-Serif" w:hAnsi="Wingdings,Sans-Serif" w:hint="default"/>
      </w:rPr>
    </w:lvl>
    <w:lvl w:ilvl="1" w:tplc="94EEEEF0">
      <w:start w:val="1"/>
      <w:numFmt w:val="bullet"/>
      <w:lvlText w:val="o"/>
      <w:lvlJc w:val="left"/>
      <w:pPr>
        <w:ind w:left="1440" w:hanging="360"/>
      </w:pPr>
      <w:rPr>
        <w:rFonts w:ascii="Courier New" w:hAnsi="Courier New" w:hint="default"/>
      </w:rPr>
    </w:lvl>
    <w:lvl w:ilvl="2" w:tplc="31B69A6C">
      <w:start w:val="1"/>
      <w:numFmt w:val="bullet"/>
      <w:lvlText w:val=""/>
      <w:lvlJc w:val="left"/>
      <w:pPr>
        <w:ind w:left="2160" w:hanging="360"/>
      </w:pPr>
      <w:rPr>
        <w:rFonts w:ascii="Wingdings" w:hAnsi="Wingdings" w:hint="default"/>
      </w:rPr>
    </w:lvl>
    <w:lvl w:ilvl="3" w:tplc="AEEC3506">
      <w:start w:val="1"/>
      <w:numFmt w:val="bullet"/>
      <w:lvlText w:val=""/>
      <w:lvlJc w:val="left"/>
      <w:pPr>
        <w:ind w:left="2880" w:hanging="360"/>
      </w:pPr>
      <w:rPr>
        <w:rFonts w:ascii="Symbol" w:hAnsi="Symbol" w:hint="default"/>
      </w:rPr>
    </w:lvl>
    <w:lvl w:ilvl="4" w:tplc="7F460BA6">
      <w:start w:val="1"/>
      <w:numFmt w:val="bullet"/>
      <w:lvlText w:val="o"/>
      <w:lvlJc w:val="left"/>
      <w:pPr>
        <w:ind w:left="3600" w:hanging="360"/>
      </w:pPr>
      <w:rPr>
        <w:rFonts w:ascii="Courier New" w:hAnsi="Courier New" w:hint="default"/>
      </w:rPr>
    </w:lvl>
    <w:lvl w:ilvl="5" w:tplc="4DF88340">
      <w:start w:val="1"/>
      <w:numFmt w:val="bullet"/>
      <w:lvlText w:val=""/>
      <w:lvlJc w:val="left"/>
      <w:pPr>
        <w:ind w:left="4320" w:hanging="360"/>
      </w:pPr>
      <w:rPr>
        <w:rFonts w:ascii="Wingdings" w:hAnsi="Wingdings" w:hint="default"/>
      </w:rPr>
    </w:lvl>
    <w:lvl w:ilvl="6" w:tplc="CAD0257C">
      <w:start w:val="1"/>
      <w:numFmt w:val="bullet"/>
      <w:lvlText w:val=""/>
      <w:lvlJc w:val="left"/>
      <w:pPr>
        <w:ind w:left="5040" w:hanging="360"/>
      </w:pPr>
      <w:rPr>
        <w:rFonts w:ascii="Symbol" w:hAnsi="Symbol" w:hint="default"/>
      </w:rPr>
    </w:lvl>
    <w:lvl w:ilvl="7" w:tplc="6AD86CE0">
      <w:start w:val="1"/>
      <w:numFmt w:val="bullet"/>
      <w:lvlText w:val="o"/>
      <w:lvlJc w:val="left"/>
      <w:pPr>
        <w:ind w:left="5760" w:hanging="360"/>
      </w:pPr>
      <w:rPr>
        <w:rFonts w:ascii="Courier New" w:hAnsi="Courier New" w:hint="default"/>
      </w:rPr>
    </w:lvl>
    <w:lvl w:ilvl="8" w:tplc="3EBAD21C">
      <w:start w:val="1"/>
      <w:numFmt w:val="bullet"/>
      <w:lvlText w:val=""/>
      <w:lvlJc w:val="left"/>
      <w:pPr>
        <w:ind w:left="6480" w:hanging="360"/>
      </w:pPr>
      <w:rPr>
        <w:rFonts w:ascii="Wingdings" w:hAnsi="Wingdings" w:hint="default"/>
      </w:rPr>
    </w:lvl>
  </w:abstractNum>
  <w:abstractNum w:abstractNumId="57" w15:restartNumberingAfterBreak="0">
    <w:nsid w:val="3F9DA66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8" w15:restartNumberingAfterBreak="0">
    <w:nsid w:val="3FC2CD07"/>
    <w:multiLevelType w:val="hybridMultilevel"/>
    <w:tmpl w:val="4244B6B0"/>
    <w:lvl w:ilvl="0" w:tplc="33CA5898">
      <w:start w:val="1"/>
      <w:numFmt w:val="bullet"/>
      <w:lvlText w:val=""/>
      <w:lvlJc w:val="left"/>
      <w:pPr>
        <w:ind w:left="720" w:hanging="360"/>
      </w:pPr>
      <w:rPr>
        <w:rFonts w:ascii="Wingdings,Sans-Serif" w:hAnsi="Wingdings,Sans-Serif" w:hint="default"/>
      </w:rPr>
    </w:lvl>
    <w:lvl w:ilvl="1" w:tplc="47D06CDA">
      <w:start w:val="1"/>
      <w:numFmt w:val="bullet"/>
      <w:lvlText w:val="o"/>
      <w:lvlJc w:val="left"/>
      <w:pPr>
        <w:ind w:left="1440" w:hanging="360"/>
      </w:pPr>
      <w:rPr>
        <w:rFonts w:ascii="Courier New" w:hAnsi="Courier New" w:hint="default"/>
      </w:rPr>
    </w:lvl>
    <w:lvl w:ilvl="2" w:tplc="6ABAD860">
      <w:start w:val="1"/>
      <w:numFmt w:val="bullet"/>
      <w:lvlText w:val=""/>
      <w:lvlJc w:val="left"/>
      <w:pPr>
        <w:ind w:left="2160" w:hanging="360"/>
      </w:pPr>
      <w:rPr>
        <w:rFonts w:ascii="Wingdings" w:hAnsi="Wingdings" w:hint="default"/>
      </w:rPr>
    </w:lvl>
    <w:lvl w:ilvl="3" w:tplc="6C78D622">
      <w:start w:val="1"/>
      <w:numFmt w:val="bullet"/>
      <w:lvlText w:val=""/>
      <w:lvlJc w:val="left"/>
      <w:pPr>
        <w:ind w:left="2880" w:hanging="360"/>
      </w:pPr>
      <w:rPr>
        <w:rFonts w:ascii="Symbol" w:hAnsi="Symbol" w:hint="default"/>
      </w:rPr>
    </w:lvl>
    <w:lvl w:ilvl="4" w:tplc="6CF21C92">
      <w:start w:val="1"/>
      <w:numFmt w:val="bullet"/>
      <w:lvlText w:val="o"/>
      <w:lvlJc w:val="left"/>
      <w:pPr>
        <w:ind w:left="3600" w:hanging="360"/>
      </w:pPr>
      <w:rPr>
        <w:rFonts w:ascii="Courier New" w:hAnsi="Courier New" w:hint="default"/>
      </w:rPr>
    </w:lvl>
    <w:lvl w:ilvl="5" w:tplc="4FAA97D6">
      <w:start w:val="1"/>
      <w:numFmt w:val="bullet"/>
      <w:lvlText w:val=""/>
      <w:lvlJc w:val="left"/>
      <w:pPr>
        <w:ind w:left="4320" w:hanging="360"/>
      </w:pPr>
      <w:rPr>
        <w:rFonts w:ascii="Wingdings" w:hAnsi="Wingdings" w:hint="default"/>
      </w:rPr>
    </w:lvl>
    <w:lvl w:ilvl="6" w:tplc="5E58B644">
      <w:start w:val="1"/>
      <w:numFmt w:val="bullet"/>
      <w:lvlText w:val=""/>
      <w:lvlJc w:val="left"/>
      <w:pPr>
        <w:ind w:left="5040" w:hanging="360"/>
      </w:pPr>
      <w:rPr>
        <w:rFonts w:ascii="Symbol" w:hAnsi="Symbol" w:hint="default"/>
      </w:rPr>
    </w:lvl>
    <w:lvl w:ilvl="7" w:tplc="ED00A8B6">
      <w:start w:val="1"/>
      <w:numFmt w:val="bullet"/>
      <w:lvlText w:val="o"/>
      <w:lvlJc w:val="left"/>
      <w:pPr>
        <w:ind w:left="5760" w:hanging="360"/>
      </w:pPr>
      <w:rPr>
        <w:rFonts w:ascii="Courier New" w:hAnsi="Courier New" w:hint="default"/>
      </w:rPr>
    </w:lvl>
    <w:lvl w:ilvl="8" w:tplc="00B0B47A">
      <w:start w:val="1"/>
      <w:numFmt w:val="bullet"/>
      <w:lvlText w:val=""/>
      <w:lvlJc w:val="left"/>
      <w:pPr>
        <w:ind w:left="6480" w:hanging="360"/>
      </w:pPr>
      <w:rPr>
        <w:rFonts w:ascii="Wingdings" w:hAnsi="Wingdings" w:hint="default"/>
      </w:rPr>
    </w:lvl>
  </w:abstractNum>
  <w:abstractNum w:abstractNumId="59" w15:restartNumberingAfterBreak="0">
    <w:nsid w:val="40AF3320"/>
    <w:multiLevelType w:val="hybridMultilevel"/>
    <w:tmpl w:val="1692385E"/>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0" w15:restartNumberingAfterBreak="0">
    <w:nsid w:val="4246990D"/>
    <w:multiLevelType w:val="hybridMultilevel"/>
    <w:tmpl w:val="FFFFFFFF"/>
    <w:lvl w:ilvl="0" w:tplc="ED14CCC6">
      <w:start w:val="1"/>
      <w:numFmt w:val="bullet"/>
      <w:lvlText w:val="·"/>
      <w:lvlJc w:val="left"/>
      <w:pPr>
        <w:ind w:left="720" w:hanging="360"/>
      </w:pPr>
      <w:rPr>
        <w:rFonts w:ascii="Symbol" w:hAnsi="Symbol" w:hint="default"/>
      </w:rPr>
    </w:lvl>
    <w:lvl w:ilvl="1" w:tplc="72EAF494">
      <w:start w:val="1"/>
      <w:numFmt w:val="bullet"/>
      <w:lvlText w:val="o"/>
      <w:lvlJc w:val="left"/>
      <w:pPr>
        <w:ind w:left="1440" w:hanging="360"/>
      </w:pPr>
      <w:rPr>
        <w:rFonts w:ascii="Courier New" w:hAnsi="Courier New" w:hint="default"/>
      </w:rPr>
    </w:lvl>
    <w:lvl w:ilvl="2" w:tplc="79565A44">
      <w:start w:val="1"/>
      <w:numFmt w:val="bullet"/>
      <w:lvlText w:val=""/>
      <w:lvlJc w:val="left"/>
      <w:pPr>
        <w:ind w:left="2160" w:hanging="360"/>
      </w:pPr>
      <w:rPr>
        <w:rFonts w:ascii="Wingdings" w:hAnsi="Wingdings" w:hint="default"/>
      </w:rPr>
    </w:lvl>
    <w:lvl w:ilvl="3" w:tplc="7C78A8F6">
      <w:start w:val="1"/>
      <w:numFmt w:val="bullet"/>
      <w:lvlText w:val=""/>
      <w:lvlJc w:val="left"/>
      <w:pPr>
        <w:ind w:left="2880" w:hanging="360"/>
      </w:pPr>
      <w:rPr>
        <w:rFonts w:ascii="Symbol" w:hAnsi="Symbol" w:hint="default"/>
      </w:rPr>
    </w:lvl>
    <w:lvl w:ilvl="4" w:tplc="92926F3A">
      <w:start w:val="1"/>
      <w:numFmt w:val="bullet"/>
      <w:lvlText w:val="o"/>
      <w:lvlJc w:val="left"/>
      <w:pPr>
        <w:ind w:left="3600" w:hanging="360"/>
      </w:pPr>
      <w:rPr>
        <w:rFonts w:ascii="Courier New" w:hAnsi="Courier New" w:hint="default"/>
      </w:rPr>
    </w:lvl>
    <w:lvl w:ilvl="5" w:tplc="6E8A1C56">
      <w:start w:val="1"/>
      <w:numFmt w:val="bullet"/>
      <w:lvlText w:val=""/>
      <w:lvlJc w:val="left"/>
      <w:pPr>
        <w:ind w:left="4320" w:hanging="360"/>
      </w:pPr>
      <w:rPr>
        <w:rFonts w:ascii="Wingdings" w:hAnsi="Wingdings" w:hint="default"/>
      </w:rPr>
    </w:lvl>
    <w:lvl w:ilvl="6" w:tplc="512C972A">
      <w:start w:val="1"/>
      <w:numFmt w:val="bullet"/>
      <w:lvlText w:val=""/>
      <w:lvlJc w:val="left"/>
      <w:pPr>
        <w:ind w:left="5040" w:hanging="360"/>
      </w:pPr>
      <w:rPr>
        <w:rFonts w:ascii="Symbol" w:hAnsi="Symbol" w:hint="default"/>
      </w:rPr>
    </w:lvl>
    <w:lvl w:ilvl="7" w:tplc="D028454A">
      <w:start w:val="1"/>
      <w:numFmt w:val="bullet"/>
      <w:lvlText w:val="o"/>
      <w:lvlJc w:val="left"/>
      <w:pPr>
        <w:ind w:left="5760" w:hanging="360"/>
      </w:pPr>
      <w:rPr>
        <w:rFonts w:ascii="Courier New" w:hAnsi="Courier New" w:hint="default"/>
      </w:rPr>
    </w:lvl>
    <w:lvl w:ilvl="8" w:tplc="A2565D8A">
      <w:start w:val="1"/>
      <w:numFmt w:val="bullet"/>
      <w:lvlText w:val=""/>
      <w:lvlJc w:val="left"/>
      <w:pPr>
        <w:ind w:left="6480" w:hanging="360"/>
      </w:pPr>
      <w:rPr>
        <w:rFonts w:ascii="Wingdings" w:hAnsi="Wingdings" w:hint="default"/>
      </w:rPr>
    </w:lvl>
  </w:abstractNum>
  <w:abstractNum w:abstractNumId="61" w15:restartNumberingAfterBreak="0">
    <w:nsid w:val="42CF3D93"/>
    <w:multiLevelType w:val="multilevel"/>
    <w:tmpl w:val="E8DCC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2D52DCD"/>
    <w:multiLevelType w:val="multilevel"/>
    <w:tmpl w:val="C10C9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545D637"/>
    <w:multiLevelType w:val="hybridMultilevel"/>
    <w:tmpl w:val="D0BE85F8"/>
    <w:lvl w:ilvl="0" w:tplc="19C4DED8">
      <w:start w:val="1"/>
      <w:numFmt w:val="bullet"/>
      <w:lvlText w:val=""/>
      <w:lvlJc w:val="left"/>
      <w:pPr>
        <w:ind w:left="720" w:hanging="360"/>
      </w:pPr>
      <w:rPr>
        <w:rFonts w:ascii="Wingdings,Sans-Serif" w:hAnsi="Wingdings,Sans-Serif" w:hint="default"/>
      </w:rPr>
    </w:lvl>
    <w:lvl w:ilvl="1" w:tplc="A2CAC4B4">
      <w:start w:val="1"/>
      <w:numFmt w:val="bullet"/>
      <w:lvlText w:val="o"/>
      <w:lvlJc w:val="left"/>
      <w:pPr>
        <w:ind w:left="1440" w:hanging="360"/>
      </w:pPr>
      <w:rPr>
        <w:rFonts w:ascii="Courier New" w:hAnsi="Courier New" w:hint="default"/>
      </w:rPr>
    </w:lvl>
    <w:lvl w:ilvl="2" w:tplc="D368FEF4">
      <w:start w:val="1"/>
      <w:numFmt w:val="bullet"/>
      <w:lvlText w:val=""/>
      <w:lvlJc w:val="left"/>
      <w:pPr>
        <w:ind w:left="2160" w:hanging="360"/>
      </w:pPr>
      <w:rPr>
        <w:rFonts w:ascii="Wingdings" w:hAnsi="Wingdings" w:hint="default"/>
      </w:rPr>
    </w:lvl>
    <w:lvl w:ilvl="3" w:tplc="691A86C0">
      <w:start w:val="1"/>
      <w:numFmt w:val="bullet"/>
      <w:lvlText w:val=""/>
      <w:lvlJc w:val="left"/>
      <w:pPr>
        <w:ind w:left="2880" w:hanging="360"/>
      </w:pPr>
      <w:rPr>
        <w:rFonts w:ascii="Symbol" w:hAnsi="Symbol" w:hint="default"/>
      </w:rPr>
    </w:lvl>
    <w:lvl w:ilvl="4" w:tplc="DEEEDCDA">
      <w:start w:val="1"/>
      <w:numFmt w:val="bullet"/>
      <w:lvlText w:val="o"/>
      <w:lvlJc w:val="left"/>
      <w:pPr>
        <w:ind w:left="3600" w:hanging="360"/>
      </w:pPr>
      <w:rPr>
        <w:rFonts w:ascii="Courier New" w:hAnsi="Courier New" w:hint="default"/>
      </w:rPr>
    </w:lvl>
    <w:lvl w:ilvl="5" w:tplc="3782EDF6">
      <w:start w:val="1"/>
      <w:numFmt w:val="bullet"/>
      <w:lvlText w:val=""/>
      <w:lvlJc w:val="left"/>
      <w:pPr>
        <w:ind w:left="4320" w:hanging="360"/>
      </w:pPr>
      <w:rPr>
        <w:rFonts w:ascii="Wingdings" w:hAnsi="Wingdings" w:hint="default"/>
      </w:rPr>
    </w:lvl>
    <w:lvl w:ilvl="6" w:tplc="77AC8AC6">
      <w:start w:val="1"/>
      <w:numFmt w:val="bullet"/>
      <w:lvlText w:val=""/>
      <w:lvlJc w:val="left"/>
      <w:pPr>
        <w:ind w:left="5040" w:hanging="360"/>
      </w:pPr>
      <w:rPr>
        <w:rFonts w:ascii="Symbol" w:hAnsi="Symbol" w:hint="default"/>
      </w:rPr>
    </w:lvl>
    <w:lvl w:ilvl="7" w:tplc="5EFA2C96">
      <w:start w:val="1"/>
      <w:numFmt w:val="bullet"/>
      <w:lvlText w:val="o"/>
      <w:lvlJc w:val="left"/>
      <w:pPr>
        <w:ind w:left="5760" w:hanging="360"/>
      </w:pPr>
      <w:rPr>
        <w:rFonts w:ascii="Courier New" w:hAnsi="Courier New" w:hint="default"/>
      </w:rPr>
    </w:lvl>
    <w:lvl w:ilvl="8" w:tplc="F258C6A0">
      <w:start w:val="1"/>
      <w:numFmt w:val="bullet"/>
      <w:lvlText w:val=""/>
      <w:lvlJc w:val="left"/>
      <w:pPr>
        <w:ind w:left="6480" w:hanging="360"/>
      </w:pPr>
      <w:rPr>
        <w:rFonts w:ascii="Wingdings" w:hAnsi="Wingdings" w:hint="default"/>
      </w:rPr>
    </w:lvl>
  </w:abstractNum>
  <w:abstractNum w:abstractNumId="64" w15:restartNumberingAfterBreak="0">
    <w:nsid w:val="454B12F2"/>
    <w:multiLevelType w:val="hybridMultilevel"/>
    <w:tmpl w:val="6FF69392"/>
    <w:lvl w:ilvl="0" w:tplc="73EEF55A">
      <w:numFmt w:val="bullet"/>
      <w:lvlText w:val="-"/>
      <w:lvlJc w:val="left"/>
      <w:pPr>
        <w:ind w:left="1068" w:hanging="360"/>
      </w:pPr>
      <w:rPr>
        <w:rFonts w:ascii="Arial" w:hAnsi="Aria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65" w15:restartNumberingAfterBreak="0">
    <w:nsid w:val="4572646F"/>
    <w:multiLevelType w:val="hybridMultilevel"/>
    <w:tmpl w:val="E8C095F2"/>
    <w:lvl w:ilvl="0" w:tplc="080A001B">
      <w:start w:val="1"/>
      <w:numFmt w:val="lowerRoman"/>
      <w:lvlText w:val="%1."/>
      <w:lvlJc w:val="righ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66" w15:restartNumberingAfterBreak="0">
    <w:nsid w:val="474CC46D"/>
    <w:multiLevelType w:val="multilevel"/>
    <w:tmpl w:val="C17687D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88D064C"/>
    <w:multiLevelType w:val="hybridMultilevel"/>
    <w:tmpl w:val="FFFFFFFF"/>
    <w:lvl w:ilvl="0" w:tplc="3BC676F8">
      <w:start w:val="1"/>
      <w:numFmt w:val="bullet"/>
      <w:lvlText w:val=""/>
      <w:lvlJc w:val="left"/>
      <w:pPr>
        <w:ind w:left="720" w:hanging="360"/>
      </w:pPr>
      <w:rPr>
        <w:rFonts w:ascii="Symbol" w:hAnsi="Symbol" w:hint="default"/>
      </w:rPr>
    </w:lvl>
    <w:lvl w:ilvl="1" w:tplc="A6B036D0">
      <w:start w:val="1"/>
      <w:numFmt w:val="bullet"/>
      <w:lvlText w:val="o"/>
      <w:lvlJc w:val="left"/>
      <w:pPr>
        <w:ind w:left="1440" w:hanging="360"/>
      </w:pPr>
      <w:rPr>
        <w:rFonts w:ascii="Courier New" w:hAnsi="Courier New" w:hint="default"/>
      </w:rPr>
    </w:lvl>
    <w:lvl w:ilvl="2" w:tplc="214CDE80">
      <w:start w:val="1"/>
      <w:numFmt w:val="bullet"/>
      <w:lvlText w:val=""/>
      <w:lvlJc w:val="left"/>
      <w:pPr>
        <w:ind w:left="2160" w:hanging="360"/>
      </w:pPr>
      <w:rPr>
        <w:rFonts w:ascii="Wingdings" w:hAnsi="Wingdings" w:hint="default"/>
      </w:rPr>
    </w:lvl>
    <w:lvl w:ilvl="3" w:tplc="67A82268">
      <w:start w:val="1"/>
      <w:numFmt w:val="bullet"/>
      <w:lvlText w:val=""/>
      <w:lvlJc w:val="left"/>
      <w:pPr>
        <w:ind w:left="2880" w:hanging="360"/>
      </w:pPr>
      <w:rPr>
        <w:rFonts w:ascii="Symbol" w:hAnsi="Symbol" w:hint="default"/>
      </w:rPr>
    </w:lvl>
    <w:lvl w:ilvl="4" w:tplc="6054D1F0">
      <w:start w:val="1"/>
      <w:numFmt w:val="bullet"/>
      <w:lvlText w:val="o"/>
      <w:lvlJc w:val="left"/>
      <w:pPr>
        <w:ind w:left="3600" w:hanging="360"/>
      </w:pPr>
      <w:rPr>
        <w:rFonts w:ascii="Courier New" w:hAnsi="Courier New" w:hint="default"/>
      </w:rPr>
    </w:lvl>
    <w:lvl w:ilvl="5" w:tplc="9ECC6BC4">
      <w:start w:val="1"/>
      <w:numFmt w:val="bullet"/>
      <w:lvlText w:val=""/>
      <w:lvlJc w:val="left"/>
      <w:pPr>
        <w:ind w:left="4320" w:hanging="360"/>
      </w:pPr>
      <w:rPr>
        <w:rFonts w:ascii="Wingdings" w:hAnsi="Wingdings" w:hint="default"/>
      </w:rPr>
    </w:lvl>
    <w:lvl w:ilvl="6" w:tplc="9A66A228">
      <w:start w:val="1"/>
      <w:numFmt w:val="bullet"/>
      <w:lvlText w:val=""/>
      <w:lvlJc w:val="left"/>
      <w:pPr>
        <w:ind w:left="5040" w:hanging="360"/>
      </w:pPr>
      <w:rPr>
        <w:rFonts w:ascii="Symbol" w:hAnsi="Symbol" w:hint="default"/>
      </w:rPr>
    </w:lvl>
    <w:lvl w:ilvl="7" w:tplc="695681D6">
      <w:start w:val="1"/>
      <w:numFmt w:val="bullet"/>
      <w:lvlText w:val="o"/>
      <w:lvlJc w:val="left"/>
      <w:pPr>
        <w:ind w:left="5760" w:hanging="360"/>
      </w:pPr>
      <w:rPr>
        <w:rFonts w:ascii="Courier New" w:hAnsi="Courier New" w:hint="default"/>
      </w:rPr>
    </w:lvl>
    <w:lvl w:ilvl="8" w:tplc="57C6D0EC">
      <w:start w:val="1"/>
      <w:numFmt w:val="bullet"/>
      <w:lvlText w:val=""/>
      <w:lvlJc w:val="left"/>
      <w:pPr>
        <w:ind w:left="6480" w:hanging="360"/>
      </w:pPr>
      <w:rPr>
        <w:rFonts w:ascii="Wingdings" w:hAnsi="Wingdings" w:hint="default"/>
      </w:rPr>
    </w:lvl>
  </w:abstractNum>
  <w:abstractNum w:abstractNumId="68" w15:restartNumberingAfterBreak="0">
    <w:nsid w:val="4BD90925"/>
    <w:multiLevelType w:val="multilevel"/>
    <w:tmpl w:val="3766B2CE"/>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DA20C96"/>
    <w:multiLevelType w:val="hybridMultilevel"/>
    <w:tmpl w:val="1A7A2B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0" w15:restartNumberingAfterBreak="0">
    <w:nsid w:val="4FAE0AFD"/>
    <w:multiLevelType w:val="multilevel"/>
    <w:tmpl w:val="634E3FC0"/>
    <w:lvl w:ilvl="0">
      <w:start w:val="1"/>
      <w:numFmt w:val="bullet"/>
      <w:lvlText w:val=""/>
      <w:lvlJc w:val="left"/>
      <w:pPr>
        <w:tabs>
          <w:tab w:val="num" w:pos="720"/>
        </w:tabs>
        <w:ind w:left="720" w:hanging="360"/>
      </w:pPr>
      <w:rPr>
        <w:rFonts w:ascii="Symbol" w:hAnsi="Symbol" w:hint="default"/>
        <w:sz w:val="20"/>
      </w:rPr>
    </w:lvl>
    <w:lvl w:ilvl="1">
      <w:start w:val="20"/>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02F63E3"/>
    <w:multiLevelType w:val="hybridMultilevel"/>
    <w:tmpl w:val="AF88954A"/>
    <w:lvl w:ilvl="0" w:tplc="8DD6B486">
      <w:start w:val="1"/>
      <w:numFmt w:val="bullet"/>
      <w:lvlText w:val=""/>
      <w:lvlJc w:val="left"/>
      <w:pPr>
        <w:ind w:left="720" w:hanging="360"/>
      </w:pPr>
      <w:rPr>
        <w:rFonts w:ascii="Symbol" w:hAnsi="Symbol" w:hint="default"/>
      </w:rPr>
    </w:lvl>
    <w:lvl w:ilvl="1" w:tplc="1B8C0FDA" w:tentative="1">
      <w:start w:val="1"/>
      <w:numFmt w:val="bullet"/>
      <w:lvlText w:val="o"/>
      <w:lvlJc w:val="left"/>
      <w:pPr>
        <w:ind w:left="1440" w:hanging="360"/>
      </w:pPr>
      <w:rPr>
        <w:rFonts w:ascii="Courier New" w:hAnsi="Courier New" w:hint="default"/>
      </w:rPr>
    </w:lvl>
    <w:lvl w:ilvl="2" w:tplc="59F0D3B6" w:tentative="1">
      <w:start w:val="1"/>
      <w:numFmt w:val="bullet"/>
      <w:lvlText w:val=""/>
      <w:lvlJc w:val="left"/>
      <w:pPr>
        <w:ind w:left="2160" w:hanging="360"/>
      </w:pPr>
      <w:rPr>
        <w:rFonts w:ascii="Wingdings" w:hAnsi="Wingdings" w:hint="default"/>
      </w:rPr>
    </w:lvl>
    <w:lvl w:ilvl="3" w:tplc="955671C4" w:tentative="1">
      <w:start w:val="1"/>
      <w:numFmt w:val="bullet"/>
      <w:lvlText w:val=""/>
      <w:lvlJc w:val="left"/>
      <w:pPr>
        <w:ind w:left="2880" w:hanging="360"/>
      </w:pPr>
      <w:rPr>
        <w:rFonts w:ascii="Symbol" w:hAnsi="Symbol" w:hint="default"/>
      </w:rPr>
    </w:lvl>
    <w:lvl w:ilvl="4" w:tplc="0BFAE75C" w:tentative="1">
      <w:start w:val="1"/>
      <w:numFmt w:val="bullet"/>
      <w:lvlText w:val="o"/>
      <w:lvlJc w:val="left"/>
      <w:pPr>
        <w:ind w:left="3600" w:hanging="360"/>
      </w:pPr>
      <w:rPr>
        <w:rFonts w:ascii="Courier New" w:hAnsi="Courier New" w:hint="default"/>
      </w:rPr>
    </w:lvl>
    <w:lvl w:ilvl="5" w:tplc="7788FE1C" w:tentative="1">
      <w:start w:val="1"/>
      <w:numFmt w:val="bullet"/>
      <w:lvlText w:val=""/>
      <w:lvlJc w:val="left"/>
      <w:pPr>
        <w:ind w:left="4320" w:hanging="360"/>
      </w:pPr>
      <w:rPr>
        <w:rFonts w:ascii="Wingdings" w:hAnsi="Wingdings" w:hint="default"/>
      </w:rPr>
    </w:lvl>
    <w:lvl w:ilvl="6" w:tplc="0F8E2222" w:tentative="1">
      <w:start w:val="1"/>
      <w:numFmt w:val="bullet"/>
      <w:lvlText w:val=""/>
      <w:lvlJc w:val="left"/>
      <w:pPr>
        <w:ind w:left="5040" w:hanging="360"/>
      </w:pPr>
      <w:rPr>
        <w:rFonts w:ascii="Symbol" w:hAnsi="Symbol" w:hint="default"/>
      </w:rPr>
    </w:lvl>
    <w:lvl w:ilvl="7" w:tplc="F7A64502" w:tentative="1">
      <w:start w:val="1"/>
      <w:numFmt w:val="bullet"/>
      <w:lvlText w:val="o"/>
      <w:lvlJc w:val="left"/>
      <w:pPr>
        <w:ind w:left="5760" w:hanging="360"/>
      </w:pPr>
      <w:rPr>
        <w:rFonts w:ascii="Courier New" w:hAnsi="Courier New" w:hint="default"/>
      </w:rPr>
    </w:lvl>
    <w:lvl w:ilvl="8" w:tplc="CB46C416" w:tentative="1">
      <w:start w:val="1"/>
      <w:numFmt w:val="bullet"/>
      <w:lvlText w:val=""/>
      <w:lvlJc w:val="left"/>
      <w:pPr>
        <w:ind w:left="6480" w:hanging="360"/>
      </w:pPr>
      <w:rPr>
        <w:rFonts w:ascii="Wingdings" w:hAnsi="Wingdings" w:hint="default"/>
      </w:rPr>
    </w:lvl>
  </w:abstractNum>
  <w:abstractNum w:abstractNumId="72" w15:restartNumberingAfterBreak="0">
    <w:nsid w:val="50BC7C6C"/>
    <w:multiLevelType w:val="hybridMultilevel"/>
    <w:tmpl w:val="F57C18B8"/>
    <w:lvl w:ilvl="0" w:tplc="45B47952">
      <w:start w:val="1"/>
      <w:numFmt w:val="bullet"/>
      <w:lvlText w:val=""/>
      <w:lvlJc w:val="left"/>
      <w:pPr>
        <w:ind w:left="720" w:hanging="360"/>
      </w:pPr>
      <w:rPr>
        <w:rFonts w:ascii="Symbol" w:hAnsi="Symbol" w:hint="default"/>
      </w:rPr>
    </w:lvl>
    <w:lvl w:ilvl="1" w:tplc="DBFA8ADA" w:tentative="1">
      <w:start w:val="1"/>
      <w:numFmt w:val="bullet"/>
      <w:lvlText w:val="o"/>
      <w:lvlJc w:val="left"/>
      <w:pPr>
        <w:ind w:left="1440" w:hanging="360"/>
      </w:pPr>
      <w:rPr>
        <w:rFonts w:ascii="Courier New" w:hAnsi="Courier New" w:hint="default"/>
      </w:rPr>
    </w:lvl>
    <w:lvl w:ilvl="2" w:tplc="561491AA" w:tentative="1">
      <w:start w:val="1"/>
      <w:numFmt w:val="bullet"/>
      <w:lvlText w:val=""/>
      <w:lvlJc w:val="left"/>
      <w:pPr>
        <w:ind w:left="2160" w:hanging="360"/>
      </w:pPr>
      <w:rPr>
        <w:rFonts w:ascii="Wingdings" w:hAnsi="Wingdings" w:hint="default"/>
      </w:rPr>
    </w:lvl>
    <w:lvl w:ilvl="3" w:tplc="9912C852" w:tentative="1">
      <w:start w:val="1"/>
      <w:numFmt w:val="bullet"/>
      <w:lvlText w:val=""/>
      <w:lvlJc w:val="left"/>
      <w:pPr>
        <w:ind w:left="2880" w:hanging="360"/>
      </w:pPr>
      <w:rPr>
        <w:rFonts w:ascii="Symbol" w:hAnsi="Symbol" w:hint="default"/>
      </w:rPr>
    </w:lvl>
    <w:lvl w:ilvl="4" w:tplc="6FC43B4A" w:tentative="1">
      <w:start w:val="1"/>
      <w:numFmt w:val="bullet"/>
      <w:lvlText w:val="o"/>
      <w:lvlJc w:val="left"/>
      <w:pPr>
        <w:ind w:left="3600" w:hanging="360"/>
      </w:pPr>
      <w:rPr>
        <w:rFonts w:ascii="Courier New" w:hAnsi="Courier New" w:hint="default"/>
      </w:rPr>
    </w:lvl>
    <w:lvl w:ilvl="5" w:tplc="E92CF56C" w:tentative="1">
      <w:start w:val="1"/>
      <w:numFmt w:val="bullet"/>
      <w:lvlText w:val=""/>
      <w:lvlJc w:val="left"/>
      <w:pPr>
        <w:ind w:left="4320" w:hanging="360"/>
      </w:pPr>
      <w:rPr>
        <w:rFonts w:ascii="Wingdings" w:hAnsi="Wingdings" w:hint="default"/>
      </w:rPr>
    </w:lvl>
    <w:lvl w:ilvl="6" w:tplc="C810915C" w:tentative="1">
      <w:start w:val="1"/>
      <w:numFmt w:val="bullet"/>
      <w:lvlText w:val=""/>
      <w:lvlJc w:val="left"/>
      <w:pPr>
        <w:ind w:left="5040" w:hanging="360"/>
      </w:pPr>
      <w:rPr>
        <w:rFonts w:ascii="Symbol" w:hAnsi="Symbol" w:hint="default"/>
      </w:rPr>
    </w:lvl>
    <w:lvl w:ilvl="7" w:tplc="F1388952" w:tentative="1">
      <w:start w:val="1"/>
      <w:numFmt w:val="bullet"/>
      <w:lvlText w:val="o"/>
      <w:lvlJc w:val="left"/>
      <w:pPr>
        <w:ind w:left="5760" w:hanging="360"/>
      </w:pPr>
      <w:rPr>
        <w:rFonts w:ascii="Courier New" w:hAnsi="Courier New" w:hint="default"/>
      </w:rPr>
    </w:lvl>
    <w:lvl w:ilvl="8" w:tplc="AD2A93C0" w:tentative="1">
      <w:start w:val="1"/>
      <w:numFmt w:val="bullet"/>
      <w:lvlText w:val=""/>
      <w:lvlJc w:val="left"/>
      <w:pPr>
        <w:ind w:left="6480" w:hanging="360"/>
      </w:pPr>
      <w:rPr>
        <w:rFonts w:ascii="Wingdings" w:hAnsi="Wingdings" w:hint="default"/>
      </w:rPr>
    </w:lvl>
  </w:abstractNum>
  <w:abstractNum w:abstractNumId="73" w15:restartNumberingAfterBreak="0">
    <w:nsid w:val="50E00E9B"/>
    <w:multiLevelType w:val="hybridMultilevel"/>
    <w:tmpl w:val="FFFFFFFF"/>
    <w:lvl w:ilvl="0" w:tplc="1B947D62">
      <w:start w:val="1"/>
      <w:numFmt w:val="decimal"/>
      <w:lvlText w:val="%1-"/>
      <w:lvlJc w:val="left"/>
      <w:pPr>
        <w:ind w:left="720" w:hanging="360"/>
      </w:pPr>
    </w:lvl>
    <w:lvl w:ilvl="1" w:tplc="B544923A">
      <w:start w:val="1"/>
      <w:numFmt w:val="lowerLetter"/>
      <w:lvlText w:val="%2."/>
      <w:lvlJc w:val="left"/>
      <w:pPr>
        <w:ind w:left="1440" w:hanging="360"/>
      </w:pPr>
    </w:lvl>
    <w:lvl w:ilvl="2" w:tplc="45BC9FB0">
      <w:start w:val="1"/>
      <w:numFmt w:val="lowerRoman"/>
      <w:lvlText w:val="%3."/>
      <w:lvlJc w:val="right"/>
      <w:pPr>
        <w:ind w:left="2160" w:hanging="180"/>
      </w:pPr>
    </w:lvl>
    <w:lvl w:ilvl="3" w:tplc="A1641E1C">
      <w:start w:val="1"/>
      <w:numFmt w:val="decimal"/>
      <w:lvlText w:val="%4."/>
      <w:lvlJc w:val="left"/>
      <w:pPr>
        <w:ind w:left="2880" w:hanging="360"/>
      </w:pPr>
    </w:lvl>
    <w:lvl w:ilvl="4" w:tplc="95A66D9C">
      <w:start w:val="1"/>
      <w:numFmt w:val="lowerLetter"/>
      <w:lvlText w:val="%5."/>
      <w:lvlJc w:val="left"/>
      <w:pPr>
        <w:ind w:left="3600" w:hanging="360"/>
      </w:pPr>
    </w:lvl>
    <w:lvl w:ilvl="5" w:tplc="657E1B42">
      <w:start w:val="1"/>
      <w:numFmt w:val="lowerRoman"/>
      <w:lvlText w:val="%6."/>
      <w:lvlJc w:val="right"/>
      <w:pPr>
        <w:ind w:left="4320" w:hanging="180"/>
      </w:pPr>
    </w:lvl>
    <w:lvl w:ilvl="6" w:tplc="147C2D20">
      <w:start w:val="1"/>
      <w:numFmt w:val="decimal"/>
      <w:lvlText w:val="%7."/>
      <w:lvlJc w:val="left"/>
      <w:pPr>
        <w:ind w:left="5040" w:hanging="360"/>
      </w:pPr>
    </w:lvl>
    <w:lvl w:ilvl="7" w:tplc="98C06970">
      <w:start w:val="1"/>
      <w:numFmt w:val="lowerLetter"/>
      <w:lvlText w:val="%8."/>
      <w:lvlJc w:val="left"/>
      <w:pPr>
        <w:ind w:left="5760" w:hanging="360"/>
      </w:pPr>
    </w:lvl>
    <w:lvl w:ilvl="8" w:tplc="6F02316A">
      <w:start w:val="1"/>
      <w:numFmt w:val="lowerRoman"/>
      <w:lvlText w:val="%9."/>
      <w:lvlJc w:val="right"/>
      <w:pPr>
        <w:ind w:left="6480" w:hanging="180"/>
      </w:pPr>
    </w:lvl>
  </w:abstractNum>
  <w:abstractNum w:abstractNumId="74" w15:restartNumberingAfterBreak="0">
    <w:nsid w:val="519301EA"/>
    <w:multiLevelType w:val="hybridMultilevel"/>
    <w:tmpl w:val="16A064DE"/>
    <w:lvl w:ilvl="0" w:tplc="365004B6">
      <w:start w:val="1"/>
      <w:numFmt w:val="bullet"/>
      <w:lvlText w:val=""/>
      <w:lvlJc w:val="left"/>
      <w:pPr>
        <w:ind w:left="720" w:hanging="360"/>
      </w:pPr>
      <w:rPr>
        <w:rFonts w:ascii="Symbol" w:hAnsi="Symbol" w:hint="default"/>
      </w:rPr>
    </w:lvl>
    <w:lvl w:ilvl="1" w:tplc="0608D0EC">
      <w:start w:val="1"/>
      <w:numFmt w:val="bullet"/>
      <w:lvlText w:val="o"/>
      <w:lvlJc w:val="left"/>
      <w:pPr>
        <w:ind w:left="1440" w:hanging="360"/>
      </w:pPr>
      <w:rPr>
        <w:rFonts w:ascii="Courier New" w:hAnsi="Courier New" w:hint="default"/>
      </w:rPr>
    </w:lvl>
    <w:lvl w:ilvl="2" w:tplc="A6B639DC">
      <w:start w:val="1"/>
      <w:numFmt w:val="bullet"/>
      <w:lvlText w:val=""/>
      <w:lvlJc w:val="left"/>
      <w:pPr>
        <w:ind w:left="2160" w:hanging="360"/>
      </w:pPr>
      <w:rPr>
        <w:rFonts w:ascii="Wingdings" w:hAnsi="Wingdings" w:hint="default"/>
      </w:rPr>
    </w:lvl>
    <w:lvl w:ilvl="3" w:tplc="2040B16E">
      <w:start w:val="1"/>
      <w:numFmt w:val="bullet"/>
      <w:lvlText w:val=""/>
      <w:lvlJc w:val="left"/>
      <w:pPr>
        <w:ind w:left="2880" w:hanging="360"/>
      </w:pPr>
      <w:rPr>
        <w:rFonts w:ascii="Symbol" w:hAnsi="Symbol" w:hint="default"/>
      </w:rPr>
    </w:lvl>
    <w:lvl w:ilvl="4" w:tplc="353A70C2">
      <w:start w:val="1"/>
      <w:numFmt w:val="bullet"/>
      <w:lvlText w:val="o"/>
      <w:lvlJc w:val="left"/>
      <w:pPr>
        <w:ind w:left="3600" w:hanging="360"/>
      </w:pPr>
      <w:rPr>
        <w:rFonts w:ascii="Courier New" w:hAnsi="Courier New" w:hint="default"/>
      </w:rPr>
    </w:lvl>
    <w:lvl w:ilvl="5" w:tplc="2AC8B4B8">
      <w:start w:val="1"/>
      <w:numFmt w:val="bullet"/>
      <w:lvlText w:val=""/>
      <w:lvlJc w:val="left"/>
      <w:pPr>
        <w:ind w:left="4320" w:hanging="360"/>
      </w:pPr>
      <w:rPr>
        <w:rFonts w:ascii="Wingdings" w:hAnsi="Wingdings" w:hint="default"/>
      </w:rPr>
    </w:lvl>
    <w:lvl w:ilvl="6" w:tplc="A6C66E7A">
      <w:start w:val="1"/>
      <w:numFmt w:val="bullet"/>
      <w:lvlText w:val=""/>
      <w:lvlJc w:val="left"/>
      <w:pPr>
        <w:ind w:left="5040" w:hanging="360"/>
      </w:pPr>
      <w:rPr>
        <w:rFonts w:ascii="Symbol" w:hAnsi="Symbol" w:hint="default"/>
      </w:rPr>
    </w:lvl>
    <w:lvl w:ilvl="7" w:tplc="9DA08098">
      <w:start w:val="1"/>
      <w:numFmt w:val="bullet"/>
      <w:lvlText w:val="o"/>
      <w:lvlJc w:val="left"/>
      <w:pPr>
        <w:ind w:left="5760" w:hanging="360"/>
      </w:pPr>
      <w:rPr>
        <w:rFonts w:ascii="Courier New" w:hAnsi="Courier New" w:hint="default"/>
      </w:rPr>
    </w:lvl>
    <w:lvl w:ilvl="8" w:tplc="E580EFE4">
      <w:start w:val="1"/>
      <w:numFmt w:val="bullet"/>
      <w:lvlText w:val=""/>
      <w:lvlJc w:val="left"/>
      <w:pPr>
        <w:ind w:left="6480" w:hanging="360"/>
      </w:pPr>
      <w:rPr>
        <w:rFonts w:ascii="Wingdings" w:hAnsi="Wingdings" w:hint="default"/>
      </w:rPr>
    </w:lvl>
  </w:abstractNum>
  <w:abstractNum w:abstractNumId="75" w15:restartNumberingAfterBreak="0">
    <w:nsid w:val="51C412A1"/>
    <w:multiLevelType w:val="hybridMultilevel"/>
    <w:tmpl w:val="9D0668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6" w15:restartNumberingAfterBreak="0">
    <w:nsid w:val="521373A3"/>
    <w:multiLevelType w:val="hybridMultilevel"/>
    <w:tmpl w:val="15C2357E"/>
    <w:lvl w:ilvl="0" w:tplc="97F64D7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52501413"/>
    <w:multiLevelType w:val="hybridMultilevel"/>
    <w:tmpl w:val="B58AE4B6"/>
    <w:lvl w:ilvl="0" w:tplc="D9CCF62A">
      <w:start w:val="1"/>
      <w:numFmt w:val="bullet"/>
      <w:lvlText w:val=""/>
      <w:lvlJc w:val="left"/>
      <w:pPr>
        <w:ind w:left="360" w:hanging="360"/>
      </w:pPr>
      <w:rPr>
        <w:rFonts w:ascii="Symbol" w:hAnsi="Symbol" w:hint="default"/>
        <w:color w:val="auto"/>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54C262CE"/>
    <w:multiLevelType w:val="hybridMultilevel"/>
    <w:tmpl w:val="756AF25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9" w15:restartNumberingAfterBreak="0">
    <w:nsid w:val="59F5C4AD"/>
    <w:multiLevelType w:val="hybridMultilevel"/>
    <w:tmpl w:val="D64EFDA0"/>
    <w:lvl w:ilvl="0" w:tplc="AC687EB0">
      <w:start w:val="1"/>
      <w:numFmt w:val="bullet"/>
      <w:lvlText w:val=""/>
      <w:lvlJc w:val="left"/>
      <w:pPr>
        <w:ind w:left="720" w:hanging="360"/>
      </w:pPr>
      <w:rPr>
        <w:rFonts w:ascii="Wingdings,Sans-Serif" w:hAnsi="Wingdings,Sans-Serif" w:hint="default"/>
      </w:rPr>
    </w:lvl>
    <w:lvl w:ilvl="1" w:tplc="9D961BE0">
      <w:start w:val="1"/>
      <w:numFmt w:val="bullet"/>
      <w:lvlText w:val="o"/>
      <w:lvlJc w:val="left"/>
      <w:pPr>
        <w:ind w:left="1440" w:hanging="360"/>
      </w:pPr>
      <w:rPr>
        <w:rFonts w:ascii="Courier New" w:hAnsi="Courier New" w:hint="default"/>
      </w:rPr>
    </w:lvl>
    <w:lvl w:ilvl="2" w:tplc="DD861988">
      <w:start w:val="1"/>
      <w:numFmt w:val="bullet"/>
      <w:lvlText w:val=""/>
      <w:lvlJc w:val="left"/>
      <w:pPr>
        <w:ind w:left="2160" w:hanging="360"/>
      </w:pPr>
      <w:rPr>
        <w:rFonts w:ascii="Wingdings" w:hAnsi="Wingdings" w:hint="default"/>
      </w:rPr>
    </w:lvl>
    <w:lvl w:ilvl="3" w:tplc="E8280176">
      <w:start w:val="1"/>
      <w:numFmt w:val="bullet"/>
      <w:lvlText w:val=""/>
      <w:lvlJc w:val="left"/>
      <w:pPr>
        <w:ind w:left="2880" w:hanging="360"/>
      </w:pPr>
      <w:rPr>
        <w:rFonts w:ascii="Symbol" w:hAnsi="Symbol" w:hint="default"/>
      </w:rPr>
    </w:lvl>
    <w:lvl w:ilvl="4" w:tplc="73E0C780">
      <w:start w:val="1"/>
      <w:numFmt w:val="bullet"/>
      <w:lvlText w:val="o"/>
      <w:lvlJc w:val="left"/>
      <w:pPr>
        <w:ind w:left="3600" w:hanging="360"/>
      </w:pPr>
      <w:rPr>
        <w:rFonts w:ascii="Courier New" w:hAnsi="Courier New" w:hint="default"/>
      </w:rPr>
    </w:lvl>
    <w:lvl w:ilvl="5" w:tplc="09822D96">
      <w:start w:val="1"/>
      <w:numFmt w:val="bullet"/>
      <w:lvlText w:val=""/>
      <w:lvlJc w:val="left"/>
      <w:pPr>
        <w:ind w:left="4320" w:hanging="360"/>
      </w:pPr>
      <w:rPr>
        <w:rFonts w:ascii="Wingdings" w:hAnsi="Wingdings" w:hint="default"/>
      </w:rPr>
    </w:lvl>
    <w:lvl w:ilvl="6" w:tplc="426A4226">
      <w:start w:val="1"/>
      <w:numFmt w:val="bullet"/>
      <w:lvlText w:val=""/>
      <w:lvlJc w:val="left"/>
      <w:pPr>
        <w:ind w:left="5040" w:hanging="360"/>
      </w:pPr>
      <w:rPr>
        <w:rFonts w:ascii="Symbol" w:hAnsi="Symbol" w:hint="default"/>
      </w:rPr>
    </w:lvl>
    <w:lvl w:ilvl="7" w:tplc="4224CFFA">
      <w:start w:val="1"/>
      <w:numFmt w:val="bullet"/>
      <w:lvlText w:val="o"/>
      <w:lvlJc w:val="left"/>
      <w:pPr>
        <w:ind w:left="5760" w:hanging="360"/>
      </w:pPr>
      <w:rPr>
        <w:rFonts w:ascii="Courier New" w:hAnsi="Courier New" w:hint="default"/>
      </w:rPr>
    </w:lvl>
    <w:lvl w:ilvl="8" w:tplc="34AE5C86">
      <w:start w:val="1"/>
      <w:numFmt w:val="bullet"/>
      <w:lvlText w:val=""/>
      <w:lvlJc w:val="left"/>
      <w:pPr>
        <w:ind w:left="6480" w:hanging="360"/>
      </w:pPr>
      <w:rPr>
        <w:rFonts w:ascii="Wingdings" w:hAnsi="Wingdings" w:hint="default"/>
      </w:rPr>
    </w:lvl>
  </w:abstractNum>
  <w:abstractNum w:abstractNumId="80" w15:restartNumberingAfterBreak="0">
    <w:nsid w:val="5A3E5506"/>
    <w:multiLevelType w:val="hybridMultilevel"/>
    <w:tmpl w:val="B6ECF82A"/>
    <w:lvl w:ilvl="0" w:tplc="240A0001">
      <w:start w:val="1"/>
      <w:numFmt w:val="bullet"/>
      <w:lvlText w:val=""/>
      <w:lvlJc w:val="left"/>
      <w:pPr>
        <w:ind w:left="804" w:hanging="360"/>
      </w:pPr>
      <w:rPr>
        <w:rFonts w:ascii="Symbol" w:hAnsi="Symbol" w:hint="default"/>
      </w:rPr>
    </w:lvl>
    <w:lvl w:ilvl="1" w:tplc="240A0003" w:tentative="1">
      <w:start w:val="1"/>
      <w:numFmt w:val="bullet"/>
      <w:lvlText w:val="o"/>
      <w:lvlJc w:val="left"/>
      <w:pPr>
        <w:ind w:left="1524" w:hanging="360"/>
      </w:pPr>
      <w:rPr>
        <w:rFonts w:ascii="Courier New" w:hAnsi="Courier New" w:cs="Courier New" w:hint="default"/>
      </w:rPr>
    </w:lvl>
    <w:lvl w:ilvl="2" w:tplc="240A0005" w:tentative="1">
      <w:start w:val="1"/>
      <w:numFmt w:val="bullet"/>
      <w:lvlText w:val=""/>
      <w:lvlJc w:val="left"/>
      <w:pPr>
        <w:ind w:left="2244" w:hanging="360"/>
      </w:pPr>
      <w:rPr>
        <w:rFonts w:ascii="Wingdings" w:hAnsi="Wingdings" w:hint="default"/>
      </w:rPr>
    </w:lvl>
    <w:lvl w:ilvl="3" w:tplc="240A0001" w:tentative="1">
      <w:start w:val="1"/>
      <w:numFmt w:val="bullet"/>
      <w:lvlText w:val=""/>
      <w:lvlJc w:val="left"/>
      <w:pPr>
        <w:ind w:left="2964" w:hanging="360"/>
      </w:pPr>
      <w:rPr>
        <w:rFonts w:ascii="Symbol" w:hAnsi="Symbol" w:hint="default"/>
      </w:rPr>
    </w:lvl>
    <w:lvl w:ilvl="4" w:tplc="240A0003" w:tentative="1">
      <w:start w:val="1"/>
      <w:numFmt w:val="bullet"/>
      <w:lvlText w:val="o"/>
      <w:lvlJc w:val="left"/>
      <w:pPr>
        <w:ind w:left="3684" w:hanging="360"/>
      </w:pPr>
      <w:rPr>
        <w:rFonts w:ascii="Courier New" w:hAnsi="Courier New" w:cs="Courier New" w:hint="default"/>
      </w:rPr>
    </w:lvl>
    <w:lvl w:ilvl="5" w:tplc="240A0005" w:tentative="1">
      <w:start w:val="1"/>
      <w:numFmt w:val="bullet"/>
      <w:lvlText w:val=""/>
      <w:lvlJc w:val="left"/>
      <w:pPr>
        <w:ind w:left="4404" w:hanging="360"/>
      </w:pPr>
      <w:rPr>
        <w:rFonts w:ascii="Wingdings" w:hAnsi="Wingdings" w:hint="default"/>
      </w:rPr>
    </w:lvl>
    <w:lvl w:ilvl="6" w:tplc="240A0001" w:tentative="1">
      <w:start w:val="1"/>
      <w:numFmt w:val="bullet"/>
      <w:lvlText w:val=""/>
      <w:lvlJc w:val="left"/>
      <w:pPr>
        <w:ind w:left="5124" w:hanging="360"/>
      </w:pPr>
      <w:rPr>
        <w:rFonts w:ascii="Symbol" w:hAnsi="Symbol" w:hint="default"/>
      </w:rPr>
    </w:lvl>
    <w:lvl w:ilvl="7" w:tplc="240A0003" w:tentative="1">
      <w:start w:val="1"/>
      <w:numFmt w:val="bullet"/>
      <w:lvlText w:val="o"/>
      <w:lvlJc w:val="left"/>
      <w:pPr>
        <w:ind w:left="5844" w:hanging="360"/>
      </w:pPr>
      <w:rPr>
        <w:rFonts w:ascii="Courier New" w:hAnsi="Courier New" w:cs="Courier New" w:hint="default"/>
      </w:rPr>
    </w:lvl>
    <w:lvl w:ilvl="8" w:tplc="240A0005" w:tentative="1">
      <w:start w:val="1"/>
      <w:numFmt w:val="bullet"/>
      <w:lvlText w:val=""/>
      <w:lvlJc w:val="left"/>
      <w:pPr>
        <w:ind w:left="6564" w:hanging="360"/>
      </w:pPr>
      <w:rPr>
        <w:rFonts w:ascii="Wingdings" w:hAnsi="Wingdings" w:hint="default"/>
      </w:rPr>
    </w:lvl>
  </w:abstractNum>
  <w:abstractNum w:abstractNumId="81" w15:restartNumberingAfterBreak="0">
    <w:nsid w:val="5AD0038E"/>
    <w:multiLevelType w:val="hybridMultilevel"/>
    <w:tmpl w:val="FFFFFFFF"/>
    <w:lvl w:ilvl="0" w:tplc="2A2411A2">
      <w:start w:val="1"/>
      <w:numFmt w:val="bullet"/>
      <w:lvlText w:val=""/>
      <w:lvlJc w:val="left"/>
      <w:pPr>
        <w:ind w:left="720" w:hanging="360"/>
      </w:pPr>
      <w:rPr>
        <w:rFonts w:ascii="Symbol" w:hAnsi="Symbol" w:hint="default"/>
      </w:rPr>
    </w:lvl>
    <w:lvl w:ilvl="1" w:tplc="DEF04D22">
      <w:start w:val="1"/>
      <w:numFmt w:val="bullet"/>
      <w:lvlText w:val="o"/>
      <w:lvlJc w:val="left"/>
      <w:pPr>
        <w:ind w:left="1440" w:hanging="360"/>
      </w:pPr>
      <w:rPr>
        <w:rFonts w:ascii="Courier New" w:hAnsi="Courier New" w:hint="default"/>
      </w:rPr>
    </w:lvl>
    <w:lvl w:ilvl="2" w:tplc="AAECA2BE">
      <w:start w:val="1"/>
      <w:numFmt w:val="bullet"/>
      <w:lvlText w:val=""/>
      <w:lvlJc w:val="left"/>
      <w:pPr>
        <w:ind w:left="2160" w:hanging="360"/>
      </w:pPr>
      <w:rPr>
        <w:rFonts w:ascii="Wingdings" w:hAnsi="Wingdings" w:hint="default"/>
      </w:rPr>
    </w:lvl>
    <w:lvl w:ilvl="3" w:tplc="E9D05C30">
      <w:start w:val="1"/>
      <w:numFmt w:val="bullet"/>
      <w:lvlText w:val=""/>
      <w:lvlJc w:val="left"/>
      <w:pPr>
        <w:ind w:left="2880" w:hanging="360"/>
      </w:pPr>
      <w:rPr>
        <w:rFonts w:ascii="Symbol" w:hAnsi="Symbol" w:hint="default"/>
      </w:rPr>
    </w:lvl>
    <w:lvl w:ilvl="4" w:tplc="3508FC70">
      <w:start w:val="1"/>
      <w:numFmt w:val="bullet"/>
      <w:lvlText w:val="o"/>
      <w:lvlJc w:val="left"/>
      <w:pPr>
        <w:ind w:left="3600" w:hanging="360"/>
      </w:pPr>
      <w:rPr>
        <w:rFonts w:ascii="Courier New" w:hAnsi="Courier New" w:hint="default"/>
      </w:rPr>
    </w:lvl>
    <w:lvl w:ilvl="5" w:tplc="DC542616">
      <w:start w:val="1"/>
      <w:numFmt w:val="bullet"/>
      <w:lvlText w:val=""/>
      <w:lvlJc w:val="left"/>
      <w:pPr>
        <w:ind w:left="4320" w:hanging="360"/>
      </w:pPr>
      <w:rPr>
        <w:rFonts w:ascii="Wingdings" w:hAnsi="Wingdings" w:hint="default"/>
      </w:rPr>
    </w:lvl>
    <w:lvl w:ilvl="6" w:tplc="84D43E2A">
      <w:start w:val="1"/>
      <w:numFmt w:val="bullet"/>
      <w:lvlText w:val=""/>
      <w:lvlJc w:val="left"/>
      <w:pPr>
        <w:ind w:left="5040" w:hanging="360"/>
      </w:pPr>
      <w:rPr>
        <w:rFonts w:ascii="Symbol" w:hAnsi="Symbol" w:hint="default"/>
      </w:rPr>
    </w:lvl>
    <w:lvl w:ilvl="7" w:tplc="5CFED430">
      <w:start w:val="1"/>
      <w:numFmt w:val="bullet"/>
      <w:lvlText w:val="o"/>
      <w:lvlJc w:val="left"/>
      <w:pPr>
        <w:ind w:left="5760" w:hanging="360"/>
      </w:pPr>
      <w:rPr>
        <w:rFonts w:ascii="Courier New" w:hAnsi="Courier New" w:hint="default"/>
      </w:rPr>
    </w:lvl>
    <w:lvl w:ilvl="8" w:tplc="EF4A9FD0">
      <w:start w:val="1"/>
      <w:numFmt w:val="bullet"/>
      <w:lvlText w:val=""/>
      <w:lvlJc w:val="left"/>
      <w:pPr>
        <w:ind w:left="6480" w:hanging="360"/>
      </w:pPr>
      <w:rPr>
        <w:rFonts w:ascii="Wingdings" w:hAnsi="Wingdings" w:hint="default"/>
      </w:rPr>
    </w:lvl>
  </w:abstractNum>
  <w:abstractNum w:abstractNumId="82" w15:restartNumberingAfterBreak="0">
    <w:nsid w:val="5AF95BCB"/>
    <w:multiLevelType w:val="hybridMultilevel"/>
    <w:tmpl w:val="6A06C1CE"/>
    <w:lvl w:ilvl="0" w:tplc="B4606F06">
      <w:start w:val="1"/>
      <w:numFmt w:val="bullet"/>
      <w:lvlText w:val=""/>
      <w:lvlJc w:val="left"/>
      <w:pPr>
        <w:ind w:left="720" w:hanging="360"/>
      </w:pPr>
      <w:rPr>
        <w:rFonts w:ascii="Symbol" w:hAnsi="Symbol" w:hint="default"/>
      </w:rPr>
    </w:lvl>
    <w:lvl w:ilvl="1" w:tplc="B60EABCA" w:tentative="1">
      <w:start w:val="1"/>
      <w:numFmt w:val="bullet"/>
      <w:lvlText w:val="o"/>
      <w:lvlJc w:val="left"/>
      <w:pPr>
        <w:ind w:left="1440" w:hanging="360"/>
      </w:pPr>
      <w:rPr>
        <w:rFonts w:ascii="Courier New" w:hAnsi="Courier New" w:hint="default"/>
      </w:rPr>
    </w:lvl>
    <w:lvl w:ilvl="2" w:tplc="06E260CE" w:tentative="1">
      <w:start w:val="1"/>
      <w:numFmt w:val="bullet"/>
      <w:lvlText w:val=""/>
      <w:lvlJc w:val="left"/>
      <w:pPr>
        <w:ind w:left="2160" w:hanging="360"/>
      </w:pPr>
      <w:rPr>
        <w:rFonts w:ascii="Wingdings" w:hAnsi="Wingdings" w:hint="default"/>
      </w:rPr>
    </w:lvl>
    <w:lvl w:ilvl="3" w:tplc="1A7C5D54" w:tentative="1">
      <w:start w:val="1"/>
      <w:numFmt w:val="bullet"/>
      <w:lvlText w:val=""/>
      <w:lvlJc w:val="left"/>
      <w:pPr>
        <w:ind w:left="2880" w:hanging="360"/>
      </w:pPr>
      <w:rPr>
        <w:rFonts w:ascii="Symbol" w:hAnsi="Symbol" w:hint="default"/>
      </w:rPr>
    </w:lvl>
    <w:lvl w:ilvl="4" w:tplc="F5ECF0A2" w:tentative="1">
      <w:start w:val="1"/>
      <w:numFmt w:val="bullet"/>
      <w:lvlText w:val="o"/>
      <w:lvlJc w:val="left"/>
      <w:pPr>
        <w:ind w:left="3600" w:hanging="360"/>
      </w:pPr>
      <w:rPr>
        <w:rFonts w:ascii="Courier New" w:hAnsi="Courier New" w:hint="default"/>
      </w:rPr>
    </w:lvl>
    <w:lvl w:ilvl="5" w:tplc="1C7639F8" w:tentative="1">
      <w:start w:val="1"/>
      <w:numFmt w:val="bullet"/>
      <w:lvlText w:val=""/>
      <w:lvlJc w:val="left"/>
      <w:pPr>
        <w:ind w:left="4320" w:hanging="360"/>
      </w:pPr>
      <w:rPr>
        <w:rFonts w:ascii="Wingdings" w:hAnsi="Wingdings" w:hint="default"/>
      </w:rPr>
    </w:lvl>
    <w:lvl w:ilvl="6" w:tplc="402097EC" w:tentative="1">
      <w:start w:val="1"/>
      <w:numFmt w:val="bullet"/>
      <w:lvlText w:val=""/>
      <w:lvlJc w:val="left"/>
      <w:pPr>
        <w:ind w:left="5040" w:hanging="360"/>
      </w:pPr>
      <w:rPr>
        <w:rFonts w:ascii="Symbol" w:hAnsi="Symbol" w:hint="default"/>
      </w:rPr>
    </w:lvl>
    <w:lvl w:ilvl="7" w:tplc="DE6A2D94" w:tentative="1">
      <w:start w:val="1"/>
      <w:numFmt w:val="bullet"/>
      <w:lvlText w:val="o"/>
      <w:lvlJc w:val="left"/>
      <w:pPr>
        <w:ind w:left="5760" w:hanging="360"/>
      </w:pPr>
      <w:rPr>
        <w:rFonts w:ascii="Courier New" w:hAnsi="Courier New" w:hint="default"/>
      </w:rPr>
    </w:lvl>
    <w:lvl w:ilvl="8" w:tplc="D5E8A90A" w:tentative="1">
      <w:start w:val="1"/>
      <w:numFmt w:val="bullet"/>
      <w:lvlText w:val=""/>
      <w:lvlJc w:val="left"/>
      <w:pPr>
        <w:ind w:left="6480" w:hanging="360"/>
      </w:pPr>
      <w:rPr>
        <w:rFonts w:ascii="Wingdings" w:hAnsi="Wingdings" w:hint="default"/>
      </w:rPr>
    </w:lvl>
  </w:abstractNum>
  <w:abstractNum w:abstractNumId="83" w15:restartNumberingAfterBreak="0">
    <w:nsid w:val="5C45072F"/>
    <w:multiLevelType w:val="hybridMultilevel"/>
    <w:tmpl w:val="68224CCE"/>
    <w:lvl w:ilvl="0" w:tplc="02D043AE">
      <w:start w:val="1"/>
      <w:numFmt w:val="bullet"/>
      <w:lvlText w:val=""/>
      <w:lvlJc w:val="left"/>
      <w:pPr>
        <w:ind w:left="720" w:hanging="360"/>
      </w:pPr>
      <w:rPr>
        <w:rFonts w:ascii="Wingdings,Sans-Serif" w:hAnsi="Wingdings,Sans-Serif" w:hint="default"/>
      </w:rPr>
    </w:lvl>
    <w:lvl w:ilvl="1" w:tplc="BF829012">
      <w:start w:val="1"/>
      <w:numFmt w:val="bullet"/>
      <w:lvlText w:val="o"/>
      <w:lvlJc w:val="left"/>
      <w:pPr>
        <w:ind w:left="1440" w:hanging="360"/>
      </w:pPr>
      <w:rPr>
        <w:rFonts w:ascii="Courier New" w:hAnsi="Courier New" w:hint="default"/>
      </w:rPr>
    </w:lvl>
    <w:lvl w:ilvl="2" w:tplc="79D45CFE">
      <w:start w:val="1"/>
      <w:numFmt w:val="bullet"/>
      <w:lvlText w:val=""/>
      <w:lvlJc w:val="left"/>
      <w:pPr>
        <w:ind w:left="2160" w:hanging="360"/>
      </w:pPr>
      <w:rPr>
        <w:rFonts w:ascii="Wingdings" w:hAnsi="Wingdings" w:hint="default"/>
      </w:rPr>
    </w:lvl>
    <w:lvl w:ilvl="3" w:tplc="DF265526">
      <w:start w:val="1"/>
      <w:numFmt w:val="bullet"/>
      <w:lvlText w:val=""/>
      <w:lvlJc w:val="left"/>
      <w:pPr>
        <w:ind w:left="2880" w:hanging="360"/>
      </w:pPr>
      <w:rPr>
        <w:rFonts w:ascii="Symbol" w:hAnsi="Symbol" w:hint="default"/>
      </w:rPr>
    </w:lvl>
    <w:lvl w:ilvl="4" w:tplc="E9061428">
      <w:start w:val="1"/>
      <w:numFmt w:val="bullet"/>
      <w:lvlText w:val="o"/>
      <w:lvlJc w:val="left"/>
      <w:pPr>
        <w:ind w:left="3600" w:hanging="360"/>
      </w:pPr>
      <w:rPr>
        <w:rFonts w:ascii="Courier New" w:hAnsi="Courier New" w:hint="default"/>
      </w:rPr>
    </w:lvl>
    <w:lvl w:ilvl="5" w:tplc="ACEEB8E6">
      <w:start w:val="1"/>
      <w:numFmt w:val="bullet"/>
      <w:lvlText w:val=""/>
      <w:lvlJc w:val="left"/>
      <w:pPr>
        <w:ind w:left="4320" w:hanging="360"/>
      </w:pPr>
      <w:rPr>
        <w:rFonts w:ascii="Wingdings" w:hAnsi="Wingdings" w:hint="default"/>
      </w:rPr>
    </w:lvl>
    <w:lvl w:ilvl="6" w:tplc="BD1ECD5A">
      <w:start w:val="1"/>
      <w:numFmt w:val="bullet"/>
      <w:lvlText w:val=""/>
      <w:lvlJc w:val="left"/>
      <w:pPr>
        <w:ind w:left="5040" w:hanging="360"/>
      </w:pPr>
      <w:rPr>
        <w:rFonts w:ascii="Symbol" w:hAnsi="Symbol" w:hint="default"/>
      </w:rPr>
    </w:lvl>
    <w:lvl w:ilvl="7" w:tplc="79D41FC6">
      <w:start w:val="1"/>
      <w:numFmt w:val="bullet"/>
      <w:lvlText w:val="o"/>
      <w:lvlJc w:val="left"/>
      <w:pPr>
        <w:ind w:left="5760" w:hanging="360"/>
      </w:pPr>
      <w:rPr>
        <w:rFonts w:ascii="Courier New" w:hAnsi="Courier New" w:hint="default"/>
      </w:rPr>
    </w:lvl>
    <w:lvl w:ilvl="8" w:tplc="625E2298">
      <w:start w:val="1"/>
      <w:numFmt w:val="bullet"/>
      <w:lvlText w:val=""/>
      <w:lvlJc w:val="left"/>
      <w:pPr>
        <w:ind w:left="6480" w:hanging="360"/>
      </w:pPr>
      <w:rPr>
        <w:rFonts w:ascii="Wingdings" w:hAnsi="Wingdings" w:hint="default"/>
      </w:rPr>
    </w:lvl>
  </w:abstractNum>
  <w:abstractNum w:abstractNumId="84" w15:restartNumberingAfterBreak="0">
    <w:nsid w:val="5CCAF446"/>
    <w:multiLevelType w:val="hybridMultilevel"/>
    <w:tmpl w:val="AD22A0CC"/>
    <w:lvl w:ilvl="0" w:tplc="3A60F62C">
      <w:start w:val="1"/>
      <w:numFmt w:val="bullet"/>
      <w:lvlText w:val=""/>
      <w:lvlJc w:val="left"/>
      <w:pPr>
        <w:ind w:left="720" w:hanging="360"/>
      </w:pPr>
      <w:rPr>
        <w:rFonts w:ascii="Wingdings,Sans-Serif" w:hAnsi="Wingdings,Sans-Serif" w:hint="default"/>
      </w:rPr>
    </w:lvl>
    <w:lvl w:ilvl="1" w:tplc="82A8F066">
      <w:start w:val="1"/>
      <w:numFmt w:val="bullet"/>
      <w:lvlText w:val="o"/>
      <w:lvlJc w:val="left"/>
      <w:pPr>
        <w:ind w:left="1440" w:hanging="360"/>
      </w:pPr>
      <w:rPr>
        <w:rFonts w:ascii="Courier New" w:hAnsi="Courier New" w:hint="default"/>
      </w:rPr>
    </w:lvl>
    <w:lvl w:ilvl="2" w:tplc="0DF84512">
      <w:start w:val="1"/>
      <w:numFmt w:val="bullet"/>
      <w:lvlText w:val=""/>
      <w:lvlJc w:val="left"/>
      <w:pPr>
        <w:ind w:left="2160" w:hanging="360"/>
      </w:pPr>
      <w:rPr>
        <w:rFonts w:ascii="Wingdings" w:hAnsi="Wingdings" w:hint="default"/>
      </w:rPr>
    </w:lvl>
    <w:lvl w:ilvl="3" w:tplc="1252261E">
      <w:start w:val="1"/>
      <w:numFmt w:val="bullet"/>
      <w:lvlText w:val=""/>
      <w:lvlJc w:val="left"/>
      <w:pPr>
        <w:ind w:left="2880" w:hanging="360"/>
      </w:pPr>
      <w:rPr>
        <w:rFonts w:ascii="Symbol" w:hAnsi="Symbol" w:hint="default"/>
      </w:rPr>
    </w:lvl>
    <w:lvl w:ilvl="4" w:tplc="B770F94A">
      <w:start w:val="1"/>
      <w:numFmt w:val="bullet"/>
      <w:lvlText w:val="o"/>
      <w:lvlJc w:val="left"/>
      <w:pPr>
        <w:ind w:left="3600" w:hanging="360"/>
      </w:pPr>
      <w:rPr>
        <w:rFonts w:ascii="Courier New" w:hAnsi="Courier New" w:hint="default"/>
      </w:rPr>
    </w:lvl>
    <w:lvl w:ilvl="5" w:tplc="47666664">
      <w:start w:val="1"/>
      <w:numFmt w:val="bullet"/>
      <w:lvlText w:val=""/>
      <w:lvlJc w:val="left"/>
      <w:pPr>
        <w:ind w:left="4320" w:hanging="360"/>
      </w:pPr>
      <w:rPr>
        <w:rFonts w:ascii="Wingdings" w:hAnsi="Wingdings" w:hint="default"/>
      </w:rPr>
    </w:lvl>
    <w:lvl w:ilvl="6" w:tplc="7C5C5996">
      <w:start w:val="1"/>
      <w:numFmt w:val="bullet"/>
      <w:lvlText w:val=""/>
      <w:lvlJc w:val="left"/>
      <w:pPr>
        <w:ind w:left="5040" w:hanging="360"/>
      </w:pPr>
      <w:rPr>
        <w:rFonts w:ascii="Symbol" w:hAnsi="Symbol" w:hint="default"/>
      </w:rPr>
    </w:lvl>
    <w:lvl w:ilvl="7" w:tplc="48766A0E">
      <w:start w:val="1"/>
      <w:numFmt w:val="bullet"/>
      <w:lvlText w:val="o"/>
      <w:lvlJc w:val="left"/>
      <w:pPr>
        <w:ind w:left="5760" w:hanging="360"/>
      </w:pPr>
      <w:rPr>
        <w:rFonts w:ascii="Courier New" w:hAnsi="Courier New" w:hint="default"/>
      </w:rPr>
    </w:lvl>
    <w:lvl w:ilvl="8" w:tplc="FF340B0E">
      <w:start w:val="1"/>
      <w:numFmt w:val="bullet"/>
      <w:lvlText w:val=""/>
      <w:lvlJc w:val="left"/>
      <w:pPr>
        <w:ind w:left="6480" w:hanging="360"/>
      </w:pPr>
      <w:rPr>
        <w:rFonts w:ascii="Wingdings" w:hAnsi="Wingdings" w:hint="default"/>
      </w:rPr>
    </w:lvl>
  </w:abstractNum>
  <w:abstractNum w:abstractNumId="85" w15:restartNumberingAfterBreak="0">
    <w:nsid w:val="5FE51DE1"/>
    <w:multiLevelType w:val="multilevel"/>
    <w:tmpl w:val="FBE2B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FE93BFC"/>
    <w:multiLevelType w:val="hybridMultilevel"/>
    <w:tmpl w:val="666A56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61BB0A7F"/>
    <w:multiLevelType w:val="hybridMultilevel"/>
    <w:tmpl w:val="B1B4DD42"/>
    <w:lvl w:ilvl="0" w:tplc="AC88881C">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61EF524C"/>
    <w:multiLevelType w:val="hybridMultilevel"/>
    <w:tmpl w:val="2B7A2F82"/>
    <w:lvl w:ilvl="0" w:tplc="F4888FD6">
      <w:start w:val="1"/>
      <w:numFmt w:val="decimal"/>
      <w:lvlText w:val="%1."/>
      <w:lvlJc w:val="left"/>
      <w:pPr>
        <w:ind w:left="720" w:hanging="360"/>
      </w:pPr>
    </w:lvl>
    <w:lvl w:ilvl="1" w:tplc="96E09DA6">
      <w:start w:val="1"/>
      <w:numFmt w:val="lowerLetter"/>
      <w:lvlText w:val="%2."/>
      <w:lvlJc w:val="left"/>
      <w:pPr>
        <w:ind w:left="1440" w:hanging="360"/>
      </w:pPr>
    </w:lvl>
    <w:lvl w:ilvl="2" w:tplc="64CC49C2">
      <w:start w:val="1"/>
      <w:numFmt w:val="lowerRoman"/>
      <w:lvlText w:val="%3."/>
      <w:lvlJc w:val="right"/>
      <w:pPr>
        <w:ind w:left="2160" w:hanging="180"/>
      </w:pPr>
    </w:lvl>
    <w:lvl w:ilvl="3" w:tplc="F79A50FA">
      <w:start w:val="1"/>
      <w:numFmt w:val="decimal"/>
      <w:lvlText w:val="%4."/>
      <w:lvlJc w:val="left"/>
      <w:pPr>
        <w:ind w:left="2880" w:hanging="360"/>
      </w:pPr>
    </w:lvl>
    <w:lvl w:ilvl="4" w:tplc="F870AC76">
      <w:start w:val="1"/>
      <w:numFmt w:val="lowerLetter"/>
      <w:lvlText w:val="%5."/>
      <w:lvlJc w:val="left"/>
      <w:pPr>
        <w:ind w:left="3600" w:hanging="360"/>
      </w:pPr>
    </w:lvl>
    <w:lvl w:ilvl="5" w:tplc="B664AC5E">
      <w:start w:val="1"/>
      <w:numFmt w:val="lowerRoman"/>
      <w:lvlText w:val="%6."/>
      <w:lvlJc w:val="right"/>
      <w:pPr>
        <w:ind w:left="4320" w:hanging="180"/>
      </w:pPr>
    </w:lvl>
    <w:lvl w:ilvl="6" w:tplc="3C3A08CA">
      <w:start w:val="1"/>
      <w:numFmt w:val="decimal"/>
      <w:lvlText w:val="%7."/>
      <w:lvlJc w:val="left"/>
      <w:pPr>
        <w:ind w:left="5040" w:hanging="360"/>
      </w:pPr>
    </w:lvl>
    <w:lvl w:ilvl="7" w:tplc="6646FA7A">
      <w:start w:val="1"/>
      <w:numFmt w:val="lowerLetter"/>
      <w:lvlText w:val="%8."/>
      <w:lvlJc w:val="left"/>
      <w:pPr>
        <w:ind w:left="5760" w:hanging="360"/>
      </w:pPr>
    </w:lvl>
    <w:lvl w:ilvl="8" w:tplc="CF1CF046">
      <w:start w:val="1"/>
      <w:numFmt w:val="lowerRoman"/>
      <w:lvlText w:val="%9."/>
      <w:lvlJc w:val="right"/>
      <w:pPr>
        <w:ind w:left="6480" w:hanging="180"/>
      </w:pPr>
    </w:lvl>
  </w:abstractNum>
  <w:abstractNum w:abstractNumId="89" w15:restartNumberingAfterBreak="0">
    <w:nsid w:val="62051781"/>
    <w:multiLevelType w:val="multilevel"/>
    <w:tmpl w:val="159437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2308CE3"/>
    <w:multiLevelType w:val="hybridMultilevel"/>
    <w:tmpl w:val="4706399C"/>
    <w:lvl w:ilvl="0" w:tplc="628029CA">
      <w:start w:val="1"/>
      <w:numFmt w:val="bullet"/>
      <w:lvlText w:val=""/>
      <w:lvlJc w:val="left"/>
      <w:pPr>
        <w:ind w:left="720" w:hanging="360"/>
      </w:pPr>
      <w:rPr>
        <w:rFonts w:ascii="Wingdings,Sans-Serif" w:hAnsi="Wingdings,Sans-Serif" w:hint="default"/>
      </w:rPr>
    </w:lvl>
    <w:lvl w:ilvl="1" w:tplc="7B04EEDA">
      <w:start w:val="1"/>
      <w:numFmt w:val="bullet"/>
      <w:lvlText w:val="o"/>
      <w:lvlJc w:val="left"/>
      <w:pPr>
        <w:ind w:left="1440" w:hanging="360"/>
      </w:pPr>
      <w:rPr>
        <w:rFonts w:ascii="Courier New" w:hAnsi="Courier New" w:hint="default"/>
      </w:rPr>
    </w:lvl>
    <w:lvl w:ilvl="2" w:tplc="A2982124">
      <w:start w:val="1"/>
      <w:numFmt w:val="bullet"/>
      <w:lvlText w:val=""/>
      <w:lvlJc w:val="left"/>
      <w:pPr>
        <w:ind w:left="2160" w:hanging="360"/>
      </w:pPr>
      <w:rPr>
        <w:rFonts w:ascii="Wingdings" w:hAnsi="Wingdings" w:hint="default"/>
      </w:rPr>
    </w:lvl>
    <w:lvl w:ilvl="3" w:tplc="DFE602B8">
      <w:start w:val="1"/>
      <w:numFmt w:val="bullet"/>
      <w:lvlText w:val=""/>
      <w:lvlJc w:val="left"/>
      <w:pPr>
        <w:ind w:left="2880" w:hanging="360"/>
      </w:pPr>
      <w:rPr>
        <w:rFonts w:ascii="Symbol" w:hAnsi="Symbol" w:hint="default"/>
      </w:rPr>
    </w:lvl>
    <w:lvl w:ilvl="4" w:tplc="BCD83D14">
      <w:start w:val="1"/>
      <w:numFmt w:val="bullet"/>
      <w:lvlText w:val="o"/>
      <w:lvlJc w:val="left"/>
      <w:pPr>
        <w:ind w:left="3600" w:hanging="360"/>
      </w:pPr>
      <w:rPr>
        <w:rFonts w:ascii="Courier New" w:hAnsi="Courier New" w:hint="default"/>
      </w:rPr>
    </w:lvl>
    <w:lvl w:ilvl="5" w:tplc="7F64B78E">
      <w:start w:val="1"/>
      <w:numFmt w:val="bullet"/>
      <w:lvlText w:val=""/>
      <w:lvlJc w:val="left"/>
      <w:pPr>
        <w:ind w:left="4320" w:hanging="360"/>
      </w:pPr>
      <w:rPr>
        <w:rFonts w:ascii="Wingdings" w:hAnsi="Wingdings" w:hint="default"/>
      </w:rPr>
    </w:lvl>
    <w:lvl w:ilvl="6" w:tplc="6BA03796">
      <w:start w:val="1"/>
      <w:numFmt w:val="bullet"/>
      <w:lvlText w:val=""/>
      <w:lvlJc w:val="left"/>
      <w:pPr>
        <w:ind w:left="5040" w:hanging="360"/>
      </w:pPr>
      <w:rPr>
        <w:rFonts w:ascii="Symbol" w:hAnsi="Symbol" w:hint="default"/>
      </w:rPr>
    </w:lvl>
    <w:lvl w:ilvl="7" w:tplc="D0F00C60">
      <w:start w:val="1"/>
      <w:numFmt w:val="bullet"/>
      <w:lvlText w:val="o"/>
      <w:lvlJc w:val="left"/>
      <w:pPr>
        <w:ind w:left="5760" w:hanging="360"/>
      </w:pPr>
      <w:rPr>
        <w:rFonts w:ascii="Courier New" w:hAnsi="Courier New" w:hint="default"/>
      </w:rPr>
    </w:lvl>
    <w:lvl w:ilvl="8" w:tplc="3DF0B3F2">
      <w:start w:val="1"/>
      <w:numFmt w:val="bullet"/>
      <w:lvlText w:val=""/>
      <w:lvlJc w:val="left"/>
      <w:pPr>
        <w:ind w:left="6480" w:hanging="360"/>
      </w:pPr>
      <w:rPr>
        <w:rFonts w:ascii="Wingdings" w:hAnsi="Wingdings" w:hint="default"/>
      </w:rPr>
    </w:lvl>
  </w:abstractNum>
  <w:abstractNum w:abstractNumId="91" w15:restartNumberingAfterBreak="0">
    <w:nsid w:val="638124B7"/>
    <w:multiLevelType w:val="hybridMultilevel"/>
    <w:tmpl w:val="936E8762"/>
    <w:lvl w:ilvl="0" w:tplc="3AF2B39E">
      <w:start w:val="1"/>
      <w:numFmt w:val="bullet"/>
      <w:lvlText w:val=""/>
      <w:lvlJc w:val="left"/>
      <w:pPr>
        <w:ind w:left="860" w:hanging="360"/>
      </w:pPr>
      <w:rPr>
        <w:rFonts w:ascii="Symbol" w:hAnsi="Symbol" w:hint="default"/>
      </w:rPr>
    </w:lvl>
    <w:lvl w:ilvl="1" w:tplc="418C1790" w:tentative="1">
      <w:start w:val="1"/>
      <w:numFmt w:val="bullet"/>
      <w:lvlText w:val="o"/>
      <w:lvlJc w:val="left"/>
      <w:pPr>
        <w:ind w:left="1580" w:hanging="360"/>
      </w:pPr>
      <w:rPr>
        <w:rFonts w:ascii="Courier New" w:hAnsi="Courier New" w:hint="default"/>
      </w:rPr>
    </w:lvl>
    <w:lvl w:ilvl="2" w:tplc="456EE2F4" w:tentative="1">
      <w:start w:val="1"/>
      <w:numFmt w:val="bullet"/>
      <w:lvlText w:val=""/>
      <w:lvlJc w:val="left"/>
      <w:pPr>
        <w:ind w:left="2300" w:hanging="360"/>
      </w:pPr>
      <w:rPr>
        <w:rFonts w:ascii="Wingdings" w:hAnsi="Wingdings" w:hint="default"/>
      </w:rPr>
    </w:lvl>
    <w:lvl w:ilvl="3" w:tplc="2EBC2950" w:tentative="1">
      <w:start w:val="1"/>
      <w:numFmt w:val="bullet"/>
      <w:lvlText w:val=""/>
      <w:lvlJc w:val="left"/>
      <w:pPr>
        <w:ind w:left="3020" w:hanging="360"/>
      </w:pPr>
      <w:rPr>
        <w:rFonts w:ascii="Symbol" w:hAnsi="Symbol" w:hint="default"/>
      </w:rPr>
    </w:lvl>
    <w:lvl w:ilvl="4" w:tplc="47D426D6" w:tentative="1">
      <w:start w:val="1"/>
      <w:numFmt w:val="bullet"/>
      <w:lvlText w:val="o"/>
      <w:lvlJc w:val="left"/>
      <w:pPr>
        <w:ind w:left="3740" w:hanging="360"/>
      </w:pPr>
      <w:rPr>
        <w:rFonts w:ascii="Courier New" w:hAnsi="Courier New" w:hint="default"/>
      </w:rPr>
    </w:lvl>
    <w:lvl w:ilvl="5" w:tplc="2A2656B6" w:tentative="1">
      <w:start w:val="1"/>
      <w:numFmt w:val="bullet"/>
      <w:lvlText w:val=""/>
      <w:lvlJc w:val="left"/>
      <w:pPr>
        <w:ind w:left="4460" w:hanging="360"/>
      </w:pPr>
      <w:rPr>
        <w:rFonts w:ascii="Wingdings" w:hAnsi="Wingdings" w:hint="default"/>
      </w:rPr>
    </w:lvl>
    <w:lvl w:ilvl="6" w:tplc="E9A26BD6" w:tentative="1">
      <w:start w:val="1"/>
      <w:numFmt w:val="bullet"/>
      <w:lvlText w:val=""/>
      <w:lvlJc w:val="left"/>
      <w:pPr>
        <w:ind w:left="5180" w:hanging="360"/>
      </w:pPr>
      <w:rPr>
        <w:rFonts w:ascii="Symbol" w:hAnsi="Symbol" w:hint="default"/>
      </w:rPr>
    </w:lvl>
    <w:lvl w:ilvl="7" w:tplc="4DFC2BCC" w:tentative="1">
      <w:start w:val="1"/>
      <w:numFmt w:val="bullet"/>
      <w:lvlText w:val="o"/>
      <w:lvlJc w:val="left"/>
      <w:pPr>
        <w:ind w:left="5900" w:hanging="360"/>
      </w:pPr>
      <w:rPr>
        <w:rFonts w:ascii="Courier New" w:hAnsi="Courier New" w:hint="default"/>
      </w:rPr>
    </w:lvl>
    <w:lvl w:ilvl="8" w:tplc="8158A284" w:tentative="1">
      <w:start w:val="1"/>
      <w:numFmt w:val="bullet"/>
      <w:lvlText w:val=""/>
      <w:lvlJc w:val="left"/>
      <w:pPr>
        <w:ind w:left="6620" w:hanging="360"/>
      </w:pPr>
      <w:rPr>
        <w:rFonts w:ascii="Wingdings" w:hAnsi="Wingdings" w:hint="default"/>
      </w:rPr>
    </w:lvl>
  </w:abstractNum>
  <w:abstractNum w:abstractNumId="92" w15:restartNumberingAfterBreak="0">
    <w:nsid w:val="64B44861"/>
    <w:multiLevelType w:val="hybridMultilevel"/>
    <w:tmpl w:val="2AD47F1A"/>
    <w:lvl w:ilvl="0" w:tplc="936E61B4">
      <w:start w:val="1"/>
      <w:numFmt w:val="bullet"/>
      <w:lvlText w:val=""/>
      <w:lvlJc w:val="left"/>
      <w:pPr>
        <w:ind w:left="720" w:hanging="360"/>
      </w:pPr>
      <w:rPr>
        <w:rFonts w:ascii="Symbol" w:hAnsi="Symbol" w:hint="default"/>
      </w:rPr>
    </w:lvl>
    <w:lvl w:ilvl="1" w:tplc="9F7A8758">
      <w:start w:val="1"/>
      <w:numFmt w:val="bullet"/>
      <w:lvlText w:val="o"/>
      <w:lvlJc w:val="left"/>
      <w:pPr>
        <w:ind w:left="1440" w:hanging="360"/>
      </w:pPr>
      <w:rPr>
        <w:rFonts w:ascii="Courier New" w:hAnsi="Courier New" w:hint="default"/>
      </w:rPr>
    </w:lvl>
    <w:lvl w:ilvl="2" w:tplc="9CC018CA">
      <w:start w:val="1"/>
      <w:numFmt w:val="bullet"/>
      <w:lvlText w:val=""/>
      <w:lvlJc w:val="left"/>
      <w:pPr>
        <w:ind w:left="2160" w:hanging="360"/>
      </w:pPr>
      <w:rPr>
        <w:rFonts w:ascii="Wingdings" w:hAnsi="Wingdings" w:hint="default"/>
      </w:rPr>
    </w:lvl>
    <w:lvl w:ilvl="3" w:tplc="3F90DBA8">
      <w:start w:val="1"/>
      <w:numFmt w:val="bullet"/>
      <w:lvlText w:val=""/>
      <w:lvlJc w:val="left"/>
      <w:pPr>
        <w:ind w:left="2880" w:hanging="360"/>
      </w:pPr>
      <w:rPr>
        <w:rFonts w:ascii="Symbol" w:hAnsi="Symbol" w:hint="default"/>
      </w:rPr>
    </w:lvl>
    <w:lvl w:ilvl="4" w:tplc="435C8608">
      <w:start w:val="1"/>
      <w:numFmt w:val="bullet"/>
      <w:lvlText w:val="o"/>
      <w:lvlJc w:val="left"/>
      <w:pPr>
        <w:ind w:left="3600" w:hanging="360"/>
      </w:pPr>
      <w:rPr>
        <w:rFonts w:ascii="Courier New" w:hAnsi="Courier New" w:hint="default"/>
      </w:rPr>
    </w:lvl>
    <w:lvl w:ilvl="5" w:tplc="637271C2">
      <w:start w:val="1"/>
      <w:numFmt w:val="bullet"/>
      <w:lvlText w:val=""/>
      <w:lvlJc w:val="left"/>
      <w:pPr>
        <w:ind w:left="4320" w:hanging="360"/>
      </w:pPr>
      <w:rPr>
        <w:rFonts w:ascii="Wingdings" w:hAnsi="Wingdings" w:hint="default"/>
      </w:rPr>
    </w:lvl>
    <w:lvl w:ilvl="6" w:tplc="7EC49BF0">
      <w:start w:val="1"/>
      <w:numFmt w:val="bullet"/>
      <w:lvlText w:val=""/>
      <w:lvlJc w:val="left"/>
      <w:pPr>
        <w:ind w:left="5040" w:hanging="360"/>
      </w:pPr>
      <w:rPr>
        <w:rFonts w:ascii="Symbol" w:hAnsi="Symbol" w:hint="default"/>
      </w:rPr>
    </w:lvl>
    <w:lvl w:ilvl="7" w:tplc="F5FECAFE">
      <w:start w:val="1"/>
      <w:numFmt w:val="bullet"/>
      <w:lvlText w:val="o"/>
      <w:lvlJc w:val="left"/>
      <w:pPr>
        <w:ind w:left="5760" w:hanging="360"/>
      </w:pPr>
      <w:rPr>
        <w:rFonts w:ascii="Courier New" w:hAnsi="Courier New" w:hint="default"/>
      </w:rPr>
    </w:lvl>
    <w:lvl w:ilvl="8" w:tplc="2C7AA47C">
      <w:start w:val="1"/>
      <w:numFmt w:val="bullet"/>
      <w:lvlText w:val=""/>
      <w:lvlJc w:val="left"/>
      <w:pPr>
        <w:ind w:left="6480" w:hanging="360"/>
      </w:pPr>
      <w:rPr>
        <w:rFonts w:ascii="Wingdings" w:hAnsi="Wingdings" w:hint="default"/>
      </w:rPr>
    </w:lvl>
  </w:abstractNum>
  <w:abstractNum w:abstractNumId="93" w15:restartNumberingAfterBreak="0">
    <w:nsid w:val="66B91543"/>
    <w:multiLevelType w:val="multilevel"/>
    <w:tmpl w:val="A69E9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66C861CB"/>
    <w:multiLevelType w:val="hybridMultilevel"/>
    <w:tmpl w:val="F2CC43BE"/>
    <w:lvl w:ilvl="0" w:tplc="388A85E0">
      <w:start w:val="1"/>
      <w:numFmt w:val="bullet"/>
      <w:lvlText w:val=""/>
      <w:lvlJc w:val="left"/>
      <w:pPr>
        <w:ind w:left="1068" w:hanging="360"/>
      </w:pPr>
      <w:rPr>
        <w:rFonts w:ascii="Symbol" w:hAnsi="Symbol" w:hint="default"/>
        <w:color w:val="auto"/>
      </w:rPr>
    </w:lvl>
    <w:lvl w:ilvl="1" w:tplc="080A0003">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95" w15:restartNumberingAfterBreak="0">
    <w:nsid w:val="67296991"/>
    <w:multiLevelType w:val="hybridMultilevel"/>
    <w:tmpl w:val="B5BA4DE8"/>
    <w:lvl w:ilvl="0" w:tplc="18DC3310">
      <w:start w:val="1"/>
      <w:numFmt w:val="bullet"/>
      <w:lvlText w:val=""/>
      <w:lvlJc w:val="left"/>
      <w:pPr>
        <w:ind w:left="720" w:hanging="360"/>
      </w:pPr>
      <w:rPr>
        <w:rFonts w:ascii="Wingdings,Sans-Serif" w:hAnsi="Wingdings,Sans-Serif" w:hint="default"/>
      </w:rPr>
    </w:lvl>
    <w:lvl w:ilvl="1" w:tplc="5EC422FE">
      <w:start w:val="1"/>
      <w:numFmt w:val="bullet"/>
      <w:lvlText w:val="o"/>
      <w:lvlJc w:val="left"/>
      <w:pPr>
        <w:ind w:left="1440" w:hanging="360"/>
      </w:pPr>
      <w:rPr>
        <w:rFonts w:ascii="Courier New" w:hAnsi="Courier New" w:hint="default"/>
      </w:rPr>
    </w:lvl>
    <w:lvl w:ilvl="2" w:tplc="D48EC70C">
      <w:start w:val="1"/>
      <w:numFmt w:val="bullet"/>
      <w:lvlText w:val=""/>
      <w:lvlJc w:val="left"/>
      <w:pPr>
        <w:ind w:left="2160" w:hanging="360"/>
      </w:pPr>
      <w:rPr>
        <w:rFonts w:ascii="Wingdings" w:hAnsi="Wingdings" w:hint="default"/>
      </w:rPr>
    </w:lvl>
    <w:lvl w:ilvl="3" w:tplc="A42227A0">
      <w:start w:val="1"/>
      <w:numFmt w:val="bullet"/>
      <w:lvlText w:val=""/>
      <w:lvlJc w:val="left"/>
      <w:pPr>
        <w:ind w:left="2880" w:hanging="360"/>
      </w:pPr>
      <w:rPr>
        <w:rFonts w:ascii="Symbol" w:hAnsi="Symbol" w:hint="default"/>
      </w:rPr>
    </w:lvl>
    <w:lvl w:ilvl="4" w:tplc="8A6251B2">
      <w:start w:val="1"/>
      <w:numFmt w:val="bullet"/>
      <w:lvlText w:val="o"/>
      <w:lvlJc w:val="left"/>
      <w:pPr>
        <w:ind w:left="3600" w:hanging="360"/>
      </w:pPr>
      <w:rPr>
        <w:rFonts w:ascii="Courier New" w:hAnsi="Courier New" w:hint="default"/>
      </w:rPr>
    </w:lvl>
    <w:lvl w:ilvl="5" w:tplc="69E4E5B4">
      <w:start w:val="1"/>
      <w:numFmt w:val="bullet"/>
      <w:lvlText w:val=""/>
      <w:lvlJc w:val="left"/>
      <w:pPr>
        <w:ind w:left="4320" w:hanging="360"/>
      </w:pPr>
      <w:rPr>
        <w:rFonts w:ascii="Wingdings" w:hAnsi="Wingdings" w:hint="default"/>
      </w:rPr>
    </w:lvl>
    <w:lvl w:ilvl="6" w:tplc="ABAC5A7E">
      <w:start w:val="1"/>
      <w:numFmt w:val="bullet"/>
      <w:lvlText w:val=""/>
      <w:lvlJc w:val="left"/>
      <w:pPr>
        <w:ind w:left="5040" w:hanging="360"/>
      </w:pPr>
      <w:rPr>
        <w:rFonts w:ascii="Symbol" w:hAnsi="Symbol" w:hint="default"/>
      </w:rPr>
    </w:lvl>
    <w:lvl w:ilvl="7" w:tplc="12605DDC">
      <w:start w:val="1"/>
      <w:numFmt w:val="bullet"/>
      <w:lvlText w:val="o"/>
      <w:lvlJc w:val="left"/>
      <w:pPr>
        <w:ind w:left="5760" w:hanging="360"/>
      </w:pPr>
      <w:rPr>
        <w:rFonts w:ascii="Courier New" w:hAnsi="Courier New" w:hint="default"/>
      </w:rPr>
    </w:lvl>
    <w:lvl w:ilvl="8" w:tplc="514A0720">
      <w:start w:val="1"/>
      <w:numFmt w:val="bullet"/>
      <w:lvlText w:val=""/>
      <w:lvlJc w:val="left"/>
      <w:pPr>
        <w:ind w:left="6480" w:hanging="360"/>
      </w:pPr>
      <w:rPr>
        <w:rFonts w:ascii="Wingdings" w:hAnsi="Wingdings" w:hint="default"/>
      </w:rPr>
    </w:lvl>
  </w:abstractNum>
  <w:abstractNum w:abstractNumId="96" w15:restartNumberingAfterBreak="0">
    <w:nsid w:val="674BED31"/>
    <w:multiLevelType w:val="hybridMultilevel"/>
    <w:tmpl w:val="EEFCFD74"/>
    <w:lvl w:ilvl="0" w:tplc="F1DE90F4">
      <w:start w:val="1"/>
      <w:numFmt w:val="bullet"/>
      <w:lvlText w:val=""/>
      <w:lvlJc w:val="left"/>
      <w:pPr>
        <w:ind w:left="720" w:hanging="360"/>
      </w:pPr>
      <w:rPr>
        <w:rFonts w:ascii="Wingdings,Sans-Serif" w:hAnsi="Wingdings,Sans-Serif" w:hint="default"/>
      </w:rPr>
    </w:lvl>
    <w:lvl w:ilvl="1" w:tplc="7CA2BA26">
      <w:start w:val="1"/>
      <w:numFmt w:val="bullet"/>
      <w:lvlText w:val="o"/>
      <w:lvlJc w:val="left"/>
      <w:pPr>
        <w:ind w:left="1440" w:hanging="360"/>
      </w:pPr>
      <w:rPr>
        <w:rFonts w:ascii="Courier New" w:hAnsi="Courier New" w:hint="default"/>
      </w:rPr>
    </w:lvl>
    <w:lvl w:ilvl="2" w:tplc="B936CD38">
      <w:start w:val="1"/>
      <w:numFmt w:val="bullet"/>
      <w:lvlText w:val=""/>
      <w:lvlJc w:val="left"/>
      <w:pPr>
        <w:ind w:left="2160" w:hanging="360"/>
      </w:pPr>
      <w:rPr>
        <w:rFonts w:ascii="Wingdings" w:hAnsi="Wingdings" w:hint="default"/>
      </w:rPr>
    </w:lvl>
    <w:lvl w:ilvl="3" w:tplc="959E3B98">
      <w:start w:val="1"/>
      <w:numFmt w:val="bullet"/>
      <w:lvlText w:val=""/>
      <w:lvlJc w:val="left"/>
      <w:pPr>
        <w:ind w:left="2880" w:hanging="360"/>
      </w:pPr>
      <w:rPr>
        <w:rFonts w:ascii="Symbol" w:hAnsi="Symbol" w:hint="default"/>
      </w:rPr>
    </w:lvl>
    <w:lvl w:ilvl="4" w:tplc="BFE654D6">
      <w:start w:val="1"/>
      <w:numFmt w:val="bullet"/>
      <w:lvlText w:val="o"/>
      <w:lvlJc w:val="left"/>
      <w:pPr>
        <w:ind w:left="3600" w:hanging="360"/>
      </w:pPr>
      <w:rPr>
        <w:rFonts w:ascii="Courier New" w:hAnsi="Courier New" w:hint="default"/>
      </w:rPr>
    </w:lvl>
    <w:lvl w:ilvl="5" w:tplc="E91465EA">
      <w:start w:val="1"/>
      <w:numFmt w:val="bullet"/>
      <w:lvlText w:val=""/>
      <w:lvlJc w:val="left"/>
      <w:pPr>
        <w:ind w:left="4320" w:hanging="360"/>
      </w:pPr>
      <w:rPr>
        <w:rFonts w:ascii="Wingdings" w:hAnsi="Wingdings" w:hint="default"/>
      </w:rPr>
    </w:lvl>
    <w:lvl w:ilvl="6" w:tplc="223EF288">
      <w:start w:val="1"/>
      <w:numFmt w:val="bullet"/>
      <w:lvlText w:val=""/>
      <w:lvlJc w:val="left"/>
      <w:pPr>
        <w:ind w:left="5040" w:hanging="360"/>
      </w:pPr>
      <w:rPr>
        <w:rFonts w:ascii="Symbol" w:hAnsi="Symbol" w:hint="default"/>
      </w:rPr>
    </w:lvl>
    <w:lvl w:ilvl="7" w:tplc="E3E0899A">
      <w:start w:val="1"/>
      <w:numFmt w:val="bullet"/>
      <w:lvlText w:val="o"/>
      <w:lvlJc w:val="left"/>
      <w:pPr>
        <w:ind w:left="5760" w:hanging="360"/>
      </w:pPr>
      <w:rPr>
        <w:rFonts w:ascii="Courier New" w:hAnsi="Courier New" w:hint="default"/>
      </w:rPr>
    </w:lvl>
    <w:lvl w:ilvl="8" w:tplc="6880871C">
      <w:start w:val="1"/>
      <w:numFmt w:val="bullet"/>
      <w:lvlText w:val=""/>
      <w:lvlJc w:val="left"/>
      <w:pPr>
        <w:ind w:left="6480" w:hanging="360"/>
      </w:pPr>
      <w:rPr>
        <w:rFonts w:ascii="Wingdings" w:hAnsi="Wingdings" w:hint="default"/>
      </w:rPr>
    </w:lvl>
  </w:abstractNum>
  <w:abstractNum w:abstractNumId="97" w15:restartNumberingAfterBreak="0">
    <w:nsid w:val="68F0B0A5"/>
    <w:multiLevelType w:val="hybridMultilevel"/>
    <w:tmpl w:val="9948DA10"/>
    <w:lvl w:ilvl="0" w:tplc="53045896">
      <w:start w:val="1"/>
      <w:numFmt w:val="bullet"/>
      <w:lvlText w:val=""/>
      <w:lvlJc w:val="left"/>
      <w:pPr>
        <w:ind w:left="720" w:hanging="360"/>
      </w:pPr>
      <w:rPr>
        <w:rFonts w:ascii="Wingdings,Sans-Serif" w:hAnsi="Wingdings,Sans-Serif" w:hint="default"/>
      </w:rPr>
    </w:lvl>
    <w:lvl w:ilvl="1" w:tplc="E2324378">
      <w:start w:val="1"/>
      <w:numFmt w:val="bullet"/>
      <w:lvlText w:val="o"/>
      <w:lvlJc w:val="left"/>
      <w:pPr>
        <w:ind w:left="1440" w:hanging="360"/>
      </w:pPr>
      <w:rPr>
        <w:rFonts w:ascii="Courier New" w:hAnsi="Courier New" w:hint="default"/>
      </w:rPr>
    </w:lvl>
    <w:lvl w:ilvl="2" w:tplc="C8F63146">
      <w:start w:val="1"/>
      <w:numFmt w:val="bullet"/>
      <w:lvlText w:val=""/>
      <w:lvlJc w:val="left"/>
      <w:pPr>
        <w:ind w:left="2160" w:hanging="360"/>
      </w:pPr>
      <w:rPr>
        <w:rFonts w:ascii="Wingdings" w:hAnsi="Wingdings" w:hint="default"/>
      </w:rPr>
    </w:lvl>
    <w:lvl w:ilvl="3" w:tplc="DAB02248">
      <w:start w:val="1"/>
      <w:numFmt w:val="bullet"/>
      <w:lvlText w:val=""/>
      <w:lvlJc w:val="left"/>
      <w:pPr>
        <w:ind w:left="2880" w:hanging="360"/>
      </w:pPr>
      <w:rPr>
        <w:rFonts w:ascii="Symbol" w:hAnsi="Symbol" w:hint="default"/>
      </w:rPr>
    </w:lvl>
    <w:lvl w:ilvl="4" w:tplc="880A7C9A">
      <w:start w:val="1"/>
      <w:numFmt w:val="bullet"/>
      <w:lvlText w:val="o"/>
      <w:lvlJc w:val="left"/>
      <w:pPr>
        <w:ind w:left="3600" w:hanging="360"/>
      </w:pPr>
      <w:rPr>
        <w:rFonts w:ascii="Courier New" w:hAnsi="Courier New" w:hint="default"/>
      </w:rPr>
    </w:lvl>
    <w:lvl w:ilvl="5" w:tplc="879E3098">
      <w:start w:val="1"/>
      <w:numFmt w:val="bullet"/>
      <w:lvlText w:val=""/>
      <w:lvlJc w:val="left"/>
      <w:pPr>
        <w:ind w:left="4320" w:hanging="360"/>
      </w:pPr>
      <w:rPr>
        <w:rFonts w:ascii="Wingdings" w:hAnsi="Wingdings" w:hint="default"/>
      </w:rPr>
    </w:lvl>
    <w:lvl w:ilvl="6" w:tplc="B51A25A2">
      <w:start w:val="1"/>
      <w:numFmt w:val="bullet"/>
      <w:lvlText w:val=""/>
      <w:lvlJc w:val="left"/>
      <w:pPr>
        <w:ind w:left="5040" w:hanging="360"/>
      </w:pPr>
      <w:rPr>
        <w:rFonts w:ascii="Symbol" w:hAnsi="Symbol" w:hint="default"/>
      </w:rPr>
    </w:lvl>
    <w:lvl w:ilvl="7" w:tplc="16227E24">
      <w:start w:val="1"/>
      <w:numFmt w:val="bullet"/>
      <w:lvlText w:val="o"/>
      <w:lvlJc w:val="left"/>
      <w:pPr>
        <w:ind w:left="5760" w:hanging="360"/>
      </w:pPr>
      <w:rPr>
        <w:rFonts w:ascii="Courier New" w:hAnsi="Courier New" w:hint="default"/>
      </w:rPr>
    </w:lvl>
    <w:lvl w:ilvl="8" w:tplc="D0804D16">
      <w:start w:val="1"/>
      <w:numFmt w:val="bullet"/>
      <w:lvlText w:val=""/>
      <w:lvlJc w:val="left"/>
      <w:pPr>
        <w:ind w:left="6480" w:hanging="360"/>
      </w:pPr>
      <w:rPr>
        <w:rFonts w:ascii="Wingdings" w:hAnsi="Wingdings" w:hint="default"/>
      </w:rPr>
    </w:lvl>
  </w:abstractNum>
  <w:abstractNum w:abstractNumId="98" w15:restartNumberingAfterBreak="0">
    <w:nsid w:val="69140330"/>
    <w:multiLevelType w:val="hybridMultilevel"/>
    <w:tmpl w:val="03B0D96A"/>
    <w:lvl w:ilvl="0" w:tplc="E90AEBB0">
      <w:start w:val="1"/>
      <w:numFmt w:val="bullet"/>
      <w:lvlText w:val=""/>
      <w:lvlJc w:val="left"/>
      <w:pPr>
        <w:ind w:left="1440" w:hanging="360"/>
      </w:pPr>
      <w:rPr>
        <w:rFonts w:ascii="Symbol" w:hAnsi="Symbol" w:hint="default"/>
      </w:rPr>
    </w:lvl>
    <w:lvl w:ilvl="1" w:tplc="6ADCFA80" w:tentative="1">
      <w:start w:val="1"/>
      <w:numFmt w:val="bullet"/>
      <w:lvlText w:val="o"/>
      <w:lvlJc w:val="left"/>
      <w:pPr>
        <w:ind w:left="2160" w:hanging="360"/>
      </w:pPr>
      <w:rPr>
        <w:rFonts w:ascii="Courier New" w:hAnsi="Courier New" w:hint="default"/>
      </w:rPr>
    </w:lvl>
    <w:lvl w:ilvl="2" w:tplc="92D6A81E" w:tentative="1">
      <w:start w:val="1"/>
      <w:numFmt w:val="bullet"/>
      <w:lvlText w:val=""/>
      <w:lvlJc w:val="left"/>
      <w:pPr>
        <w:ind w:left="2880" w:hanging="360"/>
      </w:pPr>
      <w:rPr>
        <w:rFonts w:ascii="Wingdings" w:hAnsi="Wingdings" w:hint="default"/>
      </w:rPr>
    </w:lvl>
    <w:lvl w:ilvl="3" w:tplc="F2762E64" w:tentative="1">
      <w:start w:val="1"/>
      <w:numFmt w:val="bullet"/>
      <w:lvlText w:val=""/>
      <w:lvlJc w:val="left"/>
      <w:pPr>
        <w:ind w:left="3600" w:hanging="360"/>
      </w:pPr>
      <w:rPr>
        <w:rFonts w:ascii="Symbol" w:hAnsi="Symbol" w:hint="default"/>
      </w:rPr>
    </w:lvl>
    <w:lvl w:ilvl="4" w:tplc="3D381B96" w:tentative="1">
      <w:start w:val="1"/>
      <w:numFmt w:val="bullet"/>
      <w:lvlText w:val="o"/>
      <w:lvlJc w:val="left"/>
      <w:pPr>
        <w:ind w:left="4320" w:hanging="360"/>
      </w:pPr>
      <w:rPr>
        <w:rFonts w:ascii="Courier New" w:hAnsi="Courier New" w:hint="default"/>
      </w:rPr>
    </w:lvl>
    <w:lvl w:ilvl="5" w:tplc="B1ACCAA0" w:tentative="1">
      <w:start w:val="1"/>
      <w:numFmt w:val="bullet"/>
      <w:lvlText w:val=""/>
      <w:lvlJc w:val="left"/>
      <w:pPr>
        <w:ind w:left="5040" w:hanging="360"/>
      </w:pPr>
      <w:rPr>
        <w:rFonts w:ascii="Wingdings" w:hAnsi="Wingdings" w:hint="default"/>
      </w:rPr>
    </w:lvl>
    <w:lvl w:ilvl="6" w:tplc="E514BB78" w:tentative="1">
      <w:start w:val="1"/>
      <w:numFmt w:val="bullet"/>
      <w:lvlText w:val=""/>
      <w:lvlJc w:val="left"/>
      <w:pPr>
        <w:ind w:left="5760" w:hanging="360"/>
      </w:pPr>
      <w:rPr>
        <w:rFonts w:ascii="Symbol" w:hAnsi="Symbol" w:hint="default"/>
      </w:rPr>
    </w:lvl>
    <w:lvl w:ilvl="7" w:tplc="81FAB2C4" w:tentative="1">
      <w:start w:val="1"/>
      <w:numFmt w:val="bullet"/>
      <w:lvlText w:val="o"/>
      <w:lvlJc w:val="left"/>
      <w:pPr>
        <w:ind w:left="6480" w:hanging="360"/>
      </w:pPr>
      <w:rPr>
        <w:rFonts w:ascii="Courier New" w:hAnsi="Courier New" w:hint="default"/>
      </w:rPr>
    </w:lvl>
    <w:lvl w:ilvl="8" w:tplc="93B649AC" w:tentative="1">
      <w:start w:val="1"/>
      <w:numFmt w:val="bullet"/>
      <w:lvlText w:val=""/>
      <w:lvlJc w:val="left"/>
      <w:pPr>
        <w:ind w:left="7200" w:hanging="360"/>
      </w:pPr>
      <w:rPr>
        <w:rFonts w:ascii="Wingdings" w:hAnsi="Wingdings" w:hint="default"/>
      </w:rPr>
    </w:lvl>
  </w:abstractNum>
  <w:abstractNum w:abstractNumId="99" w15:restartNumberingAfterBreak="0">
    <w:nsid w:val="69D717EB"/>
    <w:multiLevelType w:val="multilevel"/>
    <w:tmpl w:val="ABE4B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AA1183E"/>
    <w:multiLevelType w:val="hybridMultilevel"/>
    <w:tmpl w:val="4172037A"/>
    <w:lvl w:ilvl="0" w:tplc="A2480D2C">
      <w:start w:val="1"/>
      <w:numFmt w:val="bullet"/>
      <w:lvlText w:val=""/>
      <w:lvlJc w:val="left"/>
      <w:pPr>
        <w:ind w:left="720" w:hanging="360"/>
      </w:pPr>
      <w:rPr>
        <w:rFonts w:ascii="Wingdings,Sans-Serif" w:hAnsi="Wingdings,Sans-Serif" w:hint="default"/>
      </w:rPr>
    </w:lvl>
    <w:lvl w:ilvl="1" w:tplc="C89CAB7E">
      <w:start w:val="1"/>
      <w:numFmt w:val="bullet"/>
      <w:lvlText w:val="o"/>
      <w:lvlJc w:val="left"/>
      <w:pPr>
        <w:ind w:left="1440" w:hanging="360"/>
      </w:pPr>
      <w:rPr>
        <w:rFonts w:ascii="Courier New" w:hAnsi="Courier New" w:hint="default"/>
      </w:rPr>
    </w:lvl>
    <w:lvl w:ilvl="2" w:tplc="832830FA">
      <w:start w:val="1"/>
      <w:numFmt w:val="bullet"/>
      <w:lvlText w:val=""/>
      <w:lvlJc w:val="left"/>
      <w:pPr>
        <w:ind w:left="2160" w:hanging="360"/>
      </w:pPr>
      <w:rPr>
        <w:rFonts w:ascii="Wingdings" w:hAnsi="Wingdings" w:hint="default"/>
      </w:rPr>
    </w:lvl>
    <w:lvl w:ilvl="3" w:tplc="2D661226">
      <w:start w:val="1"/>
      <w:numFmt w:val="bullet"/>
      <w:lvlText w:val=""/>
      <w:lvlJc w:val="left"/>
      <w:pPr>
        <w:ind w:left="2880" w:hanging="360"/>
      </w:pPr>
      <w:rPr>
        <w:rFonts w:ascii="Symbol" w:hAnsi="Symbol" w:hint="default"/>
      </w:rPr>
    </w:lvl>
    <w:lvl w:ilvl="4" w:tplc="9336E886">
      <w:start w:val="1"/>
      <w:numFmt w:val="bullet"/>
      <w:lvlText w:val="o"/>
      <w:lvlJc w:val="left"/>
      <w:pPr>
        <w:ind w:left="3600" w:hanging="360"/>
      </w:pPr>
      <w:rPr>
        <w:rFonts w:ascii="Courier New" w:hAnsi="Courier New" w:hint="default"/>
      </w:rPr>
    </w:lvl>
    <w:lvl w:ilvl="5" w:tplc="081C786E">
      <w:start w:val="1"/>
      <w:numFmt w:val="bullet"/>
      <w:lvlText w:val=""/>
      <w:lvlJc w:val="left"/>
      <w:pPr>
        <w:ind w:left="4320" w:hanging="360"/>
      </w:pPr>
      <w:rPr>
        <w:rFonts w:ascii="Wingdings" w:hAnsi="Wingdings" w:hint="default"/>
      </w:rPr>
    </w:lvl>
    <w:lvl w:ilvl="6" w:tplc="BA38B0B0">
      <w:start w:val="1"/>
      <w:numFmt w:val="bullet"/>
      <w:lvlText w:val=""/>
      <w:lvlJc w:val="left"/>
      <w:pPr>
        <w:ind w:left="5040" w:hanging="360"/>
      </w:pPr>
      <w:rPr>
        <w:rFonts w:ascii="Symbol" w:hAnsi="Symbol" w:hint="default"/>
      </w:rPr>
    </w:lvl>
    <w:lvl w:ilvl="7" w:tplc="DC4625CC">
      <w:start w:val="1"/>
      <w:numFmt w:val="bullet"/>
      <w:lvlText w:val="o"/>
      <w:lvlJc w:val="left"/>
      <w:pPr>
        <w:ind w:left="5760" w:hanging="360"/>
      </w:pPr>
      <w:rPr>
        <w:rFonts w:ascii="Courier New" w:hAnsi="Courier New" w:hint="default"/>
      </w:rPr>
    </w:lvl>
    <w:lvl w:ilvl="8" w:tplc="6D76DC7E">
      <w:start w:val="1"/>
      <w:numFmt w:val="bullet"/>
      <w:lvlText w:val=""/>
      <w:lvlJc w:val="left"/>
      <w:pPr>
        <w:ind w:left="6480" w:hanging="360"/>
      </w:pPr>
      <w:rPr>
        <w:rFonts w:ascii="Wingdings" w:hAnsi="Wingdings" w:hint="default"/>
      </w:rPr>
    </w:lvl>
  </w:abstractNum>
  <w:abstractNum w:abstractNumId="101" w15:restartNumberingAfterBreak="0">
    <w:nsid w:val="6AC54708"/>
    <w:multiLevelType w:val="hybridMultilevel"/>
    <w:tmpl w:val="616E40D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6AF16C44"/>
    <w:multiLevelType w:val="hybridMultilevel"/>
    <w:tmpl w:val="875E9BDE"/>
    <w:lvl w:ilvl="0" w:tplc="080A0017">
      <w:start w:val="1"/>
      <w:numFmt w:val="low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03" w15:restartNumberingAfterBreak="0">
    <w:nsid w:val="6B97608C"/>
    <w:multiLevelType w:val="hybridMultilevel"/>
    <w:tmpl w:val="A5228558"/>
    <w:lvl w:ilvl="0" w:tplc="E07222A6">
      <w:start w:val="1"/>
      <w:numFmt w:val="bullet"/>
      <w:lvlText w:val=""/>
      <w:lvlJc w:val="left"/>
      <w:pPr>
        <w:ind w:left="720" w:hanging="360"/>
      </w:pPr>
      <w:rPr>
        <w:rFonts w:ascii="Wingdings,Sans-Serif" w:hAnsi="Wingdings,Sans-Serif" w:hint="default"/>
      </w:rPr>
    </w:lvl>
    <w:lvl w:ilvl="1" w:tplc="AEAC7670">
      <w:start w:val="1"/>
      <w:numFmt w:val="bullet"/>
      <w:lvlText w:val="o"/>
      <w:lvlJc w:val="left"/>
      <w:pPr>
        <w:ind w:left="1440" w:hanging="360"/>
      </w:pPr>
      <w:rPr>
        <w:rFonts w:ascii="Courier New" w:hAnsi="Courier New" w:hint="default"/>
      </w:rPr>
    </w:lvl>
    <w:lvl w:ilvl="2" w:tplc="487AF6A8">
      <w:start w:val="1"/>
      <w:numFmt w:val="bullet"/>
      <w:lvlText w:val=""/>
      <w:lvlJc w:val="left"/>
      <w:pPr>
        <w:ind w:left="2160" w:hanging="360"/>
      </w:pPr>
      <w:rPr>
        <w:rFonts w:ascii="Wingdings" w:hAnsi="Wingdings" w:hint="default"/>
      </w:rPr>
    </w:lvl>
    <w:lvl w:ilvl="3" w:tplc="55D682A8">
      <w:start w:val="1"/>
      <w:numFmt w:val="bullet"/>
      <w:lvlText w:val=""/>
      <w:lvlJc w:val="left"/>
      <w:pPr>
        <w:ind w:left="2880" w:hanging="360"/>
      </w:pPr>
      <w:rPr>
        <w:rFonts w:ascii="Symbol" w:hAnsi="Symbol" w:hint="default"/>
      </w:rPr>
    </w:lvl>
    <w:lvl w:ilvl="4" w:tplc="E9AE55C6">
      <w:start w:val="1"/>
      <w:numFmt w:val="bullet"/>
      <w:lvlText w:val="o"/>
      <w:lvlJc w:val="left"/>
      <w:pPr>
        <w:ind w:left="3600" w:hanging="360"/>
      </w:pPr>
      <w:rPr>
        <w:rFonts w:ascii="Courier New" w:hAnsi="Courier New" w:hint="default"/>
      </w:rPr>
    </w:lvl>
    <w:lvl w:ilvl="5" w:tplc="180E34CC">
      <w:start w:val="1"/>
      <w:numFmt w:val="bullet"/>
      <w:lvlText w:val=""/>
      <w:lvlJc w:val="left"/>
      <w:pPr>
        <w:ind w:left="4320" w:hanging="360"/>
      </w:pPr>
      <w:rPr>
        <w:rFonts w:ascii="Wingdings" w:hAnsi="Wingdings" w:hint="default"/>
      </w:rPr>
    </w:lvl>
    <w:lvl w:ilvl="6" w:tplc="C582937E">
      <w:start w:val="1"/>
      <w:numFmt w:val="bullet"/>
      <w:lvlText w:val=""/>
      <w:lvlJc w:val="left"/>
      <w:pPr>
        <w:ind w:left="5040" w:hanging="360"/>
      </w:pPr>
      <w:rPr>
        <w:rFonts w:ascii="Symbol" w:hAnsi="Symbol" w:hint="default"/>
      </w:rPr>
    </w:lvl>
    <w:lvl w:ilvl="7" w:tplc="F306EA44">
      <w:start w:val="1"/>
      <w:numFmt w:val="bullet"/>
      <w:lvlText w:val="o"/>
      <w:lvlJc w:val="left"/>
      <w:pPr>
        <w:ind w:left="5760" w:hanging="360"/>
      </w:pPr>
      <w:rPr>
        <w:rFonts w:ascii="Courier New" w:hAnsi="Courier New" w:hint="default"/>
      </w:rPr>
    </w:lvl>
    <w:lvl w:ilvl="8" w:tplc="D856EFD6">
      <w:start w:val="1"/>
      <w:numFmt w:val="bullet"/>
      <w:lvlText w:val=""/>
      <w:lvlJc w:val="left"/>
      <w:pPr>
        <w:ind w:left="6480" w:hanging="360"/>
      </w:pPr>
      <w:rPr>
        <w:rFonts w:ascii="Wingdings" w:hAnsi="Wingdings" w:hint="default"/>
      </w:rPr>
    </w:lvl>
  </w:abstractNum>
  <w:abstractNum w:abstractNumId="104" w15:restartNumberingAfterBreak="0">
    <w:nsid w:val="6CFB27D0"/>
    <w:multiLevelType w:val="multilevel"/>
    <w:tmpl w:val="35A8BE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6D8E1D97"/>
    <w:multiLevelType w:val="hybridMultilevel"/>
    <w:tmpl w:val="AF5622B6"/>
    <w:lvl w:ilvl="0" w:tplc="AC88881C">
      <w:start w:val="1"/>
      <w:numFmt w:val="bullet"/>
      <w:lvlText w:val=""/>
      <w:lvlJc w:val="left"/>
      <w:pPr>
        <w:ind w:left="720" w:hanging="360"/>
      </w:pPr>
      <w:rPr>
        <w:rFonts w:ascii="Symbol" w:hAnsi="Symbol" w:hint="default"/>
        <w:color w:val="auto"/>
      </w:rPr>
    </w:lvl>
    <w:lvl w:ilvl="1" w:tplc="148CBCD2">
      <w:start w:val="1"/>
      <w:numFmt w:val="bullet"/>
      <w:lvlText w:val="o"/>
      <w:lvlJc w:val="left"/>
      <w:pPr>
        <w:ind w:left="1440" w:hanging="360"/>
      </w:pPr>
      <w:rPr>
        <w:rFonts w:ascii="Courier New" w:hAnsi="Courier New" w:hint="default"/>
      </w:rPr>
    </w:lvl>
    <w:lvl w:ilvl="2" w:tplc="48E29D68" w:tentative="1">
      <w:start w:val="1"/>
      <w:numFmt w:val="bullet"/>
      <w:lvlText w:val=""/>
      <w:lvlJc w:val="left"/>
      <w:pPr>
        <w:ind w:left="2160" w:hanging="360"/>
      </w:pPr>
      <w:rPr>
        <w:rFonts w:ascii="Wingdings" w:hAnsi="Wingdings" w:hint="default"/>
      </w:rPr>
    </w:lvl>
    <w:lvl w:ilvl="3" w:tplc="4FB8C048" w:tentative="1">
      <w:start w:val="1"/>
      <w:numFmt w:val="bullet"/>
      <w:lvlText w:val=""/>
      <w:lvlJc w:val="left"/>
      <w:pPr>
        <w:ind w:left="2880" w:hanging="360"/>
      </w:pPr>
      <w:rPr>
        <w:rFonts w:ascii="Symbol" w:hAnsi="Symbol" w:hint="default"/>
      </w:rPr>
    </w:lvl>
    <w:lvl w:ilvl="4" w:tplc="203E5DD0" w:tentative="1">
      <w:start w:val="1"/>
      <w:numFmt w:val="bullet"/>
      <w:lvlText w:val="o"/>
      <w:lvlJc w:val="left"/>
      <w:pPr>
        <w:ind w:left="3600" w:hanging="360"/>
      </w:pPr>
      <w:rPr>
        <w:rFonts w:ascii="Courier New" w:hAnsi="Courier New" w:hint="default"/>
      </w:rPr>
    </w:lvl>
    <w:lvl w:ilvl="5" w:tplc="49F4AE98" w:tentative="1">
      <w:start w:val="1"/>
      <w:numFmt w:val="bullet"/>
      <w:lvlText w:val=""/>
      <w:lvlJc w:val="left"/>
      <w:pPr>
        <w:ind w:left="4320" w:hanging="360"/>
      </w:pPr>
      <w:rPr>
        <w:rFonts w:ascii="Wingdings" w:hAnsi="Wingdings" w:hint="default"/>
      </w:rPr>
    </w:lvl>
    <w:lvl w:ilvl="6" w:tplc="9558FB36" w:tentative="1">
      <w:start w:val="1"/>
      <w:numFmt w:val="bullet"/>
      <w:lvlText w:val=""/>
      <w:lvlJc w:val="left"/>
      <w:pPr>
        <w:ind w:left="5040" w:hanging="360"/>
      </w:pPr>
      <w:rPr>
        <w:rFonts w:ascii="Symbol" w:hAnsi="Symbol" w:hint="default"/>
      </w:rPr>
    </w:lvl>
    <w:lvl w:ilvl="7" w:tplc="D7C439E0" w:tentative="1">
      <w:start w:val="1"/>
      <w:numFmt w:val="bullet"/>
      <w:lvlText w:val="o"/>
      <w:lvlJc w:val="left"/>
      <w:pPr>
        <w:ind w:left="5760" w:hanging="360"/>
      </w:pPr>
      <w:rPr>
        <w:rFonts w:ascii="Courier New" w:hAnsi="Courier New" w:hint="default"/>
      </w:rPr>
    </w:lvl>
    <w:lvl w:ilvl="8" w:tplc="B778E50A" w:tentative="1">
      <w:start w:val="1"/>
      <w:numFmt w:val="bullet"/>
      <w:lvlText w:val=""/>
      <w:lvlJc w:val="left"/>
      <w:pPr>
        <w:ind w:left="6480" w:hanging="360"/>
      </w:pPr>
      <w:rPr>
        <w:rFonts w:ascii="Wingdings" w:hAnsi="Wingdings" w:hint="default"/>
      </w:rPr>
    </w:lvl>
  </w:abstractNum>
  <w:abstractNum w:abstractNumId="106" w15:restartNumberingAfterBreak="0">
    <w:nsid w:val="6DC26E62"/>
    <w:multiLevelType w:val="hybridMultilevel"/>
    <w:tmpl w:val="06C8818A"/>
    <w:lvl w:ilvl="0" w:tplc="2E329E1A">
      <w:start w:val="1"/>
      <w:numFmt w:val="bullet"/>
      <w:lvlText w:val=""/>
      <w:lvlJc w:val="left"/>
      <w:pPr>
        <w:ind w:left="720" w:hanging="360"/>
      </w:pPr>
      <w:rPr>
        <w:rFonts w:ascii="Wingdings,Sans-Serif" w:hAnsi="Wingdings,Sans-Serif" w:hint="default"/>
      </w:rPr>
    </w:lvl>
    <w:lvl w:ilvl="1" w:tplc="D716E6B6">
      <w:start w:val="1"/>
      <w:numFmt w:val="bullet"/>
      <w:lvlText w:val="o"/>
      <w:lvlJc w:val="left"/>
      <w:pPr>
        <w:ind w:left="1440" w:hanging="360"/>
      </w:pPr>
      <w:rPr>
        <w:rFonts w:ascii="Courier New" w:hAnsi="Courier New" w:hint="default"/>
      </w:rPr>
    </w:lvl>
    <w:lvl w:ilvl="2" w:tplc="4FF4C5BA">
      <w:start w:val="1"/>
      <w:numFmt w:val="bullet"/>
      <w:lvlText w:val=""/>
      <w:lvlJc w:val="left"/>
      <w:pPr>
        <w:ind w:left="2160" w:hanging="360"/>
      </w:pPr>
      <w:rPr>
        <w:rFonts w:ascii="Wingdings" w:hAnsi="Wingdings" w:hint="default"/>
      </w:rPr>
    </w:lvl>
    <w:lvl w:ilvl="3" w:tplc="0066AA6A">
      <w:start w:val="1"/>
      <w:numFmt w:val="bullet"/>
      <w:lvlText w:val=""/>
      <w:lvlJc w:val="left"/>
      <w:pPr>
        <w:ind w:left="2880" w:hanging="360"/>
      </w:pPr>
      <w:rPr>
        <w:rFonts w:ascii="Symbol" w:hAnsi="Symbol" w:hint="default"/>
      </w:rPr>
    </w:lvl>
    <w:lvl w:ilvl="4" w:tplc="37529CBC">
      <w:start w:val="1"/>
      <w:numFmt w:val="bullet"/>
      <w:lvlText w:val="o"/>
      <w:lvlJc w:val="left"/>
      <w:pPr>
        <w:ind w:left="3600" w:hanging="360"/>
      </w:pPr>
      <w:rPr>
        <w:rFonts w:ascii="Courier New" w:hAnsi="Courier New" w:hint="default"/>
      </w:rPr>
    </w:lvl>
    <w:lvl w:ilvl="5" w:tplc="53288628">
      <w:start w:val="1"/>
      <w:numFmt w:val="bullet"/>
      <w:lvlText w:val=""/>
      <w:lvlJc w:val="left"/>
      <w:pPr>
        <w:ind w:left="4320" w:hanging="360"/>
      </w:pPr>
      <w:rPr>
        <w:rFonts w:ascii="Wingdings" w:hAnsi="Wingdings" w:hint="default"/>
      </w:rPr>
    </w:lvl>
    <w:lvl w:ilvl="6" w:tplc="46163F58">
      <w:start w:val="1"/>
      <w:numFmt w:val="bullet"/>
      <w:lvlText w:val=""/>
      <w:lvlJc w:val="left"/>
      <w:pPr>
        <w:ind w:left="5040" w:hanging="360"/>
      </w:pPr>
      <w:rPr>
        <w:rFonts w:ascii="Symbol" w:hAnsi="Symbol" w:hint="default"/>
      </w:rPr>
    </w:lvl>
    <w:lvl w:ilvl="7" w:tplc="8544F246">
      <w:start w:val="1"/>
      <w:numFmt w:val="bullet"/>
      <w:lvlText w:val="o"/>
      <w:lvlJc w:val="left"/>
      <w:pPr>
        <w:ind w:left="5760" w:hanging="360"/>
      </w:pPr>
      <w:rPr>
        <w:rFonts w:ascii="Courier New" w:hAnsi="Courier New" w:hint="default"/>
      </w:rPr>
    </w:lvl>
    <w:lvl w:ilvl="8" w:tplc="F41C5E12">
      <w:start w:val="1"/>
      <w:numFmt w:val="bullet"/>
      <w:lvlText w:val=""/>
      <w:lvlJc w:val="left"/>
      <w:pPr>
        <w:ind w:left="6480" w:hanging="360"/>
      </w:pPr>
      <w:rPr>
        <w:rFonts w:ascii="Wingdings" w:hAnsi="Wingdings" w:hint="default"/>
      </w:rPr>
    </w:lvl>
  </w:abstractNum>
  <w:abstractNum w:abstractNumId="107" w15:restartNumberingAfterBreak="0">
    <w:nsid w:val="6E40E0E7"/>
    <w:multiLevelType w:val="hybridMultilevel"/>
    <w:tmpl w:val="0E40163A"/>
    <w:lvl w:ilvl="0" w:tplc="192E73CE">
      <w:start w:val="1"/>
      <w:numFmt w:val="bullet"/>
      <w:lvlText w:val=""/>
      <w:lvlJc w:val="left"/>
      <w:pPr>
        <w:ind w:left="720" w:hanging="360"/>
      </w:pPr>
      <w:rPr>
        <w:rFonts w:ascii="Symbol" w:hAnsi="Symbol" w:hint="default"/>
      </w:rPr>
    </w:lvl>
    <w:lvl w:ilvl="1" w:tplc="45FE920C">
      <w:start w:val="1"/>
      <w:numFmt w:val="bullet"/>
      <w:lvlText w:val="o"/>
      <w:lvlJc w:val="left"/>
      <w:pPr>
        <w:ind w:left="1440" w:hanging="360"/>
      </w:pPr>
      <w:rPr>
        <w:rFonts w:ascii="Courier New" w:hAnsi="Courier New" w:hint="default"/>
      </w:rPr>
    </w:lvl>
    <w:lvl w:ilvl="2" w:tplc="52026F3C">
      <w:start w:val="1"/>
      <w:numFmt w:val="bullet"/>
      <w:lvlText w:val=""/>
      <w:lvlJc w:val="left"/>
      <w:pPr>
        <w:ind w:left="2160" w:hanging="360"/>
      </w:pPr>
      <w:rPr>
        <w:rFonts w:ascii="Wingdings" w:hAnsi="Wingdings" w:hint="default"/>
      </w:rPr>
    </w:lvl>
    <w:lvl w:ilvl="3" w:tplc="C29EC5E8">
      <w:start w:val="1"/>
      <w:numFmt w:val="bullet"/>
      <w:lvlText w:val=""/>
      <w:lvlJc w:val="left"/>
      <w:pPr>
        <w:ind w:left="2880" w:hanging="360"/>
      </w:pPr>
      <w:rPr>
        <w:rFonts w:ascii="Symbol" w:hAnsi="Symbol" w:hint="default"/>
      </w:rPr>
    </w:lvl>
    <w:lvl w:ilvl="4" w:tplc="EBBADDB2">
      <w:start w:val="1"/>
      <w:numFmt w:val="bullet"/>
      <w:lvlText w:val="o"/>
      <w:lvlJc w:val="left"/>
      <w:pPr>
        <w:ind w:left="3600" w:hanging="360"/>
      </w:pPr>
      <w:rPr>
        <w:rFonts w:ascii="Courier New" w:hAnsi="Courier New" w:hint="default"/>
      </w:rPr>
    </w:lvl>
    <w:lvl w:ilvl="5" w:tplc="A0D47ECC">
      <w:start w:val="1"/>
      <w:numFmt w:val="bullet"/>
      <w:lvlText w:val=""/>
      <w:lvlJc w:val="left"/>
      <w:pPr>
        <w:ind w:left="4320" w:hanging="360"/>
      </w:pPr>
      <w:rPr>
        <w:rFonts w:ascii="Wingdings" w:hAnsi="Wingdings" w:hint="default"/>
      </w:rPr>
    </w:lvl>
    <w:lvl w:ilvl="6" w:tplc="DF4AB4D6">
      <w:start w:val="1"/>
      <w:numFmt w:val="bullet"/>
      <w:lvlText w:val=""/>
      <w:lvlJc w:val="left"/>
      <w:pPr>
        <w:ind w:left="5040" w:hanging="360"/>
      </w:pPr>
      <w:rPr>
        <w:rFonts w:ascii="Symbol" w:hAnsi="Symbol" w:hint="default"/>
      </w:rPr>
    </w:lvl>
    <w:lvl w:ilvl="7" w:tplc="FF70F6DE">
      <w:start w:val="1"/>
      <w:numFmt w:val="bullet"/>
      <w:lvlText w:val="o"/>
      <w:lvlJc w:val="left"/>
      <w:pPr>
        <w:ind w:left="5760" w:hanging="360"/>
      </w:pPr>
      <w:rPr>
        <w:rFonts w:ascii="Courier New" w:hAnsi="Courier New" w:hint="default"/>
      </w:rPr>
    </w:lvl>
    <w:lvl w:ilvl="8" w:tplc="3C68CA48">
      <w:start w:val="1"/>
      <w:numFmt w:val="bullet"/>
      <w:lvlText w:val=""/>
      <w:lvlJc w:val="left"/>
      <w:pPr>
        <w:ind w:left="6480" w:hanging="360"/>
      </w:pPr>
      <w:rPr>
        <w:rFonts w:ascii="Wingdings" w:hAnsi="Wingdings" w:hint="default"/>
      </w:rPr>
    </w:lvl>
  </w:abstractNum>
  <w:abstractNum w:abstractNumId="108" w15:restartNumberingAfterBreak="0">
    <w:nsid w:val="6F2C42E4"/>
    <w:multiLevelType w:val="hybridMultilevel"/>
    <w:tmpl w:val="CE6459FE"/>
    <w:lvl w:ilvl="0" w:tplc="B3822D44">
      <w:start w:val="2"/>
      <w:numFmt w:val="lowerRoman"/>
      <w:lvlText w:val="(%1)"/>
      <w:lvlJc w:val="left"/>
      <w:pPr>
        <w:ind w:left="668" w:hanging="385"/>
      </w:pPr>
      <w:rPr>
        <w:rFonts w:ascii="Arial" w:hAnsi="Arial" w:hint="default"/>
        <w:color w:val="4E4D4D"/>
        <w:spacing w:val="-9"/>
        <w:w w:val="100"/>
        <w:sz w:val="22"/>
        <w:szCs w:val="22"/>
        <w:lang w:val="es-ES" w:eastAsia="en-US" w:bidi="ar-SA"/>
      </w:rPr>
    </w:lvl>
    <w:lvl w:ilvl="1" w:tplc="EA40528A">
      <w:numFmt w:val="bullet"/>
      <w:lvlText w:val="•"/>
      <w:lvlJc w:val="left"/>
      <w:pPr>
        <w:ind w:left="1508" w:hanging="385"/>
      </w:pPr>
      <w:rPr>
        <w:lang w:val="es-ES" w:eastAsia="en-US" w:bidi="ar-SA"/>
      </w:rPr>
    </w:lvl>
    <w:lvl w:ilvl="2" w:tplc="E440ECE2">
      <w:numFmt w:val="bullet"/>
      <w:lvlText w:val="•"/>
      <w:lvlJc w:val="left"/>
      <w:pPr>
        <w:ind w:left="2356" w:hanging="385"/>
      </w:pPr>
      <w:rPr>
        <w:lang w:val="es-ES" w:eastAsia="en-US" w:bidi="ar-SA"/>
      </w:rPr>
    </w:lvl>
    <w:lvl w:ilvl="3" w:tplc="3A3A4090">
      <w:numFmt w:val="bullet"/>
      <w:lvlText w:val="•"/>
      <w:lvlJc w:val="left"/>
      <w:pPr>
        <w:ind w:left="3204" w:hanging="385"/>
      </w:pPr>
      <w:rPr>
        <w:lang w:val="es-ES" w:eastAsia="en-US" w:bidi="ar-SA"/>
      </w:rPr>
    </w:lvl>
    <w:lvl w:ilvl="4" w:tplc="5906A6EC">
      <w:numFmt w:val="bullet"/>
      <w:lvlText w:val="•"/>
      <w:lvlJc w:val="left"/>
      <w:pPr>
        <w:ind w:left="4052" w:hanging="385"/>
      </w:pPr>
      <w:rPr>
        <w:lang w:val="es-ES" w:eastAsia="en-US" w:bidi="ar-SA"/>
      </w:rPr>
    </w:lvl>
    <w:lvl w:ilvl="5" w:tplc="33A24450">
      <w:numFmt w:val="bullet"/>
      <w:lvlText w:val="•"/>
      <w:lvlJc w:val="left"/>
      <w:pPr>
        <w:ind w:left="4900" w:hanging="385"/>
      </w:pPr>
      <w:rPr>
        <w:lang w:val="es-ES" w:eastAsia="en-US" w:bidi="ar-SA"/>
      </w:rPr>
    </w:lvl>
    <w:lvl w:ilvl="6" w:tplc="037ACD26">
      <w:numFmt w:val="bullet"/>
      <w:lvlText w:val="•"/>
      <w:lvlJc w:val="left"/>
      <w:pPr>
        <w:ind w:left="5748" w:hanging="385"/>
      </w:pPr>
      <w:rPr>
        <w:lang w:val="es-ES" w:eastAsia="en-US" w:bidi="ar-SA"/>
      </w:rPr>
    </w:lvl>
    <w:lvl w:ilvl="7" w:tplc="D2386DB4">
      <w:numFmt w:val="bullet"/>
      <w:lvlText w:val="•"/>
      <w:lvlJc w:val="left"/>
      <w:pPr>
        <w:ind w:left="6596" w:hanging="385"/>
      </w:pPr>
      <w:rPr>
        <w:lang w:val="es-ES" w:eastAsia="en-US" w:bidi="ar-SA"/>
      </w:rPr>
    </w:lvl>
    <w:lvl w:ilvl="8" w:tplc="FAA88956">
      <w:numFmt w:val="bullet"/>
      <w:lvlText w:val="•"/>
      <w:lvlJc w:val="left"/>
      <w:pPr>
        <w:ind w:left="7444" w:hanging="385"/>
      </w:pPr>
      <w:rPr>
        <w:lang w:val="es-ES" w:eastAsia="en-US" w:bidi="ar-SA"/>
      </w:rPr>
    </w:lvl>
  </w:abstractNum>
  <w:abstractNum w:abstractNumId="109" w15:restartNumberingAfterBreak="0">
    <w:nsid w:val="703E99DA"/>
    <w:multiLevelType w:val="hybridMultilevel"/>
    <w:tmpl w:val="EDEAC7A2"/>
    <w:lvl w:ilvl="0" w:tplc="3BEC600C">
      <w:start w:val="1"/>
      <w:numFmt w:val="bullet"/>
      <w:lvlText w:val=""/>
      <w:lvlJc w:val="left"/>
      <w:pPr>
        <w:ind w:left="720" w:hanging="360"/>
      </w:pPr>
      <w:rPr>
        <w:rFonts w:ascii="Symbol" w:hAnsi="Symbol" w:hint="default"/>
      </w:rPr>
    </w:lvl>
    <w:lvl w:ilvl="1" w:tplc="496049E8">
      <w:start w:val="1"/>
      <w:numFmt w:val="bullet"/>
      <w:lvlText w:val="o"/>
      <w:lvlJc w:val="left"/>
      <w:pPr>
        <w:ind w:left="1440" w:hanging="360"/>
      </w:pPr>
      <w:rPr>
        <w:rFonts w:ascii="Courier New" w:hAnsi="Courier New" w:hint="default"/>
      </w:rPr>
    </w:lvl>
    <w:lvl w:ilvl="2" w:tplc="9956DED8">
      <w:start w:val="1"/>
      <w:numFmt w:val="bullet"/>
      <w:lvlText w:val=""/>
      <w:lvlJc w:val="left"/>
      <w:pPr>
        <w:ind w:left="2160" w:hanging="360"/>
      </w:pPr>
      <w:rPr>
        <w:rFonts w:ascii="Wingdings" w:hAnsi="Wingdings" w:hint="default"/>
      </w:rPr>
    </w:lvl>
    <w:lvl w:ilvl="3" w:tplc="C1FEC064">
      <w:start w:val="1"/>
      <w:numFmt w:val="bullet"/>
      <w:lvlText w:val=""/>
      <w:lvlJc w:val="left"/>
      <w:pPr>
        <w:ind w:left="2880" w:hanging="360"/>
      </w:pPr>
      <w:rPr>
        <w:rFonts w:ascii="Symbol" w:hAnsi="Symbol" w:hint="default"/>
      </w:rPr>
    </w:lvl>
    <w:lvl w:ilvl="4" w:tplc="3502F6D4">
      <w:start w:val="1"/>
      <w:numFmt w:val="bullet"/>
      <w:lvlText w:val="o"/>
      <w:lvlJc w:val="left"/>
      <w:pPr>
        <w:ind w:left="3600" w:hanging="360"/>
      </w:pPr>
      <w:rPr>
        <w:rFonts w:ascii="Courier New" w:hAnsi="Courier New" w:hint="default"/>
      </w:rPr>
    </w:lvl>
    <w:lvl w:ilvl="5" w:tplc="C52A563C">
      <w:start w:val="1"/>
      <w:numFmt w:val="bullet"/>
      <w:lvlText w:val=""/>
      <w:lvlJc w:val="left"/>
      <w:pPr>
        <w:ind w:left="4320" w:hanging="360"/>
      </w:pPr>
      <w:rPr>
        <w:rFonts w:ascii="Wingdings" w:hAnsi="Wingdings" w:hint="default"/>
      </w:rPr>
    </w:lvl>
    <w:lvl w:ilvl="6" w:tplc="CDAAA3B0">
      <w:start w:val="1"/>
      <w:numFmt w:val="bullet"/>
      <w:lvlText w:val=""/>
      <w:lvlJc w:val="left"/>
      <w:pPr>
        <w:ind w:left="5040" w:hanging="360"/>
      </w:pPr>
      <w:rPr>
        <w:rFonts w:ascii="Symbol" w:hAnsi="Symbol" w:hint="default"/>
      </w:rPr>
    </w:lvl>
    <w:lvl w:ilvl="7" w:tplc="3B08EE42">
      <w:start w:val="1"/>
      <w:numFmt w:val="bullet"/>
      <w:lvlText w:val="o"/>
      <w:lvlJc w:val="left"/>
      <w:pPr>
        <w:ind w:left="5760" w:hanging="360"/>
      </w:pPr>
      <w:rPr>
        <w:rFonts w:ascii="Courier New" w:hAnsi="Courier New" w:hint="default"/>
      </w:rPr>
    </w:lvl>
    <w:lvl w:ilvl="8" w:tplc="126E8C4A">
      <w:start w:val="1"/>
      <w:numFmt w:val="bullet"/>
      <w:lvlText w:val=""/>
      <w:lvlJc w:val="left"/>
      <w:pPr>
        <w:ind w:left="6480" w:hanging="360"/>
      </w:pPr>
      <w:rPr>
        <w:rFonts w:ascii="Wingdings" w:hAnsi="Wingdings" w:hint="default"/>
      </w:rPr>
    </w:lvl>
  </w:abstractNum>
  <w:abstractNum w:abstractNumId="110" w15:restartNumberingAfterBreak="0">
    <w:nsid w:val="716C7FF4"/>
    <w:multiLevelType w:val="hybridMultilevel"/>
    <w:tmpl w:val="650AC674"/>
    <w:lvl w:ilvl="0" w:tplc="080A0001">
      <w:start w:val="1"/>
      <w:numFmt w:val="bullet"/>
      <w:lvlText w:val=""/>
      <w:lvlJc w:val="left"/>
      <w:pPr>
        <w:ind w:left="360" w:hanging="360"/>
      </w:pPr>
      <w:rPr>
        <w:rFonts w:ascii="Symbol" w:hAnsi="Symbol" w:hint="default"/>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1" w15:restartNumberingAfterBreak="0">
    <w:nsid w:val="7253520C"/>
    <w:multiLevelType w:val="hybridMultilevel"/>
    <w:tmpl w:val="ADC4E0B6"/>
    <w:lvl w:ilvl="0" w:tplc="6870089E">
      <w:start w:val="1"/>
      <w:numFmt w:val="lowerRoman"/>
      <w:lvlText w:val="%1."/>
      <w:lvlJc w:val="right"/>
      <w:pPr>
        <w:ind w:left="720" w:hanging="360"/>
      </w:pPr>
    </w:lvl>
    <w:lvl w:ilvl="1" w:tplc="15CA2C38">
      <w:start w:val="1"/>
      <w:numFmt w:val="lowerLetter"/>
      <w:lvlText w:val="%2."/>
      <w:lvlJc w:val="left"/>
      <w:pPr>
        <w:ind w:left="1440" w:hanging="360"/>
      </w:pPr>
    </w:lvl>
    <w:lvl w:ilvl="2" w:tplc="DB0E378C">
      <w:start w:val="1"/>
      <w:numFmt w:val="lowerRoman"/>
      <w:lvlText w:val="%3."/>
      <w:lvlJc w:val="right"/>
      <w:pPr>
        <w:ind w:left="2160" w:hanging="180"/>
      </w:pPr>
    </w:lvl>
    <w:lvl w:ilvl="3" w:tplc="68506082">
      <w:start w:val="1"/>
      <w:numFmt w:val="decimal"/>
      <w:lvlText w:val="%4."/>
      <w:lvlJc w:val="left"/>
      <w:pPr>
        <w:ind w:left="2880" w:hanging="360"/>
      </w:pPr>
    </w:lvl>
    <w:lvl w:ilvl="4" w:tplc="B928C808">
      <w:start w:val="1"/>
      <w:numFmt w:val="lowerLetter"/>
      <w:lvlText w:val="%5."/>
      <w:lvlJc w:val="left"/>
      <w:pPr>
        <w:ind w:left="3600" w:hanging="360"/>
      </w:pPr>
    </w:lvl>
    <w:lvl w:ilvl="5" w:tplc="8CE84966">
      <w:start w:val="1"/>
      <w:numFmt w:val="lowerRoman"/>
      <w:lvlText w:val="%6."/>
      <w:lvlJc w:val="right"/>
      <w:pPr>
        <w:ind w:left="4320" w:hanging="180"/>
      </w:pPr>
    </w:lvl>
    <w:lvl w:ilvl="6" w:tplc="27E4A550">
      <w:start w:val="1"/>
      <w:numFmt w:val="decimal"/>
      <w:lvlText w:val="%7."/>
      <w:lvlJc w:val="left"/>
      <w:pPr>
        <w:ind w:left="5040" w:hanging="360"/>
      </w:pPr>
    </w:lvl>
    <w:lvl w:ilvl="7" w:tplc="77B86B76">
      <w:start w:val="1"/>
      <w:numFmt w:val="lowerLetter"/>
      <w:lvlText w:val="%8."/>
      <w:lvlJc w:val="left"/>
      <w:pPr>
        <w:ind w:left="5760" w:hanging="360"/>
      </w:pPr>
    </w:lvl>
    <w:lvl w:ilvl="8" w:tplc="24F43086">
      <w:start w:val="1"/>
      <w:numFmt w:val="lowerRoman"/>
      <w:lvlText w:val="%9."/>
      <w:lvlJc w:val="right"/>
      <w:pPr>
        <w:ind w:left="6480" w:hanging="180"/>
      </w:pPr>
    </w:lvl>
  </w:abstractNum>
  <w:abstractNum w:abstractNumId="112" w15:restartNumberingAfterBreak="0">
    <w:nsid w:val="7391618F"/>
    <w:multiLevelType w:val="hybridMultilevel"/>
    <w:tmpl w:val="FD6A9522"/>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3" w15:restartNumberingAfterBreak="0">
    <w:nsid w:val="74E71CED"/>
    <w:multiLevelType w:val="hybridMultilevel"/>
    <w:tmpl w:val="44FA8450"/>
    <w:lvl w:ilvl="0" w:tplc="AA9A5066">
      <w:start w:val="1"/>
      <w:numFmt w:val="bullet"/>
      <w:lvlText w:val=""/>
      <w:lvlJc w:val="left"/>
      <w:pPr>
        <w:ind w:left="1068" w:hanging="360"/>
      </w:pPr>
      <w:rPr>
        <w:rFonts w:ascii="Symbol" w:hAnsi="Symbol" w:hint="default"/>
        <w:color w:val="auto"/>
      </w:rPr>
    </w:lvl>
    <w:lvl w:ilvl="1" w:tplc="B6F8D348" w:tentative="1">
      <w:start w:val="1"/>
      <w:numFmt w:val="bullet"/>
      <w:lvlText w:val="o"/>
      <w:lvlJc w:val="left"/>
      <w:pPr>
        <w:ind w:left="1440" w:hanging="360"/>
      </w:pPr>
      <w:rPr>
        <w:rFonts w:ascii="Courier New" w:hAnsi="Courier New" w:hint="default"/>
      </w:rPr>
    </w:lvl>
    <w:lvl w:ilvl="2" w:tplc="09321D4C" w:tentative="1">
      <w:start w:val="1"/>
      <w:numFmt w:val="bullet"/>
      <w:lvlText w:val=""/>
      <w:lvlJc w:val="left"/>
      <w:pPr>
        <w:ind w:left="2160" w:hanging="360"/>
      </w:pPr>
      <w:rPr>
        <w:rFonts w:ascii="Wingdings" w:hAnsi="Wingdings" w:hint="default"/>
      </w:rPr>
    </w:lvl>
    <w:lvl w:ilvl="3" w:tplc="5A54B408" w:tentative="1">
      <w:start w:val="1"/>
      <w:numFmt w:val="bullet"/>
      <w:lvlText w:val=""/>
      <w:lvlJc w:val="left"/>
      <w:pPr>
        <w:ind w:left="2880" w:hanging="360"/>
      </w:pPr>
      <w:rPr>
        <w:rFonts w:ascii="Symbol" w:hAnsi="Symbol" w:hint="default"/>
      </w:rPr>
    </w:lvl>
    <w:lvl w:ilvl="4" w:tplc="0A6C523C" w:tentative="1">
      <w:start w:val="1"/>
      <w:numFmt w:val="bullet"/>
      <w:lvlText w:val="o"/>
      <w:lvlJc w:val="left"/>
      <w:pPr>
        <w:ind w:left="3600" w:hanging="360"/>
      </w:pPr>
      <w:rPr>
        <w:rFonts w:ascii="Courier New" w:hAnsi="Courier New" w:hint="default"/>
      </w:rPr>
    </w:lvl>
    <w:lvl w:ilvl="5" w:tplc="1AF482EE" w:tentative="1">
      <w:start w:val="1"/>
      <w:numFmt w:val="bullet"/>
      <w:lvlText w:val=""/>
      <w:lvlJc w:val="left"/>
      <w:pPr>
        <w:ind w:left="4320" w:hanging="360"/>
      </w:pPr>
      <w:rPr>
        <w:rFonts w:ascii="Wingdings" w:hAnsi="Wingdings" w:hint="default"/>
      </w:rPr>
    </w:lvl>
    <w:lvl w:ilvl="6" w:tplc="77F21B7A" w:tentative="1">
      <w:start w:val="1"/>
      <w:numFmt w:val="bullet"/>
      <w:lvlText w:val=""/>
      <w:lvlJc w:val="left"/>
      <w:pPr>
        <w:ind w:left="5040" w:hanging="360"/>
      </w:pPr>
      <w:rPr>
        <w:rFonts w:ascii="Symbol" w:hAnsi="Symbol" w:hint="default"/>
      </w:rPr>
    </w:lvl>
    <w:lvl w:ilvl="7" w:tplc="72B2973C" w:tentative="1">
      <w:start w:val="1"/>
      <w:numFmt w:val="bullet"/>
      <w:lvlText w:val="o"/>
      <w:lvlJc w:val="left"/>
      <w:pPr>
        <w:ind w:left="5760" w:hanging="360"/>
      </w:pPr>
      <w:rPr>
        <w:rFonts w:ascii="Courier New" w:hAnsi="Courier New" w:hint="default"/>
      </w:rPr>
    </w:lvl>
    <w:lvl w:ilvl="8" w:tplc="58D8E3CA" w:tentative="1">
      <w:start w:val="1"/>
      <w:numFmt w:val="bullet"/>
      <w:lvlText w:val=""/>
      <w:lvlJc w:val="left"/>
      <w:pPr>
        <w:ind w:left="6480" w:hanging="360"/>
      </w:pPr>
      <w:rPr>
        <w:rFonts w:ascii="Wingdings" w:hAnsi="Wingdings" w:hint="default"/>
      </w:rPr>
    </w:lvl>
  </w:abstractNum>
  <w:abstractNum w:abstractNumId="114" w15:restartNumberingAfterBreak="0">
    <w:nsid w:val="758658E4"/>
    <w:multiLevelType w:val="multilevel"/>
    <w:tmpl w:val="D3D648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7604EFBF"/>
    <w:multiLevelType w:val="hybridMultilevel"/>
    <w:tmpl w:val="DAA0C9AC"/>
    <w:lvl w:ilvl="0" w:tplc="6F7EC022">
      <w:start w:val="1"/>
      <w:numFmt w:val="bullet"/>
      <w:lvlText w:val=""/>
      <w:lvlJc w:val="left"/>
      <w:pPr>
        <w:ind w:left="720" w:hanging="360"/>
      </w:pPr>
      <w:rPr>
        <w:rFonts w:ascii="Wingdings,Sans-Serif" w:hAnsi="Wingdings,Sans-Serif" w:hint="default"/>
      </w:rPr>
    </w:lvl>
    <w:lvl w:ilvl="1" w:tplc="794CDF0E">
      <w:start w:val="1"/>
      <w:numFmt w:val="bullet"/>
      <w:lvlText w:val="o"/>
      <w:lvlJc w:val="left"/>
      <w:pPr>
        <w:ind w:left="1440" w:hanging="360"/>
      </w:pPr>
      <w:rPr>
        <w:rFonts w:ascii="Courier New" w:hAnsi="Courier New" w:hint="default"/>
      </w:rPr>
    </w:lvl>
    <w:lvl w:ilvl="2" w:tplc="DF9ACD38">
      <w:start w:val="1"/>
      <w:numFmt w:val="bullet"/>
      <w:lvlText w:val=""/>
      <w:lvlJc w:val="left"/>
      <w:pPr>
        <w:ind w:left="2160" w:hanging="360"/>
      </w:pPr>
      <w:rPr>
        <w:rFonts w:ascii="Wingdings" w:hAnsi="Wingdings" w:hint="default"/>
      </w:rPr>
    </w:lvl>
    <w:lvl w:ilvl="3" w:tplc="5F48E174">
      <w:start w:val="1"/>
      <w:numFmt w:val="bullet"/>
      <w:lvlText w:val=""/>
      <w:lvlJc w:val="left"/>
      <w:pPr>
        <w:ind w:left="2880" w:hanging="360"/>
      </w:pPr>
      <w:rPr>
        <w:rFonts w:ascii="Symbol" w:hAnsi="Symbol" w:hint="default"/>
      </w:rPr>
    </w:lvl>
    <w:lvl w:ilvl="4" w:tplc="DC0C5850">
      <w:start w:val="1"/>
      <w:numFmt w:val="bullet"/>
      <w:lvlText w:val="o"/>
      <w:lvlJc w:val="left"/>
      <w:pPr>
        <w:ind w:left="3600" w:hanging="360"/>
      </w:pPr>
      <w:rPr>
        <w:rFonts w:ascii="Courier New" w:hAnsi="Courier New" w:hint="default"/>
      </w:rPr>
    </w:lvl>
    <w:lvl w:ilvl="5" w:tplc="4C5CF05A">
      <w:start w:val="1"/>
      <w:numFmt w:val="bullet"/>
      <w:lvlText w:val=""/>
      <w:lvlJc w:val="left"/>
      <w:pPr>
        <w:ind w:left="4320" w:hanging="360"/>
      </w:pPr>
      <w:rPr>
        <w:rFonts w:ascii="Wingdings" w:hAnsi="Wingdings" w:hint="default"/>
      </w:rPr>
    </w:lvl>
    <w:lvl w:ilvl="6" w:tplc="3EE411D0">
      <w:start w:val="1"/>
      <w:numFmt w:val="bullet"/>
      <w:lvlText w:val=""/>
      <w:lvlJc w:val="left"/>
      <w:pPr>
        <w:ind w:left="5040" w:hanging="360"/>
      </w:pPr>
      <w:rPr>
        <w:rFonts w:ascii="Symbol" w:hAnsi="Symbol" w:hint="default"/>
      </w:rPr>
    </w:lvl>
    <w:lvl w:ilvl="7" w:tplc="BDE45B68">
      <w:start w:val="1"/>
      <w:numFmt w:val="bullet"/>
      <w:lvlText w:val="o"/>
      <w:lvlJc w:val="left"/>
      <w:pPr>
        <w:ind w:left="5760" w:hanging="360"/>
      </w:pPr>
      <w:rPr>
        <w:rFonts w:ascii="Courier New" w:hAnsi="Courier New" w:hint="default"/>
      </w:rPr>
    </w:lvl>
    <w:lvl w:ilvl="8" w:tplc="3BCC4C80">
      <w:start w:val="1"/>
      <w:numFmt w:val="bullet"/>
      <w:lvlText w:val=""/>
      <w:lvlJc w:val="left"/>
      <w:pPr>
        <w:ind w:left="6480" w:hanging="360"/>
      </w:pPr>
      <w:rPr>
        <w:rFonts w:ascii="Wingdings" w:hAnsi="Wingdings" w:hint="default"/>
      </w:rPr>
    </w:lvl>
  </w:abstractNum>
  <w:abstractNum w:abstractNumId="116" w15:restartNumberingAfterBreak="0">
    <w:nsid w:val="79FE4BE1"/>
    <w:multiLevelType w:val="hybridMultilevel"/>
    <w:tmpl w:val="95101050"/>
    <w:lvl w:ilvl="0" w:tplc="0F2C5FFE">
      <w:start w:val="1"/>
      <w:numFmt w:val="bullet"/>
      <w:lvlText w:val=""/>
      <w:lvlJc w:val="left"/>
      <w:pPr>
        <w:ind w:left="1080" w:hanging="360"/>
      </w:pPr>
      <w:rPr>
        <w:rFonts w:ascii="Symbol" w:hAnsi="Symbol" w:hint="default"/>
      </w:rPr>
    </w:lvl>
    <w:lvl w:ilvl="1" w:tplc="2DF8F784" w:tentative="1">
      <w:start w:val="1"/>
      <w:numFmt w:val="bullet"/>
      <w:lvlText w:val="o"/>
      <w:lvlJc w:val="left"/>
      <w:pPr>
        <w:ind w:left="1800" w:hanging="360"/>
      </w:pPr>
      <w:rPr>
        <w:rFonts w:ascii="Courier New" w:hAnsi="Courier New" w:hint="default"/>
      </w:rPr>
    </w:lvl>
    <w:lvl w:ilvl="2" w:tplc="26005C20" w:tentative="1">
      <w:start w:val="1"/>
      <w:numFmt w:val="bullet"/>
      <w:lvlText w:val=""/>
      <w:lvlJc w:val="left"/>
      <w:pPr>
        <w:ind w:left="2520" w:hanging="360"/>
      </w:pPr>
      <w:rPr>
        <w:rFonts w:ascii="Wingdings" w:hAnsi="Wingdings" w:hint="default"/>
      </w:rPr>
    </w:lvl>
    <w:lvl w:ilvl="3" w:tplc="94504078" w:tentative="1">
      <w:start w:val="1"/>
      <w:numFmt w:val="bullet"/>
      <w:lvlText w:val=""/>
      <w:lvlJc w:val="left"/>
      <w:pPr>
        <w:ind w:left="3240" w:hanging="360"/>
      </w:pPr>
      <w:rPr>
        <w:rFonts w:ascii="Symbol" w:hAnsi="Symbol" w:hint="default"/>
      </w:rPr>
    </w:lvl>
    <w:lvl w:ilvl="4" w:tplc="B694BF2C" w:tentative="1">
      <w:start w:val="1"/>
      <w:numFmt w:val="bullet"/>
      <w:lvlText w:val="o"/>
      <w:lvlJc w:val="left"/>
      <w:pPr>
        <w:ind w:left="3960" w:hanging="360"/>
      </w:pPr>
      <w:rPr>
        <w:rFonts w:ascii="Courier New" w:hAnsi="Courier New" w:hint="default"/>
      </w:rPr>
    </w:lvl>
    <w:lvl w:ilvl="5" w:tplc="A4C4A5FC" w:tentative="1">
      <w:start w:val="1"/>
      <w:numFmt w:val="bullet"/>
      <w:lvlText w:val=""/>
      <w:lvlJc w:val="left"/>
      <w:pPr>
        <w:ind w:left="4680" w:hanging="360"/>
      </w:pPr>
      <w:rPr>
        <w:rFonts w:ascii="Wingdings" w:hAnsi="Wingdings" w:hint="default"/>
      </w:rPr>
    </w:lvl>
    <w:lvl w:ilvl="6" w:tplc="409AC51C" w:tentative="1">
      <w:start w:val="1"/>
      <w:numFmt w:val="bullet"/>
      <w:lvlText w:val=""/>
      <w:lvlJc w:val="left"/>
      <w:pPr>
        <w:ind w:left="5400" w:hanging="360"/>
      </w:pPr>
      <w:rPr>
        <w:rFonts w:ascii="Symbol" w:hAnsi="Symbol" w:hint="default"/>
      </w:rPr>
    </w:lvl>
    <w:lvl w:ilvl="7" w:tplc="80303856" w:tentative="1">
      <w:start w:val="1"/>
      <w:numFmt w:val="bullet"/>
      <w:lvlText w:val="o"/>
      <w:lvlJc w:val="left"/>
      <w:pPr>
        <w:ind w:left="6120" w:hanging="360"/>
      </w:pPr>
      <w:rPr>
        <w:rFonts w:ascii="Courier New" w:hAnsi="Courier New" w:hint="default"/>
      </w:rPr>
    </w:lvl>
    <w:lvl w:ilvl="8" w:tplc="CDF24280" w:tentative="1">
      <w:start w:val="1"/>
      <w:numFmt w:val="bullet"/>
      <w:lvlText w:val=""/>
      <w:lvlJc w:val="left"/>
      <w:pPr>
        <w:ind w:left="6840" w:hanging="360"/>
      </w:pPr>
      <w:rPr>
        <w:rFonts w:ascii="Wingdings" w:hAnsi="Wingdings" w:hint="default"/>
      </w:rPr>
    </w:lvl>
  </w:abstractNum>
  <w:abstractNum w:abstractNumId="117" w15:restartNumberingAfterBreak="0">
    <w:nsid w:val="7A23693B"/>
    <w:multiLevelType w:val="hybridMultilevel"/>
    <w:tmpl w:val="7E10C1FC"/>
    <w:lvl w:ilvl="0" w:tplc="609E1A88">
      <w:start w:val="1"/>
      <w:numFmt w:val="decimal"/>
      <w:lvlText w:val="%1-"/>
      <w:lvlJc w:val="left"/>
      <w:pPr>
        <w:ind w:left="720" w:hanging="360"/>
      </w:pPr>
    </w:lvl>
    <w:lvl w:ilvl="1" w:tplc="2102CC42">
      <w:start w:val="1"/>
      <w:numFmt w:val="lowerLetter"/>
      <w:lvlText w:val="%2."/>
      <w:lvlJc w:val="left"/>
      <w:pPr>
        <w:ind w:left="1440" w:hanging="360"/>
      </w:pPr>
    </w:lvl>
    <w:lvl w:ilvl="2" w:tplc="9404FA26">
      <w:start w:val="1"/>
      <w:numFmt w:val="lowerRoman"/>
      <w:lvlText w:val="%3."/>
      <w:lvlJc w:val="right"/>
      <w:pPr>
        <w:ind w:left="2160" w:hanging="180"/>
      </w:pPr>
    </w:lvl>
    <w:lvl w:ilvl="3" w:tplc="44EECB68">
      <w:start w:val="1"/>
      <w:numFmt w:val="decimal"/>
      <w:lvlText w:val="%4."/>
      <w:lvlJc w:val="left"/>
      <w:pPr>
        <w:ind w:left="2880" w:hanging="360"/>
      </w:pPr>
    </w:lvl>
    <w:lvl w:ilvl="4" w:tplc="D14E2356">
      <w:start w:val="1"/>
      <w:numFmt w:val="lowerLetter"/>
      <w:lvlText w:val="%5."/>
      <w:lvlJc w:val="left"/>
      <w:pPr>
        <w:ind w:left="3600" w:hanging="360"/>
      </w:pPr>
    </w:lvl>
    <w:lvl w:ilvl="5" w:tplc="0F26904A">
      <w:start w:val="1"/>
      <w:numFmt w:val="lowerRoman"/>
      <w:lvlText w:val="%6."/>
      <w:lvlJc w:val="right"/>
      <w:pPr>
        <w:ind w:left="4320" w:hanging="180"/>
      </w:pPr>
    </w:lvl>
    <w:lvl w:ilvl="6" w:tplc="EA820B02">
      <w:start w:val="1"/>
      <w:numFmt w:val="decimal"/>
      <w:lvlText w:val="%7."/>
      <w:lvlJc w:val="left"/>
      <w:pPr>
        <w:ind w:left="5040" w:hanging="360"/>
      </w:pPr>
    </w:lvl>
    <w:lvl w:ilvl="7" w:tplc="923C9602">
      <w:start w:val="1"/>
      <w:numFmt w:val="lowerLetter"/>
      <w:lvlText w:val="%8."/>
      <w:lvlJc w:val="left"/>
      <w:pPr>
        <w:ind w:left="5760" w:hanging="360"/>
      </w:pPr>
    </w:lvl>
    <w:lvl w:ilvl="8" w:tplc="63D66414">
      <w:start w:val="1"/>
      <w:numFmt w:val="lowerRoman"/>
      <w:lvlText w:val="%9."/>
      <w:lvlJc w:val="right"/>
      <w:pPr>
        <w:ind w:left="6480" w:hanging="180"/>
      </w:pPr>
    </w:lvl>
  </w:abstractNum>
  <w:abstractNum w:abstractNumId="118" w15:restartNumberingAfterBreak="0">
    <w:nsid w:val="7B147B13"/>
    <w:multiLevelType w:val="multilevel"/>
    <w:tmpl w:val="BDB6A6D6"/>
    <w:lvl w:ilvl="0">
      <w:start w:val="1"/>
      <w:numFmt w:val="bullet"/>
      <w:lvlText w:val="o"/>
      <w:lvlJc w:val="left"/>
      <w:pPr>
        <w:ind w:left="720" w:hanging="360"/>
      </w:pPr>
      <w:rPr>
        <w:rFonts w:ascii="Courier New" w:hAnsi="Courier New" w:hint="default"/>
        <w:b w:val="0"/>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19" w15:restartNumberingAfterBreak="0">
    <w:nsid w:val="7B3AFB91"/>
    <w:multiLevelType w:val="hybridMultilevel"/>
    <w:tmpl w:val="FFFFFFFF"/>
    <w:lvl w:ilvl="0" w:tplc="161441DA">
      <w:start w:val="1"/>
      <w:numFmt w:val="bullet"/>
      <w:lvlText w:val=""/>
      <w:lvlJc w:val="left"/>
      <w:pPr>
        <w:ind w:left="720" w:hanging="360"/>
      </w:pPr>
      <w:rPr>
        <w:rFonts w:ascii="Symbol" w:hAnsi="Symbol" w:hint="default"/>
      </w:rPr>
    </w:lvl>
    <w:lvl w:ilvl="1" w:tplc="A5EA9FC4">
      <w:start w:val="1"/>
      <w:numFmt w:val="bullet"/>
      <w:lvlText w:val="o"/>
      <w:lvlJc w:val="left"/>
      <w:pPr>
        <w:ind w:left="1440" w:hanging="360"/>
      </w:pPr>
      <w:rPr>
        <w:rFonts w:ascii="Courier New" w:hAnsi="Courier New" w:hint="default"/>
      </w:rPr>
    </w:lvl>
    <w:lvl w:ilvl="2" w:tplc="CC0C61D6">
      <w:start w:val="1"/>
      <w:numFmt w:val="bullet"/>
      <w:lvlText w:val=""/>
      <w:lvlJc w:val="left"/>
      <w:pPr>
        <w:ind w:left="2160" w:hanging="360"/>
      </w:pPr>
      <w:rPr>
        <w:rFonts w:ascii="Wingdings" w:hAnsi="Wingdings" w:hint="default"/>
      </w:rPr>
    </w:lvl>
    <w:lvl w:ilvl="3" w:tplc="CFC2CD94">
      <w:start w:val="1"/>
      <w:numFmt w:val="bullet"/>
      <w:lvlText w:val=""/>
      <w:lvlJc w:val="left"/>
      <w:pPr>
        <w:ind w:left="2880" w:hanging="360"/>
      </w:pPr>
      <w:rPr>
        <w:rFonts w:ascii="Symbol" w:hAnsi="Symbol" w:hint="default"/>
      </w:rPr>
    </w:lvl>
    <w:lvl w:ilvl="4" w:tplc="4C084D24">
      <w:start w:val="1"/>
      <w:numFmt w:val="bullet"/>
      <w:lvlText w:val="o"/>
      <w:lvlJc w:val="left"/>
      <w:pPr>
        <w:ind w:left="3600" w:hanging="360"/>
      </w:pPr>
      <w:rPr>
        <w:rFonts w:ascii="Courier New" w:hAnsi="Courier New" w:hint="default"/>
      </w:rPr>
    </w:lvl>
    <w:lvl w:ilvl="5" w:tplc="D1C2BAE4">
      <w:start w:val="1"/>
      <w:numFmt w:val="bullet"/>
      <w:lvlText w:val=""/>
      <w:lvlJc w:val="left"/>
      <w:pPr>
        <w:ind w:left="4320" w:hanging="360"/>
      </w:pPr>
      <w:rPr>
        <w:rFonts w:ascii="Wingdings" w:hAnsi="Wingdings" w:hint="default"/>
      </w:rPr>
    </w:lvl>
    <w:lvl w:ilvl="6" w:tplc="44EC8214">
      <w:start w:val="1"/>
      <w:numFmt w:val="bullet"/>
      <w:lvlText w:val=""/>
      <w:lvlJc w:val="left"/>
      <w:pPr>
        <w:ind w:left="5040" w:hanging="360"/>
      </w:pPr>
      <w:rPr>
        <w:rFonts w:ascii="Symbol" w:hAnsi="Symbol" w:hint="default"/>
      </w:rPr>
    </w:lvl>
    <w:lvl w:ilvl="7" w:tplc="E10AB6AC">
      <w:start w:val="1"/>
      <w:numFmt w:val="bullet"/>
      <w:lvlText w:val="o"/>
      <w:lvlJc w:val="left"/>
      <w:pPr>
        <w:ind w:left="5760" w:hanging="360"/>
      </w:pPr>
      <w:rPr>
        <w:rFonts w:ascii="Courier New" w:hAnsi="Courier New" w:hint="default"/>
      </w:rPr>
    </w:lvl>
    <w:lvl w:ilvl="8" w:tplc="6F2C8718">
      <w:start w:val="1"/>
      <w:numFmt w:val="bullet"/>
      <w:lvlText w:val=""/>
      <w:lvlJc w:val="left"/>
      <w:pPr>
        <w:ind w:left="6480" w:hanging="360"/>
      </w:pPr>
      <w:rPr>
        <w:rFonts w:ascii="Wingdings" w:hAnsi="Wingdings" w:hint="default"/>
      </w:rPr>
    </w:lvl>
  </w:abstractNum>
  <w:abstractNum w:abstractNumId="120" w15:restartNumberingAfterBreak="0">
    <w:nsid w:val="7FB818AD"/>
    <w:multiLevelType w:val="multilevel"/>
    <w:tmpl w:val="5B288C74"/>
    <w:lvl w:ilvl="0">
      <w:start w:val="1"/>
      <w:numFmt w:val="upperRoman"/>
      <w:lvlText w:val="%1."/>
      <w:lvlJc w:val="left"/>
      <w:pPr>
        <w:ind w:left="1004" w:hanging="720"/>
      </w:pPr>
    </w:lvl>
    <w:lvl w:ilvl="1">
      <w:start w:val="1"/>
      <w:numFmt w:val="decimal"/>
      <w:lvlText w:val="%1.%2"/>
      <w:lvlJc w:val="left"/>
      <w:pPr>
        <w:ind w:left="644" w:hanging="360"/>
      </w:pPr>
    </w:lvl>
    <w:lvl w:ilvl="2">
      <w:start w:val="1"/>
      <w:numFmt w:val="decimal"/>
      <w:lvlText w:val="%1.%2.%3"/>
      <w:lvlJc w:val="left"/>
      <w:pPr>
        <w:ind w:left="1004" w:hanging="720"/>
      </w:pPr>
      <w:rPr>
        <w:b/>
        <w:bCs w:val="0"/>
      </w:rPr>
    </w:lvl>
    <w:lvl w:ilvl="3">
      <w:start w:val="1"/>
      <w:numFmt w:val="decimal"/>
      <w:lvlText w:val="%1.%2.%3.%4"/>
      <w:lvlJc w:val="left"/>
      <w:pPr>
        <w:ind w:left="1004" w:hanging="720"/>
      </w:pPr>
    </w:lvl>
    <w:lvl w:ilvl="4">
      <w:start w:val="1"/>
      <w:numFmt w:val="decimal"/>
      <w:lvlText w:val="%1.%2.%3.%4.%5"/>
      <w:lvlJc w:val="left"/>
      <w:pPr>
        <w:ind w:left="1364" w:hanging="1080"/>
      </w:pPr>
    </w:lvl>
    <w:lvl w:ilvl="5">
      <w:start w:val="1"/>
      <w:numFmt w:val="decimal"/>
      <w:lvlText w:val="%1.%2.%3.%4.%5.%6"/>
      <w:lvlJc w:val="left"/>
      <w:pPr>
        <w:ind w:left="1364" w:hanging="1080"/>
      </w:pPr>
    </w:lvl>
    <w:lvl w:ilvl="6">
      <w:start w:val="1"/>
      <w:numFmt w:val="decimal"/>
      <w:lvlText w:val="%1.%2.%3.%4.%5.%6.%7"/>
      <w:lvlJc w:val="left"/>
      <w:pPr>
        <w:ind w:left="1724" w:hanging="1440"/>
      </w:pPr>
    </w:lvl>
    <w:lvl w:ilvl="7">
      <w:start w:val="1"/>
      <w:numFmt w:val="decimal"/>
      <w:lvlText w:val="%1.%2.%3.%4.%5.%6.%7.%8"/>
      <w:lvlJc w:val="left"/>
      <w:pPr>
        <w:ind w:left="1724" w:hanging="1440"/>
      </w:pPr>
    </w:lvl>
    <w:lvl w:ilvl="8">
      <w:start w:val="1"/>
      <w:numFmt w:val="decimal"/>
      <w:lvlText w:val="%1.%2.%3.%4.%5.%6.%7.%8.%9"/>
      <w:lvlJc w:val="left"/>
      <w:pPr>
        <w:ind w:left="2084" w:hanging="1800"/>
      </w:pPr>
    </w:lvl>
  </w:abstractNum>
  <w:num w:numId="1" w16cid:durableId="517932070">
    <w:abstractNumId w:val="34"/>
  </w:num>
  <w:num w:numId="2" w16cid:durableId="366221801">
    <w:abstractNumId w:val="115"/>
  </w:num>
  <w:num w:numId="3" w16cid:durableId="1186556471">
    <w:abstractNumId w:val="97"/>
  </w:num>
  <w:num w:numId="4" w16cid:durableId="1308390726">
    <w:abstractNumId w:val="103"/>
  </w:num>
  <w:num w:numId="5" w16cid:durableId="1600259124">
    <w:abstractNumId w:val="96"/>
  </w:num>
  <w:num w:numId="6" w16cid:durableId="1500921514">
    <w:abstractNumId w:val="9"/>
  </w:num>
  <w:num w:numId="7" w16cid:durableId="1800419490">
    <w:abstractNumId w:val="18"/>
  </w:num>
  <w:num w:numId="8" w16cid:durableId="677386428">
    <w:abstractNumId w:val="19"/>
  </w:num>
  <w:num w:numId="9" w16cid:durableId="493690502">
    <w:abstractNumId w:val="63"/>
  </w:num>
  <w:num w:numId="10" w16cid:durableId="101924710">
    <w:abstractNumId w:val="58"/>
  </w:num>
  <w:num w:numId="11" w16cid:durableId="729428979">
    <w:abstractNumId w:val="84"/>
  </w:num>
  <w:num w:numId="12" w16cid:durableId="340592704">
    <w:abstractNumId w:val="106"/>
  </w:num>
  <w:num w:numId="13" w16cid:durableId="623658362">
    <w:abstractNumId w:val="10"/>
  </w:num>
  <w:num w:numId="14" w16cid:durableId="756944360">
    <w:abstractNumId w:val="37"/>
  </w:num>
  <w:num w:numId="15" w16cid:durableId="1892110107">
    <w:abstractNumId w:val="83"/>
  </w:num>
  <w:num w:numId="16" w16cid:durableId="1986473619">
    <w:abstractNumId w:val="50"/>
  </w:num>
  <w:num w:numId="17" w16cid:durableId="632978782">
    <w:abstractNumId w:val="49"/>
  </w:num>
  <w:num w:numId="18" w16cid:durableId="137770690">
    <w:abstractNumId w:val="95"/>
  </w:num>
  <w:num w:numId="19" w16cid:durableId="1822425764">
    <w:abstractNumId w:val="13"/>
  </w:num>
  <w:num w:numId="20" w16cid:durableId="502203302">
    <w:abstractNumId w:val="56"/>
  </w:num>
  <w:num w:numId="21" w16cid:durableId="1408961076">
    <w:abstractNumId w:val="100"/>
  </w:num>
  <w:num w:numId="22" w16cid:durableId="849759239">
    <w:abstractNumId w:val="20"/>
  </w:num>
  <w:num w:numId="23" w16cid:durableId="1736002788">
    <w:abstractNumId w:val="42"/>
  </w:num>
  <w:num w:numId="24" w16cid:durableId="1871643235">
    <w:abstractNumId w:val="79"/>
  </w:num>
  <w:num w:numId="25" w16cid:durableId="883101619">
    <w:abstractNumId w:val="16"/>
  </w:num>
  <w:num w:numId="26" w16cid:durableId="1135219757">
    <w:abstractNumId w:val="4"/>
  </w:num>
  <w:num w:numId="27" w16cid:durableId="309287431">
    <w:abstractNumId w:val="90"/>
  </w:num>
  <w:num w:numId="28" w16cid:durableId="491724293">
    <w:abstractNumId w:val="107"/>
  </w:num>
  <w:num w:numId="29" w16cid:durableId="1118180900">
    <w:abstractNumId w:val="36"/>
  </w:num>
  <w:num w:numId="30" w16cid:durableId="1706323118">
    <w:abstractNumId w:val="109"/>
  </w:num>
  <w:num w:numId="31" w16cid:durableId="930704259">
    <w:abstractNumId w:val="74"/>
  </w:num>
  <w:num w:numId="32" w16cid:durableId="1764303664">
    <w:abstractNumId w:val="6"/>
  </w:num>
  <w:num w:numId="33" w16cid:durableId="1741446412">
    <w:abstractNumId w:val="48"/>
  </w:num>
  <w:num w:numId="34" w16cid:durableId="2086685760">
    <w:abstractNumId w:val="3"/>
  </w:num>
  <w:num w:numId="35" w16cid:durableId="1522426918">
    <w:abstractNumId w:val="88"/>
  </w:num>
  <w:num w:numId="36" w16cid:durableId="2098137451">
    <w:abstractNumId w:val="51"/>
  </w:num>
  <w:num w:numId="37" w16cid:durableId="32510968">
    <w:abstractNumId w:val="38"/>
  </w:num>
  <w:num w:numId="38" w16cid:durableId="1501891169">
    <w:abstractNumId w:val="31"/>
  </w:num>
  <w:num w:numId="39" w16cid:durableId="1242176473">
    <w:abstractNumId w:val="28"/>
  </w:num>
  <w:num w:numId="40" w16cid:durableId="832599205">
    <w:abstractNumId w:val="1"/>
  </w:num>
  <w:num w:numId="41" w16cid:durableId="1116481451">
    <w:abstractNumId w:val="117"/>
  </w:num>
  <w:num w:numId="42" w16cid:durableId="975717020">
    <w:abstractNumId w:val="60"/>
  </w:num>
  <w:num w:numId="43" w16cid:durableId="773482043">
    <w:abstractNumId w:val="81"/>
  </w:num>
  <w:num w:numId="44" w16cid:durableId="1675567159">
    <w:abstractNumId w:val="120"/>
  </w:num>
  <w:num w:numId="45" w16cid:durableId="286814754">
    <w:abstractNumId w:val="24"/>
  </w:num>
  <w:num w:numId="46" w16cid:durableId="1757946127">
    <w:abstractNumId w:val="27"/>
  </w:num>
  <w:num w:numId="47" w16cid:durableId="251397188">
    <w:abstractNumId w:val="8"/>
  </w:num>
  <w:num w:numId="48" w16cid:durableId="1940065557">
    <w:abstractNumId w:val="39"/>
  </w:num>
  <w:num w:numId="49" w16cid:durableId="2117825427">
    <w:abstractNumId w:val="26"/>
  </w:num>
  <w:num w:numId="50" w16cid:durableId="384767458">
    <w:abstractNumId w:val="7"/>
  </w:num>
  <w:num w:numId="51" w16cid:durableId="210465315">
    <w:abstractNumId w:val="71"/>
  </w:num>
  <w:num w:numId="52" w16cid:durableId="1711416721">
    <w:abstractNumId w:val="41"/>
  </w:num>
  <w:num w:numId="53" w16cid:durableId="517354039">
    <w:abstractNumId w:val="57"/>
  </w:num>
  <w:num w:numId="54" w16cid:durableId="108359814">
    <w:abstractNumId w:val="29"/>
  </w:num>
  <w:num w:numId="55" w16cid:durableId="401030602">
    <w:abstractNumId w:val="105"/>
  </w:num>
  <w:num w:numId="56" w16cid:durableId="1448236918">
    <w:abstractNumId w:val="17"/>
  </w:num>
  <w:num w:numId="57" w16cid:durableId="699628353">
    <w:abstractNumId w:val="45"/>
  </w:num>
  <w:num w:numId="58" w16cid:durableId="908883129">
    <w:abstractNumId w:val="12"/>
  </w:num>
  <w:num w:numId="59" w16cid:durableId="229770669">
    <w:abstractNumId w:val="118"/>
  </w:num>
  <w:num w:numId="60" w16cid:durableId="1610775223">
    <w:abstractNumId w:val="113"/>
  </w:num>
  <w:num w:numId="61" w16cid:durableId="659038956">
    <w:abstractNumId w:val="47"/>
  </w:num>
  <w:num w:numId="62" w16cid:durableId="1547526093">
    <w:abstractNumId w:val="53"/>
  </w:num>
  <w:num w:numId="63" w16cid:durableId="920217614">
    <w:abstractNumId w:val="25"/>
  </w:num>
  <w:num w:numId="64" w16cid:durableId="513223480">
    <w:abstractNumId w:val="52"/>
  </w:num>
  <w:num w:numId="65" w16cid:durableId="1430194346">
    <w:abstractNumId w:val="15"/>
  </w:num>
  <w:num w:numId="66" w16cid:durableId="2016566644">
    <w:abstractNumId w:val="116"/>
  </w:num>
  <w:num w:numId="67" w16cid:durableId="1384791628">
    <w:abstractNumId w:val="61"/>
  </w:num>
  <w:num w:numId="68" w16cid:durableId="1263144642">
    <w:abstractNumId w:val="93"/>
  </w:num>
  <w:num w:numId="69" w16cid:durableId="2144809715">
    <w:abstractNumId w:val="70"/>
  </w:num>
  <w:num w:numId="70" w16cid:durableId="1889216506">
    <w:abstractNumId w:val="35"/>
  </w:num>
  <w:num w:numId="71" w16cid:durableId="506403134">
    <w:abstractNumId w:val="99"/>
  </w:num>
  <w:num w:numId="72" w16cid:durableId="275255506">
    <w:abstractNumId w:val="2"/>
  </w:num>
  <w:num w:numId="73" w16cid:durableId="1492981823">
    <w:abstractNumId w:val="5"/>
  </w:num>
  <w:num w:numId="74" w16cid:durableId="739986164">
    <w:abstractNumId w:val="40"/>
  </w:num>
  <w:num w:numId="75" w16cid:durableId="1343582855">
    <w:abstractNumId w:val="98"/>
  </w:num>
  <w:num w:numId="76" w16cid:durableId="1982345191">
    <w:abstractNumId w:val="62"/>
  </w:num>
  <w:num w:numId="77" w16cid:durableId="1841654664">
    <w:abstractNumId w:val="30"/>
  </w:num>
  <w:num w:numId="78" w16cid:durableId="246884181">
    <w:abstractNumId w:val="108"/>
  </w:num>
  <w:num w:numId="79" w16cid:durableId="105466624">
    <w:abstractNumId w:val="114"/>
  </w:num>
  <w:num w:numId="80" w16cid:durableId="1174759299">
    <w:abstractNumId w:val="91"/>
  </w:num>
  <w:num w:numId="81" w16cid:durableId="1582717686">
    <w:abstractNumId w:val="82"/>
  </w:num>
  <w:num w:numId="82" w16cid:durableId="856583546">
    <w:abstractNumId w:val="78"/>
  </w:num>
  <w:num w:numId="83" w16cid:durableId="702944518">
    <w:abstractNumId w:val="55"/>
  </w:num>
  <w:num w:numId="84" w16cid:durableId="402488159">
    <w:abstractNumId w:val="72"/>
  </w:num>
  <w:num w:numId="85" w16cid:durableId="1610743818">
    <w:abstractNumId w:val="33"/>
  </w:num>
  <w:num w:numId="86" w16cid:durableId="1115252777">
    <w:abstractNumId w:val="111"/>
  </w:num>
  <w:num w:numId="87" w16cid:durableId="1608853054">
    <w:abstractNumId w:val="66"/>
  </w:num>
  <w:num w:numId="88" w16cid:durableId="1175993747">
    <w:abstractNumId w:val="0"/>
  </w:num>
  <w:num w:numId="89" w16cid:durableId="1041397307">
    <w:abstractNumId w:val="104"/>
  </w:num>
  <w:num w:numId="90" w16cid:durableId="509491825">
    <w:abstractNumId w:val="73"/>
  </w:num>
  <w:num w:numId="91" w16cid:durableId="1237548404">
    <w:abstractNumId w:val="92"/>
  </w:num>
  <w:num w:numId="92" w16cid:durableId="1096440402">
    <w:abstractNumId w:val="54"/>
  </w:num>
  <w:num w:numId="93" w16cid:durableId="533661803">
    <w:abstractNumId w:val="43"/>
  </w:num>
  <w:num w:numId="94" w16cid:durableId="1882747111">
    <w:abstractNumId w:val="44"/>
  </w:num>
  <w:num w:numId="95" w16cid:durableId="1705203893">
    <w:abstractNumId w:val="68"/>
  </w:num>
  <w:num w:numId="96" w16cid:durableId="1841503901">
    <w:abstractNumId w:val="119"/>
  </w:num>
  <w:num w:numId="97" w16cid:durableId="1119303652">
    <w:abstractNumId w:val="11"/>
  </w:num>
  <w:num w:numId="98" w16cid:durableId="469203673">
    <w:abstractNumId w:val="67"/>
  </w:num>
  <w:num w:numId="99" w16cid:durableId="1308707705">
    <w:abstractNumId w:val="80"/>
  </w:num>
  <w:num w:numId="100" w16cid:durableId="1366910912">
    <w:abstractNumId w:val="46"/>
  </w:num>
  <w:num w:numId="101" w16cid:durableId="1822038486">
    <w:abstractNumId w:val="69"/>
  </w:num>
  <w:num w:numId="102" w16cid:durableId="1102144241">
    <w:abstractNumId w:val="65"/>
  </w:num>
  <w:num w:numId="103" w16cid:durableId="1609970489">
    <w:abstractNumId w:val="87"/>
  </w:num>
  <w:num w:numId="104" w16cid:durableId="2119447286">
    <w:abstractNumId w:val="76"/>
  </w:num>
  <w:num w:numId="105" w16cid:durableId="1930046026">
    <w:abstractNumId w:val="22"/>
  </w:num>
  <w:num w:numId="106" w16cid:durableId="1735548986">
    <w:abstractNumId w:val="86"/>
  </w:num>
  <w:num w:numId="107" w16cid:durableId="1747141287">
    <w:abstractNumId w:val="59"/>
  </w:num>
  <w:num w:numId="108" w16cid:durableId="920796309">
    <w:abstractNumId w:val="110"/>
  </w:num>
  <w:num w:numId="109" w16cid:durableId="1161265134">
    <w:abstractNumId w:val="23"/>
  </w:num>
  <w:num w:numId="110" w16cid:durableId="1583178218">
    <w:abstractNumId w:val="77"/>
  </w:num>
  <w:num w:numId="111" w16cid:durableId="1001279320">
    <w:abstractNumId w:val="14"/>
  </w:num>
  <w:num w:numId="112" w16cid:durableId="345062748">
    <w:abstractNumId w:val="102"/>
  </w:num>
  <w:num w:numId="113" w16cid:durableId="217056201">
    <w:abstractNumId w:val="94"/>
  </w:num>
  <w:num w:numId="114" w16cid:durableId="116485722">
    <w:abstractNumId w:val="64"/>
  </w:num>
  <w:num w:numId="115" w16cid:durableId="1347318954">
    <w:abstractNumId w:val="101"/>
  </w:num>
  <w:num w:numId="116" w16cid:durableId="922686811">
    <w:abstractNumId w:val="112"/>
  </w:num>
  <w:num w:numId="117" w16cid:durableId="975719249">
    <w:abstractNumId w:val="32"/>
  </w:num>
  <w:num w:numId="118" w16cid:durableId="1465467431">
    <w:abstractNumId w:val="21"/>
  </w:num>
  <w:num w:numId="119" w16cid:durableId="307907186">
    <w:abstractNumId w:val="85"/>
  </w:num>
  <w:num w:numId="120" w16cid:durableId="2082873451">
    <w:abstractNumId w:val="75"/>
  </w:num>
  <w:num w:numId="121" w16cid:durableId="1660573492">
    <w:abstractNumId w:val="89"/>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74B609E"/>
    <w:rsid w:val="0000015B"/>
    <w:rsid w:val="000001A8"/>
    <w:rsid w:val="00000279"/>
    <w:rsid w:val="00000350"/>
    <w:rsid w:val="0000057E"/>
    <w:rsid w:val="000007EE"/>
    <w:rsid w:val="0000088E"/>
    <w:rsid w:val="00000995"/>
    <w:rsid w:val="00000AD4"/>
    <w:rsid w:val="00000BA3"/>
    <w:rsid w:val="00000CB0"/>
    <w:rsid w:val="0000102D"/>
    <w:rsid w:val="00001078"/>
    <w:rsid w:val="00001097"/>
    <w:rsid w:val="000010A5"/>
    <w:rsid w:val="00001428"/>
    <w:rsid w:val="000017B4"/>
    <w:rsid w:val="00001DCB"/>
    <w:rsid w:val="0000224B"/>
    <w:rsid w:val="0000243F"/>
    <w:rsid w:val="00002695"/>
    <w:rsid w:val="00002A31"/>
    <w:rsid w:val="00002C51"/>
    <w:rsid w:val="000030AD"/>
    <w:rsid w:val="000032D7"/>
    <w:rsid w:val="000035B6"/>
    <w:rsid w:val="00003B8E"/>
    <w:rsid w:val="00003E46"/>
    <w:rsid w:val="00003F4D"/>
    <w:rsid w:val="0000473F"/>
    <w:rsid w:val="00004A0A"/>
    <w:rsid w:val="00004B66"/>
    <w:rsid w:val="00004BB6"/>
    <w:rsid w:val="00004E93"/>
    <w:rsid w:val="00004EA3"/>
    <w:rsid w:val="00004F82"/>
    <w:rsid w:val="00005054"/>
    <w:rsid w:val="00005326"/>
    <w:rsid w:val="00005360"/>
    <w:rsid w:val="000055A1"/>
    <w:rsid w:val="00005728"/>
    <w:rsid w:val="0000585F"/>
    <w:rsid w:val="000058A3"/>
    <w:rsid w:val="00005BE5"/>
    <w:rsid w:val="00005DE6"/>
    <w:rsid w:val="00006004"/>
    <w:rsid w:val="00006355"/>
    <w:rsid w:val="00006449"/>
    <w:rsid w:val="0000666C"/>
    <w:rsid w:val="0000667D"/>
    <w:rsid w:val="00006924"/>
    <w:rsid w:val="00006AF7"/>
    <w:rsid w:val="00006D43"/>
    <w:rsid w:val="00006EC4"/>
    <w:rsid w:val="00006F43"/>
    <w:rsid w:val="00006F6F"/>
    <w:rsid w:val="0000709B"/>
    <w:rsid w:val="00007148"/>
    <w:rsid w:val="00007817"/>
    <w:rsid w:val="00007835"/>
    <w:rsid w:val="00007C4E"/>
    <w:rsid w:val="00007CC8"/>
    <w:rsid w:val="00010315"/>
    <w:rsid w:val="00010432"/>
    <w:rsid w:val="000105AE"/>
    <w:rsid w:val="000106E1"/>
    <w:rsid w:val="0001078B"/>
    <w:rsid w:val="0001086B"/>
    <w:rsid w:val="00010AA4"/>
    <w:rsid w:val="00010B88"/>
    <w:rsid w:val="00010B89"/>
    <w:rsid w:val="00010EB1"/>
    <w:rsid w:val="000110C8"/>
    <w:rsid w:val="00011224"/>
    <w:rsid w:val="000113D3"/>
    <w:rsid w:val="0001148A"/>
    <w:rsid w:val="000116EF"/>
    <w:rsid w:val="00011BD3"/>
    <w:rsid w:val="00011D2C"/>
    <w:rsid w:val="00011EE3"/>
    <w:rsid w:val="0001204E"/>
    <w:rsid w:val="00012485"/>
    <w:rsid w:val="000124BF"/>
    <w:rsid w:val="000124D2"/>
    <w:rsid w:val="00012822"/>
    <w:rsid w:val="000128AE"/>
    <w:rsid w:val="000128FE"/>
    <w:rsid w:val="0001343B"/>
    <w:rsid w:val="0001346B"/>
    <w:rsid w:val="00013646"/>
    <w:rsid w:val="00013651"/>
    <w:rsid w:val="000136D4"/>
    <w:rsid w:val="00013ACD"/>
    <w:rsid w:val="00013E15"/>
    <w:rsid w:val="00013FC9"/>
    <w:rsid w:val="00013FF0"/>
    <w:rsid w:val="000140A9"/>
    <w:rsid w:val="000142F5"/>
    <w:rsid w:val="0001431A"/>
    <w:rsid w:val="00014B27"/>
    <w:rsid w:val="00014C51"/>
    <w:rsid w:val="00014C56"/>
    <w:rsid w:val="00014D38"/>
    <w:rsid w:val="00015287"/>
    <w:rsid w:val="0001533C"/>
    <w:rsid w:val="000157EC"/>
    <w:rsid w:val="00015A5B"/>
    <w:rsid w:val="00015D2A"/>
    <w:rsid w:val="00015E0A"/>
    <w:rsid w:val="00015FAC"/>
    <w:rsid w:val="0001608E"/>
    <w:rsid w:val="0001635E"/>
    <w:rsid w:val="000163D3"/>
    <w:rsid w:val="00016474"/>
    <w:rsid w:val="000164D3"/>
    <w:rsid w:val="0001670D"/>
    <w:rsid w:val="00016746"/>
    <w:rsid w:val="000167EC"/>
    <w:rsid w:val="00016967"/>
    <w:rsid w:val="00016996"/>
    <w:rsid w:val="00016BF9"/>
    <w:rsid w:val="00016C79"/>
    <w:rsid w:val="0001701A"/>
    <w:rsid w:val="000170E8"/>
    <w:rsid w:val="00017194"/>
    <w:rsid w:val="0001725A"/>
    <w:rsid w:val="00017289"/>
    <w:rsid w:val="000173F5"/>
    <w:rsid w:val="0001761C"/>
    <w:rsid w:val="00017972"/>
    <w:rsid w:val="000179A4"/>
    <w:rsid w:val="000179F2"/>
    <w:rsid w:val="00017A56"/>
    <w:rsid w:val="00017A97"/>
    <w:rsid w:val="00017B0D"/>
    <w:rsid w:val="00017C3B"/>
    <w:rsid w:val="00017C98"/>
    <w:rsid w:val="00017D88"/>
    <w:rsid w:val="00017DED"/>
    <w:rsid w:val="00017E14"/>
    <w:rsid w:val="00017E45"/>
    <w:rsid w:val="0002006D"/>
    <w:rsid w:val="000203C8"/>
    <w:rsid w:val="0002073B"/>
    <w:rsid w:val="00020925"/>
    <w:rsid w:val="0002095E"/>
    <w:rsid w:val="00020A81"/>
    <w:rsid w:val="00020BBC"/>
    <w:rsid w:val="00020C4B"/>
    <w:rsid w:val="00020DA6"/>
    <w:rsid w:val="000213F3"/>
    <w:rsid w:val="000214F5"/>
    <w:rsid w:val="00021610"/>
    <w:rsid w:val="000218BF"/>
    <w:rsid w:val="00021A47"/>
    <w:rsid w:val="00021E81"/>
    <w:rsid w:val="00021E9A"/>
    <w:rsid w:val="00021F29"/>
    <w:rsid w:val="00022110"/>
    <w:rsid w:val="000221BC"/>
    <w:rsid w:val="0002240C"/>
    <w:rsid w:val="0002249F"/>
    <w:rsid w:val="0002289F"/>
    <w:rsid w:val="00022950"/>
    <w:rsid w:val="000229F2"/>
    <w:rsid w:val="00022B97"/>
    <w:rsid w:val="00022D49"/>
    <w:rsid w:val="00022F00"/>
    <w:rsid w:val="000231E0"/>
    <w:rsid w:val="000233FF"/>
    <w:rsid w:val="0002340A"/>
    <w:rsid w:val="00023666"/>
    <w:rsid w:val="00023A80"/>
    <w:rsid w:val="00023E24"/>
    <w:rsid w:val="00023FE0"/>
    <w:rsid w:val="00024055"/>
    <w:rsid w:val="0002405F"/>
    <w:rsid w:val="00024218"/>
    <w:rsid w:val="000242A9"/>
    <w:rsid w:val="00024820"/>
    <w:rsid w:val="00024958"/>
    <w:rsid w:val="0002499C"/>
    <w:rsid w:val="00024A11"/>
    <w:rsid w:val="00024C50"/>
    <w:rsid w:val="00024CF9"/>
    <w:rsid w:val="00024DB7"/>
    <w:rsid w:val="00024FFB"/>
    <w:rsid w:val="00025013"/>
    <w:rsid w:val="000250F8"/>
    <w:rsid w:val="000254A7"/>
    <w:rsid w:val="00025626"/>
    <w:rsid w:val="00025704"/>
    <w:rsid w:val="0002595A"/>
    <w:rsid w:val="00025B19"/>
    <w:rsid w:val="00025D10"/>
    <w:rsid w:val="00025E2A"/>
    <w:rsid w:val="00026511"/>
    <w:rsid w:val="00026AE4"/>
    <w:rsid w:val="00026E96"/>
    <w:rsid w:val="00026F0D"/>
    <w:rsid w:val="000271EA"/>
    <w:rsid w:val="0002793D"/>
    <w:rsid w:val="00027C78"/>
    <w:rsid w:val="00027D37"/>
    <w:rsid w:val="000300C2"/>
    <w:rsid w:val="000300D4"/>
    <w:rsid w:val="0003044A"/>
    <w:rsid w:val="000305A3"/>
    <w:rsid w:val="00030787"/>
    <w:rsid w:val="00030839"/>
    <w:rsid w:val="00031120"/>
    <w:rsid w:val="000313A4"/>
    <w:rsid w:val="00031556"/>
    <w:rsid w:val="0003169B"/>
    <w:rsid w:val="000317E2"/>
    <w:rsid w:val="00031BC4"/>
    <w:rsid w:val="00031CE6"/>
    <w:rsid w:val="00031EAE"/>
    <w:rsid w:val="00031FB9"/>
    <w:rsid w:val="00032016"/>
    <w:rsid w:val="0003201C"/>
    <w:rsid w:val="00032062"/>
    <w:rsid w:val="0003210C"/>
    <w:rsid w:val="000323E5"/>
    <w:rsid w:val="000324FE"/>
    <w:rsid w:val="0003250B"/>
    <w:rsid w:val="00032701"/>
    <w:rsid w:val="00032998"/>
    <w:rsid w:val="00032C3F"/>
    <w:rsid w:val="00032C6F"/>
    <w:rsid w:val="00033037"/>
    <w:rsid w:val="00033091"/>
    <w:rsid w:val="00033097"/>
    <w:rsid w:val="000332D3"/>
    <w:rsid w:val="0003356C"/>
    <w:rsid w:val="00033673"/>
    <w:rsid w:val="00033699"/>
    <w:rsid w:val="0003376F"/>
    <w:rsid w:val="00033791"/>
    <w:rsid w:val="00033AB7"/>
    <w:rsid w:val="00033B59"/>
    <w:rsid w:val="000340D7"/>
    <w:rsid w:val="00034335"/>
    <w:rsid w:val="00034391"/>
    <w:rsid w:val="000343A8"/>
    <w:rsid w:val="000344ED"/>
    <w:rsid w:val="0003469D"/>
    <w:rsid w:val="00034724"/>
    <w:rsid w:val="00034B07"/>
    <w:rsid w:val="00034BB9"/>
    <w:rsid w:val="000350A3"/>
    <w:rsid w:val="00035252"/>
    <w:rsid w:val="000353C4"/>
    <w:rsid w:val="000353F7"/>
    <w:rsid w:val="00035595"/>
    <w:rsid w:val="00035868"/>
    <w:rsid w:val="0003594C"/>
    <w:rsid w:val="00035A33"/>
    <w:rsid w:val="00035BD4"/>
    <w:rsid w:val="00035C8E"/>
    <w:rsid w:val="000361AC"/>
    <w:rsid w:val="00036311"/>
    <w:rsid w:val="000365DA"/>
    <w:rsid w:val="000367AF"/>
    <w:rsid w:val="000369A4"/>
    <w:rsid w:val="00036D20"/>
    <w:rsid w:val="00036DAD"/>
    <w:rsid w:val="0003712E"/>
    <w:rsid w:val="00037204"/>
    <w:rsid w:val="00037973"/>
    <w:rsid w:val="000379EE"/>
    <w:rsid w:val="00037AD5"/>
    <w:rsid w:val="0004024E"/>
    <w:rsid w:val="00040265"/>
    <w:rsid w:val="00040291"/>
    <w:rsid w:val="0004098F"/>
    <w:rsid w:val="00040CD9"/>
    <w:rsid w:val="00040FB2"/>
    <w:rsid w:val="00040FE3"/>
    <w:rsid w:val="0004170B"/>
    <w:rsid w:val="00041A0C"/>
    <w:rsid w:val="00041C7F"/>
    <w:rsid w:val="00041D3D"/>
    <w:rsid w:val="00041E2A"/>
    <w:rsid w:val="00041E96"/>
    <w:rsid w:val="00041ECD"/>
    <w:rsid w:val="00041F60"/>
    <w:rsid w:val="0004228A"/>
    <w:rsid w:val="00042AAA"/>
    <w:rsid w:val="00042BAB"/>
    <w:rsid w:val="00042D2E"/>
    <w:rsid w:val="00042E5F"/>
    <w:rsid w:val="00043190"/>
    <w:rsid w:val="00043581"/>
    <w:rsid w:val="00043631"/>
    <w:rsid w:val="00043662"/>
    <w:rsid w:val="00043A7F"/>
    <w:rsid w:val="00043B3B"/>
    <w:rsid w:val="00043D9B"/>
    <w:rsid w:val="00043E1B"/>
    <w:rsid w:val="000443B8"/>
    <w:rsid w:val="00044452"/>
    <w:rsid w:val="00044727"/>
    <w:rsid w:val="0004483E"/>
    <w:rsid w:val="00044C79"/>
    <w:rsid w:val="00044D8C"/>
    <w:rsid w:val="00045115"/>
    <w:rsid w:val="0004543A"/>
    <w:rsid w:val="0004550B"/>
    <w:rsid w:val="00045580"/>
    <w:rsid w:val="00045957"/>
    <w:rsid w:val="00045AE1"/>
    <w:rsid w:val="00045C8D"/>
    <w:rsid w:val="00046123"/>
    <w:rsid w:val="000461FC"/>
    <w:rsid w:val="00046540"/>
    <w:rsid w:val="000468C7"/>
    <w:rsid w:val="000469E8"/>
    <w:rsid w:val="00047165"/>
    <w:rsid w:val="00047207"/>
    <w:rsid w:val="00047316"/>
    <w:rsid w:val="0004749B"/>
    <w:rsid w:val="00047510"/>
    <w:rsid w:val="000475F7"/>
    <w:rsid w:val="000476C2"/>
    <w:rsid w:val="000477C2"/>
    <w:rsid w:val="00047848"/>
    <w:rsid w:val="00047CCB"/>
    <w:rsid w:val="00047DE6"/>
    <w:rsid w:val="00047E59"/>
    <w:rsid w:val="00047EBA"/>
    <w:rsid w:val="00047F40"/>
    <w:rsid w:val="000500B2"/>
    <w:rsid w:val="0005017A"/>
    <w:rsid w:val="000502E8"/>
    <w:rsid w:val="0005049F"/>
    <w:rsid w:val="0005054F"/>
    <w:rsid w:val="000509E9"/>
    <w:rsid w:val="00050A19"/>
    <w:rsid w:val="00050CE5"/>
    <w:rsid w:val="00050DFD"/>
    <w:rsid w:val="000512AD"/>
    <w:rsid w:val="00051396"/>
    <w:rsid w:val="000514CB"/>
    <w:rsid w:val="00051626"/>
    <w:rsid w:val="000518B2"/>
    <w:rsid w:val="000518CA"/>
    <w:rsid w:val="0005196E"/>
    <w:rsid w:val="00051B17"/>
    <w:rsid w:val="00051BF8"/>
    <w:rsid w:val="00051C1E"/>
    <w:rsid w:val="00052058"/>
    <w:rsid w:val="00052699"/>
    <w:rsid w:val="00052926"/>
    <w:rsid w:val="00052D07"/>
    <w:rsid w:val="00052E33"/>
    <w:rsid w:val="00052EF9"/>
    <w:rsid w:val="00052F26"/>
    <w:rsid w:val="00053261"/>
    <w:rsid w:val="00053461"/>
    <w:rsid w:val="0005361E"/>
    <w:rsid w:val="000539AC"/>
    <w:rsid w:val="00053BD5"/>
    <w:rsid w:val="00053EA9"/>
    <w:rsid w:val="00053F77"/>
    <w:rsid w:val="00054199"/>
    <w:rsid w:val="000542A5"/>
    <w:rsid w:val="000545B1"/>
    <w:rsid w:val="0005482E"/>
    <w:rsid w:val="000548BA"/>
    <w:rsid w:val="00054E3C"/>
    <w:rsid w:val="000553BB"/>
    <w:rsid w:val="00055743"/>
    <w:rsid w:val="00055B4C"/>
    <w:rsid w:val="00055B9E"/>
    <w:rsid w:val="00055D39"/>
    <w:rsid w:val="0005605F"/>
    <w:rsid w:val="000560D4"/>
    <w:rsid w:val="00056240"/>
    <w:rsid w:val="00056329"/>
    <w:rsid w:val="0005644F"/>
    <w:rsid w:val="00056B58"/>
    <w:rsid w:val="00056C44"/>
    <w:rsid w:val="00056EBE"/>
    <w:rsid w:val="00056EFE"/>
    <w:rsid w:val="00056F4C"/>
    <w:rsid w:val="00056FA4"/>
    <w:rsid w:val="000570DC"/>
    <w:rsid w:val="000572F6"/>
    <w:rsid w:val="000572F7"/>
    <w:rsid w:val="00057453"/>
    <w:rsid w:val="00057692"/>
    <w:rsid w:val="000576D7"/>
    <w:rsid w:val="00057828"/>
    <w:rsid w:val="00057ABF"/>
    <w:rsid w:val="00057F89"/>
    <w:rsid w:val="000601B0"/>
    <w:rsid w:val="0006025B"/>
    <w:rsid w:val="00060879"/>
    <w:rsid w:val="000608C3"/>
    <w:rsid w:val="00060E78"/>
    <w:rsid w:val="00060F66"/>
    <w:rsid w:val="000610B7"/>
    <w:rsid w:val="000614D9"/>
    <w:rsid w:val="000618B0"/>
    <w:rsid w:val="0006191A"/>
    <w:rsid w:val="00061AC0"/>
    <w:rsid w:val="00061BA3"/>
    <w:rsid w:val="00061FE2"/>
    <w:rsid w:val="00062036"/>
    <w:rsid w:val="000624FA"/>
    <w:rsid w:val="00062550"/>
    <w:rsid w:val="00062B9B"/>
    <w:rsid w:val="00062BFE"/>
    <w:rsid w:val="00063195"/>
    <w:rsid w:val="000631A6"/>
    <w:rsid w:val="000632C7"/>
    <w:rsid w:val="000633A6"/>
    <w:rsid w:val="000633EF"/>
    <w:rsid w:val="00063566"/>
    <w:rsid w:val="000635B0"/>
    <w:rsid w:val="0006368B"/>
    <w:rsid w:val="00063A91"/>
    <w:rsid w:val="00063AA3"/>
    <w:rsid w:val="00063B80"/>
    <w:rsid w:val="00063C8F"/>
    <w:rsid w:val="00064194"/>
    <w:rsid w:val="00064363"/>
    <w:rsid w:val="000643B7"/>
    <w:rsid w:val="00064436"/>
    <w:rsid w:val="00064471"/>
    <w:rsid w:val="00064483"/>
    <w:rsid w:val="0006453D"/>
    <w:rsid w:val="000646AB"/>
    <w:rsid w:val="0006496B"/>
    <w:rsid w:val="00064B0F"/>
    <w:rsid w:val="00064E9A"/>
    <w:rsid w:val="000652E1"/>
    <w:rsid w:val="00065592"/>
    <w:rsid w:val="00065633"/>
    <w:rsid w:val="00065841"/>
    <w:rsid w:val="00065A57"/>
    <w:rsid w:val="00065C69"/>
    <w:rsid w:val="0006616C"/>
    <w:rsid w:val="0006617C"/>
    <w:rsid w:val="000663B7"/>
    <w:rsid w:val="00066455"/>
    <w:rsid w:val="000669BB"/>
    <w:rsid w:val="000669C0"/>
    <w:rsid w:val="00066C24"/>
    <w:rsid w:val="00066C81"/>
    <w:rsid w:val="00066E36"/>
    <w:rsid w:val="000673F0"/>
    <w:rsid w:val="0006783E"/>
    <w:rsid w:val="00067847"/>
    <w:rsid w:val="000679FC"/>
    <w:rsid w:val="00067A4D"/>
    <w:rsid w:val="00067FC7"/>
    <w:rsid w:val="000700AD"/>
    <w:rsid w:val="000700C5"/>
    <w:rsid w:val="00070331"/>
    <w:rsid w:val="000704E3"/>
    <w:rsid w:val="00070634"/>
    <w:rsid w:val="00070CB0"/>
    <w:rsid w:val="0007105F"/>
    <w:rsid w:val="00071199"/>
    <w:rsid w:val="000712E0"/>
    <w:rsid w:val="000714B1"/>
    <w:rsid w:val="00071512"/>
    <w:rsid w:val="00071699"/>
    <w:rsid w:val="00071AF6"/>
    <w:rsid w:val="00071C20"/>
    <w:rsid w:val="00071F5C"/>
    <w:rsid w:val="000720D9"/>
    <w:rsid w:val="00072147"/>
    <w:rsid w:val="00072265"/>
    <w:rsid w:val="0007234E"/>
    <w:rsid w:val="0007273A"/>
    <w:rsid w:val="000729EE"/>
    <w:rsid w:val="00072FDD"/>
    <w:rsid w:val="0007304D"/>
    <w:rsid w:val="00073150"/>
    <w:rsid w:val="000731F6"/>
    <w:rsid w:val="0007325F"/>
    <w:rsid w:val="00073334"/>
    <w:rsid w:val="000733BA"/>
    <w:rsid w:val="00073686"/>
    <w:rsid w:val="00073978"/>
    <w:rsid w:val="00073A27"/>
    <w:rsid w:val="00073F45"/>
    <w:rsid w:val="00073FD5"/>
    <w:rsid w:val="00073FD9"/>
    <w:rsid w:val="00074755"/>
    <w:rsid w:val="00074931"/>
    <w:rsid w:val="00074B71"/>
    <w:rsid w:val="00074BD9"/>
    <w:rsid w:val="00075021"/>
    <w:rsid w:val="0007504E"/>
    <w:rsid w:val="000751D8"/>
    <w:rsid w:val="000752A9"/>
    <w:rsid w:val="0007583E"/>
    <w:rsid w:val="00075A46"/>
    <w:rsid w:val="00075AA1"/>
    <w:rsid w:val="00075C25"/>
    <w:rsid w:val="00075CA1"/>
    <w:rsid w:val="00075D07"/>
    <w:rsid w:val="00075F98"/>
    <w:rsid w:val="0007608B"/>
    <w:rsid w:val="000766AC"/>
    <w:rsid w:val="00076717"/>
    <w:rsid w:val="000768B0"/>
    <w:rsid w:val="00076C6B"/>
    <w:rsid w:val="00076C96"/>
    <w:rsid w:val="00076F7D"/>
    <w:rsid w:val="00077128"/>
    <w:rsid w:val="00077435"/>
    <w:rsid w:val="00077BB6"/>
    <w:rsid w:val="00077E99"/>
    <w:rsid w:val="00077FD2"/>
    <w:rsid w:val="000800EF"/>
    <w:rsid w:val="00080264"/>
    <w:rsid w:val="00080433"/>
    <w:rsid w:val="00080809"/>
    <w:rsid w:val="00080B7B"/>
    <w:rsid w:val="00080BCD"/>
    <w:rsid w:val="00080C96"/>
    <w:rsid w:val="00080E0D"/>
    <w:rsid w:val="00081024"/>
    <w:rsid w:val="00081100"/>
    <w:rsid w:val="00081547"/>
    <w:rsid w:val="000816A9"/>
    <w:rsid w:val="00081715"/>
    <w:rsid w:val="000817A6"/>
    <w:rsid w:val="00081807"/>
    <w:rsid w:val="0008201C"/>
    <w:rsid w:val="000821F0"/>
    <w:rsid w:val="000822F6"/>
    <w:rsid w:val="00082511"/>
    <w:rsid w:val="00082BA9"/>
    <w:rsid w:val="00082C38"/>
    <w:rsid w:val="00082C78"/>
    <w:rsid w:val="00082D95"/>
    <w:rsid w:val="00082D9D"/>
    <w:rsid w:val="00082F02"/>
    <w:rsid w:val="00082F52"/>
    <w:rsid w:val="000831BA"/>
    <w:rsid w:val="0008325A"/>
    <w:rsid w:val="000837FF"/>
    <w:rsid w:val="00083822"/>
    <w:rsid w:val="000839FD"/>
    <w:rsid w:val="00083C5B"/>
    <w:rsid w:val="000843BA"/>
    <w:rsid w:val="00084404"/>
    <w:rsid w:val="00084657"/>
    <w:rsid w:val="000848F2"/>
    <w:rsid w:val="0008496E"/>
    <w:rsid w:val="000849DA"/>
    <w:rsid w:val="00084C42"/>
    <w:rsid w:val="00085426"/>
    <w:rsid w:val="000854AC"/>
    <w:rsid w:val="000854DA"/>
    <w:rsid w:val="00085594"/>
    <w:rsid w:val="00085882"/>
    <w:rsid w:val="00085CC0"/>
    <w:rsid w:val="000865AA"/>
    <w:rsid w:val="0008676F"/>
    <w:rsid w:val="00086794"/>
    <w:rsid w:val="0008681E"/>
    <w:rsid w:val="00086A04"/>
    <w:rsid w:val="00086A55"/>
    <w:rsid w:val="00086A70"/>
    <w:rsid w:val="00086FA9"/>
    <w:rsid w:val="00087040"/>
    <w:rsid w:val="0008734E"/>
    <w:rsid w:val="000874E3"/>
    <w:rsid w:val="00087552"/>
    <w:rsid w:val="000878F2"/>
    <w:rsid w:val="00087977"/>
    <w:rsid w:val="00087BF1"/>
    <w:rsid w:val="00087CDD"/>
    <w:rsid w:val="00087D83"/>
    <w:rsid w:val="00087FAB"/>
    <w:rsid w:val="0009021E"/>
    <w:rsid w:val="00090896"/>
    <w:rsid w:val="00090934"/>
    <w:rsid w:val="0009094E"/>
    <w:rsid w:val="0009095C"/>
    <w:rsid w:val="00090D0A"/>
    <w:rsid w:val="00090E9D"/>
    <w:rsid w:val="000910E9"/>
    <w:rsid w:val="000917C1"/>
    <w:rsid w:val="00091980"/>
    <w:rsid w:val="00091AE8"/>
    <w:rsid w:val="00091E23"/>
    <w:rsid w:val="00091F96"/>
    <w:rsid w:val="00091FFC"/>
    <w:rsid w:val="00092106"/>
    <w:rsid w:val="00092854"/>
    <w:rsid w:val="00092C5A"/>
    <w:rsid w:val="00092ED4"/>
    <w:rsid w:val="00092F13"/>
    <w:rsid w:val="0009314E"/>
    <w:rsid w:val="00093162"/>
    <w:rsid w:val="000931E5"/>
    <w:rsid w:val="00093211"/>
    <w:rsid w:val="00093553"/>
    <w:rsid w:val="0009355B"/>
    <w:rsid w:val="0009356B"/>
    <w:rsid w:val="0009360F"/>
    <w:rsid w:val="00093636"/>
    <w:rsid w:val="00093734"/>
    <w:rsid w:val="000937DA"/>
    <w:rsid w:val="00093867"/>
    <w:rsid w:val="00093E85"/>
    <w:rsid w:val="00094306"/>
    <w:rsid w:val="0009433C"/>
    <w:rsid w:val="00094414"/>
    <w:rsid w:val="000947B4"/>
    <w:rsid w:val="000949A1"/>
    <w:rsid w:val="00094A65"/>
    <w:rsid w:val="00094A9C"/>
    <w:rsid w:val="00094BC3"/>
    <w:rsid w:val="00094C27"/>
    <w:rsid w:val="00094C72"/>
    <w:rsid w:val="00094EDF"/>
    <w:rsid w:val="0009515C"/>
    <w:rsid w:val="000957B6"/>
    <w:rsid w:val="00095887"/>
    <w:rsid w:val="00095963"/>
    <w:rsid w:val="000959D6"/>
    <w:rsid w:val="00095AFE"/>
    <w:rsid w:val="00095C94"/>
    <w:rsid w:val="00095D1A"/>
    <w:rsid w:val="00095D64"/>
    <w:rsid w:val="0009612C"/>
    <w:rsid w:val="0009653C"/>
    <w:rsid w:val="00096621"/>
    <w:rsid w:val="00096642"/>
    <w:rsid w:val="000966F4"/>
    <w:rsid w:val="000968F8"/>
    <w:rsid w:val="00096A4F"/>
    <w:rsid w:val="00096C60"/>
    <w:rsid w:val="00096CA5"/>
    <w:rsid w:val="00096CBD"/>
    <w:rsid w:val="0009706A"/>
    <w:rsid w:val="00097114"/>
    <w:rsid w:val="00097152"/>
    <w:rsid w:val="000973D8"/>
    <w:rsid w:val="00097B8F"/>
    <w:rsid w:val="00097D3F"/>
    <w:rsid w:val="00097E71"/>
    <w:rsid w:val="00097E9A"/>
    <w:rsid w:val="0009B14A"/>
    <w:rsid w:val="000A01D1"/>
    <w:rsid w:val="000A0508"/>
    <w:rsid w:val="000A0594"/>
    <w:rsid w:val="000A0764"/>
    <w:rsid w:val="000A08BA"/>
    <w:rsid w:val="000A09EB"/>
    <w:rsid w:val="000A0F4D"/>
    <w:rsid w:val="000A1183"/>
    <w:rsid w:val="000A159E"/>
    <w:rsid w:val="000A15DA"/>
    <w:rsid w:val="000A170A"/>
    <w:rsid w:val="000A1BC1"/>
    <w:rsid w:val="000A2273"/>
    <w:rsid w:val="000A2574"/>
    <w:rsid w:val="000A2AA1"/>
    <w:rsid w:val="000A2C7A"/>
    <w:rsid w:val="000A2DFD"/>
    <w:rsid w:val="000A311C"/>
    <w:rsid w:val="000A39C0"/>
    <w:rsid w:val="000A3BA8"/>
    <w:rsid w:val="000A3DFB"/>
    <w:rsid w:val="000A3E67"/>
    <w:rsid w:val="000A3E7F"/>
    <w:rsid w:val="000A3FD5"/>
    <w:rsid w:val="000A3FD9"/>
    <w:rsid w:val="000A3FFD"/>
    <w:rsid w:val="000A42BF"/>
    <w:rsid w:val="000A4419"/>
    <w:rsid w:val="000A4853"/>
    <w:rsid w:val="000A4C34"/>
    <w:rsid w:val="000A4F33"/>
    <w:rsid w:val="000A502C"/>
    <w:rsid w:val="000A5305"/>
    <w:rsid w:val="000A57A5"/>
    <w:rsid w:val="000A5A83"/>
    <w:rsid w:val="000A5B24"/>
    <w:rsid w:val="000A5C65"/>
    <w:rsid w:val="000A5E97"/>
    <w:rsid w:val="000A5FB1"/>
    <w:rsid w:val="000A60F8"/>
    <w:rsid w:val="000A66DB"/>
    <w:rsid w:val="000A68A3"/>
    <w:rsid w:val="000A6BB8"/>
    <w:rsid w:val="000A6C3E"/>
    <w:rsid w:val="000A6FA2"/>
    <w:rsid w:val="000A72B8"/>
    <w:rsid w:val="000A7301"/>
    <w:rsid w:val="000A771E"/>
    <w:rsid w:val="000A7C98"/>
    <w:rsid w:val="000A7E19"/>
    <w:rsid w:val="000A7F5B"/>
    <w:rsid w:val="000B002D"/>
    <w:rsid w:val="000B02B3"/>
    <w:rsid w:val="000B050E"/>
    <w:rsid w:val="000B0AB0"/>
    <w:rsid w:val="000B0ACD"/>
    <w:rsid w:val="000B0B76"/>
    <w:rsid w:val="000B1456"/>
    <w:rsid w:val="000B1519"/>
    <w:rsid w:val="000B1566"/>
    <w:rsid w:val="000B18C2"/>
    <w:rsid w:val="000B1974"/>
    <w:rsid w:val="000B1E61"/>
    <w:rsid w:val="000B1F35"/>
    <w:rsid w:val="000B2106"/>
    <w:rsid w:val="000B213D"/>
    <w:rsid w:val="000B239D"/>
    <w:rsid w:val="000B2872"/>
    <w:rsid w:val="000B29AA"/>
    <w:rsid w:val="000B29C9"/>
    <w:rsid w:val="000B2A1B"/>
    <w:rsid w:val="000B2B8D"/>
    <w:rsid w:val="000B2C27"/>
    <w:rsid w:val="000B2C31"/>
    <w:rsid w:val="000B2DC1"/>
    <w:rsid w:val="000B349A"/>
    <w:rsid w:val="000B3B27"/>
    <w:rsid w:val="000B3C3E"/>
    <w:rsid w:val="000B3D30"/>
    <w:rsid w:val="000B3F67"/>
    <w:rsid w:val="000B4185"/>
    <w:rsid w:val="000B4341"/>
    <w:rsid w:val="000B43D8"/>
    <w:rsid w:val="000B444F"/>
    <w:rsid w:val="000B4541"/>
    <w:rsid w:val="000B492C"/>
    <w:rsid w:val="000B4A4D"/>
    <w:rsid w:val="000B4C68"/>
    <w:rsid w:val="000B4D47"/>
    <w:rsid w:val="000B50F7"/>
    <w:rsid w:val="000B51BA"/>
    <w:rsid w:val="000B5495"/>
    <w:rsid w:val="000B577D"/>
    <w:rsid w:val="000B5899"/>
    <w:rsid w:val="000B58B9"/>
    <w:rsid w:val="000B59B8"/>
    <w:rsid w:val="000B5C93"/>
    <w:rsid w:val="000B60AB"/>
    <w:rsid w:val="000B615D"/>
    <w:rsid w:val="000B6525"/>
    <w:rsid w:val="000B697B"/>
    <w:rsid w:val="000B69C8"/>
    <w:rsid w:val="000B6A23"/>
    <w:rsid w:val="000B6A4F"/>
    <w:rsid w:val="000B6C34"/>
    <w:rsid w:val="000B6D73"/>
    <w:rsid w:val="000B6DA2"/>
    <w:rsid w:val="000B6E3E"/>
    <w:rsid w:val="000B7154"/>
    <w:rsid w:val="000B7181"/>
    <w:rsid w:val="000B7348"/>
    <w:rsid w:val="000B73BE"/>
    <w:rsid w:val="000B747F"/>
    <w:rsid w:val="000B749A"/>
    <w:rsid w:val="000B74DA"/>
    <w:rsid w:val="000B7667"/>
    <w:rsid w:val="000B77C0"/>
    <w:rsid w:val="000B7979"/>
    <w:rsid w:val="000B7BA3"/>
    <w:rsid w:val="000B7C11"/>
    <w:rsid w:val="000B7C63"/>
    <w:rsid w:val="000B7FEA"/>
    <w:rsid w:val="000C0116"/>
    <w:rsid w:val="000C016C"/>
    <w:rsid w:val="000C0D9F"/>
    <w:rsid w:val="000C0FE3"/>
    <w:rsid w:val="000C1184"/>
    <w:rsid w:val="000C12E9"/>
    <w:rsid w:val="000C1854"/>
    <w:rsid w:val="000C189C"/>
    <w:rsid w:val="000C1A12"/>
    <w:rsid w:val="000C1B81"/>
    <w:rsid w:val="000C1BD0"/>
    <w:rsid w:val="000C1F36"/>
    <w:rsid w:val="000C24DF"/>
    <w:rsid w:val="000C2550"/>
    <w:rsid w:val="000C258D"/>
    <w:rsid w:val="000C2675"/>
    <w:rsid w:val="000C26A6"/>
    <w:rsid w:val="000C27E8"/>
    <w:rsid w:val="000C29D6"/>
    <w:rsid w:val="000C33A5"/>
    <w:rsid w:val="000C3467"/>
    <w:rsid w:val="000C356C"/>
    <w:rsid w:val="000C367B"/>
    <w:rsid w:val="000C37D5"/>
    <w:rsid w:val="000C3AF4"/>
    <w:rsid w:val="000C3BF9"/>
    <w:rsid w:val="000C3CE2"/>
    <w:rsid w:val="000C4559"/>
    <w:rsid w:val="000C4B2D"/>
    <w:rsid w:val="000C4B8B"/>
    <w:rsid w:val="000C4C4D"/>
    <w:rsid w:val="000C4C7B"/>
    <w:rsid w:val="000C4D3F"/>
    <w:rsid w:val="000C503E"/>
    <w:rsid w:val="000C5069"/>
    <w:rsid w:val="000C507F"/>
    <w:rsid w:val="000C592D"/>
    <w:rsid w:val="000C5A4E"/>
    <w:rsid w:val="000C5DB0"/>
    <w:rsid w:val="000C5DBE"/>
    <w:rsid w:val="000C5FE6"/>
    <w:rsid w:val="000C62F1"/>
    <w:rsid w:val="000C668D"/>
    <w:rsid w:val="000C68E3"/>
    <w:rsid w:val="000C6CCD"/>
    <w:rsid w:val="000C6D5D"/>
    <w:rsid w:val="000C6E1B"/>
    <w:rsid w:val="000C6EBE"/>
    <w:rsid w:val="000C748E"/>
    <w:rsid w:val="000C7B57"/>
    <w:rsid w:val="000C7CC3"/>
    <w:rsid w:val="000C7D13"/>
    <w:rsid w:val="000C7E1D"/>
    <w:rsid w:val="000D017C"/>
    <w:rsid w:val="000D0180"/>
    <w:rsid w:val="000D03F3"/>
    <w:rsid w:val="000D08AD"/>
    <w:rsid w:val="000D0A8F"/>
    <w:rsid w:val="000D0B49"/>
    <w:rsid w:val="000D0B8C"/>
    <w:rsid w:val="000D11D2"/>
    <w:rsid w:val="000D11EC"/>
    <w:rsid w:val="000D1423"/>
    <w:rsid w:val="000D16E7"/>
    <w:rsid w:val="000D1771"/>
    <w:rsid w:val="000D18DD"/>
    <w:rsid w:val="000D1CA2"/>
    <w:rsid w:val="000D1FA0"/>
    <w:rsid w:val="000D1FAC"/>
    <w:rsid w:val="000D1FBA"/>
    <w:rsid w:val="000D1FC4"/>
    <w:rsid w:val="000D2000"/>
    <w:rsid w:val="000D2050"/>
    <w:rsid w:val="000D2162"/>
    <w:rsid w:val="000D2168"/>
    <w:rsid w:val="000D25DA"/>
    <w:rsid w:val="000D2667"/>
    <w:rsid w:val="000D26EA"/>
    <w:rsid w:val="000D3040"/>
    <w:rsid w:val="000D3817"/>
    <w:rsid w:val="000D3988"/>
    <w:rsid w:val="000D39AD"/>
    <w:rsid w:val="000D3CEF"/>
    <w:rsid w:val="000D3D76"/>
    <w:rsid w:val="000D3D8C"/>
    <w:rsid w:val="000D3E86"/>
    <w:rsid w:val="000D403A"/>
    <w:rsid w:val="000D43E5"/>
    <w:rsid w:val="000D440C"/>
    <w:rsid w:val="000D4718"/>
    <w:rsid w:val="000D4920"/>
    <w:rsid w:val="000D4FBD"/>
    <w:rsid w:val="000D511C"/>
    <w:rsid w:val="000D5179"/>
    <w:rsid w:val="000D5196"/>
    <w:rsid w:val="000D51BB"/>
    <w:rsid w:val="000D5407"/>
    <w:rsid w:val="000D5501"/>
    <w:rsid w:val="000D5606"/>
    <w:rsid w:val="000D5989"/>
    <w:rsid w:val="000D5E14"/>
    <w:rsid w:val="000D5FA9"/>
    <w:rsid w:val="000D616F"/>
    <w:rsid w:val="000D6185"/>
    <w:rsid w:val="000D61B1"/>
    <w:rsid w:val="000D631B"/>
    <w:rsid w:val="000D6500"/>
    <w:rsid w:val="000D682B"/>
    <w:rsid w:val="000D695F"/>
    <w:rsid w:val="000D6A21"/>
    <w:rsid w:val="000D6A5F"/>
    <w:rsid w:val="000D6AAC"/>
    <w:rsid w:val="000D6BA3"/>
    <w:rsid w:val="000D6CE1"/>
    <w:rsid w:val="000D6D63"/>
    <w:rsid w:val="000D71EB"/>
    <w:rsid w:val="000D72B6"/>
    <w:rsid w:val="000D7483"/>
    <w:rsid w:val="000D759F"/>
    <w:rsid w:val="000D75BA"/>
    <w:rsid w:val="000D7B16"/>
    <w:rsid w:val="000D7D89"/>
    <w:rsid w:val="000E011C"/>
    <w:rsid w:val="000E09D2"/>
    <w:rsid w:val="000E0CED"/>
    <w:rsid w:val="000E0E3F"/>
    <w:rsid w:val="000E0EE4"/>
    <w:rsid w:val="000E102B"/>
    <w:rsid w:val="000E10E8"/>
    <w:rsid w:val="000E116A"/>
    <w:rsid w:val="000E12BD"/>
    <w:rsid w:val="000E12D5"/>
    <w:rsid w:val="000E12E0"/>
    <w:rsid w:val="000E1322"/>
    <w:rsid w:val="000E13F1"/>
    <w:rsid w:val="000E160A"/>
    <w:rsid w:val="000E177D"/>
    <w:rsid w:val="000E1834"/>
    <w:rsid w:val="000E1960"/>
    <w:rsid w:val="000E1999"/>
    <w:rsid w:val="000E19E1"/>
    <w:rsid w:val="000E1D04"/>
    <w:rsid w:val="000E2228"/>
    <w:rsid w:val="000E24B0"/>
    <w:rsid w:val="000E27A0"/>
    <w:rsid w:val="000E2CF1"/>
    <w:rsid w:val="000E2F39"/>
    <w:rsid w:val="000E32AD"/>
    <w:rsid w:val="000E342F"/>
    <w:rsid w:val="000E3770"/>
    <w:rsid w:val="000E3A30"/>
    <w:rsid w:val="000E3B81"/>
    <w:rsid w:val="000E3E62"/>
    <w:rsid w:val="000E3F53"/>
    <w:rsid w:val="000E406D"/>
    <w:rsid w:val="000E4222"/>
    <w:rsid w:val="000E4347"/>
    <w:rsid w:val="000E4706"/>
    <w:rsid w:val="000E4F13"/>
    <w:rsid w:val="000E52A3"/>
    <w:rsid w:val="000E53A3"/>
    <w:rsid w:val="000E53FD"/>
    <w:rsid w:val="000E5593"/>
    <w:rsid w:val="000E5AC1"/>
    <w:rsid w:val="000E603C"/>
    <w:rsid w:val="000E6058"/>
    <w:rsid w:val="000E61F4"/>
    <w:rsid w:val="000E6614"/>
    <w:rsid w:val="000E6791"/>
    <w:rsid w:val="000E6AA9"/>
    <w:rsid w:val="000E6D98"/>
    <w:rsid w:val="000E6ECA"/>
    <w:rsid w:val="000E714D"/>
    <w:rsid w:val="000E766C"/>
    <w:rsid w:val="000E7676"/>
    <w:rsid w:val="000E7685"/>
    <w:rsid w:val="000E7802"/>
    <w:rsid w:val="000E7972"/>
    <w:rsid w:val="000E79AF"/>
    <w:rsid w:val="000E7B4C"/>
    <w:rsid w:val="000E7C71"/>
    <w:rsid w:val="000E7DBA"/>
    <w:rsid w:val="000E7DC2"/>
    <w:rsid w:val="000E7F2D"/>
    <w:rsid w:val="000F011D"/>
    <w:rsid w:val="000F037F"/>
    <w:rsid w:val="000F056D"/>
    <w:rsid w:val="000F071A"/>
    <w:rsid w:val="000F0960"/>
    <w:rsid w:val="000F0B82"/>
    <w:rsid w:val="000F0EDB"/>
    <w:rsid w:val="000F0F2E"/>
    <w:rsid w:val="000F0F40"/>
    <w:rsid w:val="000F11C2"/>
    <w:rsid w:val="000F1594"/>
    <w:rsid w:val="000F1690"/>
    <w:rsid w:val="000F16C1"/>
    <w:rsid w:val="000F1821"/>
    <w:rsid w:val="000F1CE7"/>
    <w:rsid w:val="000F1E8E"/>
    <w:rsid w:val="000F2426"/>
    <w:rsid w:val="000F2512"/>
    <w:rsid w:val="000F261D"/>
    <w:rsid w:val="000F2984"/>
    <w:rsid w:val="000F2C78"/>
    <w:rsid w:val="000F2D0B"/>
    <w:rsid w:val="000F2D46"/>
    <w:rsid w:val="000F2DD6"/>
    <w:rsid w:val="000F30AB"/>
    <w:rsid w:val="000F3249"/>
    <w:rsid w:val="000F32F7"/>
    <w:rsid w:val="000F357C"/>
    <w:rsid w:val="000F37EC"/>
    <w:rsid w:val="000F37F7"/>
    <w:rsid w:val="000F3882"/>
    <w:rsid w:val="000F389B"/>
    <w:rsid w:val="000F3C11"/>
    <w:rsid w:val="000F3EFB"/>
    <w:rsid w:val="000F455A"/>
    <w:rsid w:val="000F47CF"/>
    <w:rsid w:val="000F4C34"/>
    <w:rsid w:val="000F4D2C"/>
    <w:rsid w:val="000F4FD6"/>
    <w:rsid w:val="000F58BF"/>
    <w:rsid w:val="000F5BC1"/>
    <w:rsid w:val="000F5E3B"/>
    <w:rsid w:val="000F6205"/>
    <w:rsid w:val="000F651A"/>
    <w:rsid w:val="000F6BA4"/>
    <w:rsid w:val="000F6BF0"/>
    <w:rsid w:val="000F6E17"/>
    <w:rsid w:val="000F6F4C"/>
    <w:rsid w:val="000F7151"/>
    <w:rsid w:val="000F7666"/>
    <w:rsid w:val="000F7716"/>
    <w:rsid w:val="000F772F"/>
    <w:rsid w:val="000F7914"/>
    <w:rsid w:val="000F7A80"/>
    <w:rsid w:val="000F7AFA"/>
    <w:rsid w:val="000F7B0B"/>
    <w:rsid w:val="000F7BDE"/>
    <w:rsid w:val="000F7BFB"/>
    <w:rsid w:val="000F7DC6"/>
    <w:rsid w:val="000F7F50"/>
    <w:rsid w:val="000F7F54"/>
    <w:rsid w:val="000F7F91"/>
    <w:rsid w:val="000F7FA4"/>
    <w:rsid w:val="000FDFC2"/>
    <w:rsid w:val="0010021C"/>
    <w:rsid w:val="0010024E"/>
    <w:rsid w:val="001003AE"/>
    <w:rsid w:val="001004C5"/>
    <w:rsid w:val="001004FB"/>
    <w:rsid w:val="001007BB"/>
    <w:rsid w:val="00100BE0"/>
    <w:rsid w:val="00100BE6"/>
    <w:rsid w:val="00100E2F"/>
    <w:rsid w:val="00100F61"/>
    <w:rsid w:val="00101248"/>
    <w:rsid w:val="0010138C"/>
    <w:rsid w:val="0010168E"/>
    <w:rsid w:val="00101725"/>
    <w:rsid w:val="0010181A"/>
    <w:rsid w:val="00101826"/>
    <w:rsid w:val="00101B1F"/>
    <w:rsid w:val="00101C22"/>
    <w:rsid w:val="00101FE1"/>
    <w:rsid w:val="0010220B"/>
    <w:rsid w:val="00102331"/>
    <w:rsid w:val="00102627"/>
    <w:rsid w:val="001026A4"/>
    <w:rsid w:val="001026F2"/>
    <w:rsid w:val="00102798"/>
    <w:rsid w:val="00102910"/>
    <w:rsid w:val="00102971"/>
    <w:rsid w:val="00102A68"/>
    <w:rsid w:val="00102C65"/>
    <w:rsid w:val="00102EEF"/>
    <w:rsid w:val="00103043"/>
    <w:rsid w:val="001030FB"/>
    <w:rsid w:val="001032F5"/>
    <w:rsid w:val="00103378"/>
    <w:rsid w:val="00103379"/>
    <w:rsid w:val="00103475"/>
    <w:rsid w:val="001037C0"/>
    <w:rsid w:val="001037D9"/>
    <w:rsid w:val="00103902"/>
    <w:rsid w:val="001039FE"/>
    <w:rsid w:val="00103B60"/>
    <w:rsid w:val="00103D43"/>
    <w:rsid w:val="00104108"/>
    <w:rsid w:val="00104568"/>
    <w:rsid w:val="001045C9"/>
    <w:rsid w:val="00104785"/>
    <w:rsid w:val="00104B8B"/>
    <w:rsid w:val="001050D7"/>
    <w:rsid w:val="0010554A"/>
    <w:rsid w:val="001057DD"/>
    <w:rsid w:val="001057F7"/>
    <w:rsid w:val="0010591D"/>
    <w:rsid w:val="00105AD9"/>
    <w:rsid w:val="00105C30"/>
    <w:rsid w:val="00105E19"/>
    <w:rsid w:val="001063A7"/>
    <w:rsid w:val="0010648C"/>
    <w:rsid w:val="0010648D"/>
    <w:rsid w:val="001064E0"/>
    <w:rsid w:val="0010655D"/>
    <w:rsid w:val="001065A6"/>
    <w:rsid w:val="00106C47"/>
    <w:rsid w:val="00106D05"/>
    <w:rsid w:val="00106F94"/>
    <w:rsid w:val="00107148"/>
    <w:rsid w:val="0010728B"/>
    <w:rsid w:val="001072B0"/>
    <w:rsid w:val="00107476"/>
    <w:rsid w:val="0010770D"/>
    <w:rsid w:val="00107910"/>
    <w:rsid w:val="001079FF"/>
    <w:rsid w:val="00107CBA"/>
    <w:rsid w:val="00107E8A"/>
    <w:rsid w:val="00107EF3"/>
    <w:rsid w:val="0011002A"/>
    <w:rsid w:val="001100C2"/>
    <w:rsid w:val="001100FC"/>
    <w:rsid w:val="001101A1"/>
    <w:rsid w:val="001101EC"/>
    <w:rsid w:val="001102C2"/>
    <w:rsid w:val="001107AE"/>
    <w:rsid w:val="00110C40"/>
    <w:rsid w:val="00110C5E"/>
    <w:rsid w:val="00110C5F"/>
    <w:rsid w:val="00110CD8"/>
    <w:rsid w:val="00111116"/>
    <w:rsid w:val="001112AE"/>
    <w:rsid w:val="00111387"/>
    <w:rsid w:val="001114A1"/>
    <w:rsid w:val="001115B1"/>
    <w:rsid w:val="0011180D"/>
    <w:rsid w:val="00111B84"/>
    <w:rsid w:val="00111BB2"/>
    <w:rsid w:val="00111C02"/>
    <w:rsid w:val="00111E2A"/>
    <w:rsid w:val="00111E7D"/>
    <w:rsid w:val="00111EB7"/>
    <w:rsid w:val="00111EEC"/>
    <w:rsid w:val="0011231B"/>
    <w:rsid w:val="001126FD"/>
    <w:rsid w:val="001129AC"/>
    <w:rsid w:val="00112B68"/>
    <w:rsid w:val="00112CDB"/>
    <w:rsid w:val="00113626"/>
    <w:rsid w:val="001136DE"/>
    <w:rsid w:val="0011379E"/>
    <w:rsid w:val="00113BAE"/>
    <w:rsid w:val="00113CB3"/>
    <w:rsid w:val="00113D72"/>
    <w:rsid w:val="00113D86"/>
    <w:rsid w:val="00113E51"/>
    <w:rsid w:val="00113F4B"/>
    <w:rsid w:val="001140B7"/>
    <w:rsid w:val="001140BE"/>
    <w:rsid w:val="00114259"/>
    <w:rsid w:val="001143F5"/>
    <w:rsid w:val="00114594"/>
    <w:rsid w:val="001145CD"/>
    <w:rsid w:val="0011491A"/>
    <w:rsid w:val="00114940"/>
    <w:rsid w:val="001149D6"/>
    <w:rsid w:val="00114A0A"/>
    <w:rsid w:val="00114A2C"/>
    <w:rsid w:val="00114A72"/>
    <w:rsid w:val="00114AB7"/>
    <w:rsid w:val="00114C18"/>
    <w:rsid w:val="00114CA8"/>
    <w:rsid w:val="00114D6C"/>
    <w:rsid w:val="00114E7A"/>
    <w:rsid w:val="0011500E"/>
    <w:rsid w:val="001150FE"/>
    <w:rsid w:val="0011524F"/>
    <w:rsid w:val="00115821"/>
    <w:rsid w:val="00115874"/>
    <w:rsid w:val="00115BA6"/>
    <w:rsid w:val="00115C56"/>
    <w:rsid w:val="00115D52"/>
    <w:rsid w:val="00115EAD"/>
    <w:rsid w:val="001160AF"/>
    <w:rsid w:val="00116404"/>
    <w:rsid w:val="00116546"/>
    <w:rsid w:val="0011673A"/>
    <w:rsid w:val="0011697C"/>
    <w:rsid w:val="00116D65"/>
    <w:rsid w:val="00117048"/>
    <w:rsid w:val="001171D3"/>
    <w:rsid w:val="001178B4"/>
    <w:rsid w:val="001179C6"/>
    <w:rsid w:val="00117BBC"/>
    <w:rsid w:val="00117DF9"/>
    <w:rsid w:val="00117E61"/>
    <w:rsid w:val="00117E71"/>
    <w:rsid w:val="00118D4F"/>
    <w:rsid w:val="001203B9"/>
    <w:rsid w:val="00120484"/>
    <w:rsid w:val="00120757"/>
    <w:rsid w:val="00120CDE"/>
    <w:rsid w:val="00120E21"/>
    <w:rsid w:val="001210F5"/>
    <w:rsid w:val="00121198"/>
    <w:rsid w:val="001213ED"/>
    <w:rsid w:val="001216E2"/>
    <w:rsid w:val="00121716"/>
    <w:rsid w:val="001219C6"/>
    <w:rsid w:val="00121D6B"/>
    <w:rsid w:val="00121D86"/>
    <w:rsid w:val="00121E9D"/>
    <w:rsid w:val="00121F1A"/>
    <w:rsid w:val="00121F6E"/>
    <w:rsid w:val="00122005"/>
    <w:rsid w:val="001220F1"/>
    <w:rsid w:val="00122299"/>
    <w:rsid w:val="00122515"/>
    <w:rsid w:val="001227DF"/>
    <w:rsid w:val="00122954"/>
    <w:rsid w:val="00122D62"/>
    <w:rsid w:val="00122DBD"/>
    <w:rsid w:val="00122E31"/>
    <w:rsid w:val="00122FCD"/>
    <w:rsid w:val="00122FF4"/>
    <w:rsid w:val="001230EA"/>
    <w:rsid w:val="00123194"/>
    <w:rsid w:val="001233C3"/>
    <w:rsid w:val="001235B8"/>
    <w:rsid w:val="00123739"/>
    <w:rsid w:val="00123E41"/>
    <w:rsid w:val="001240E3"/>
    <w:rsid w:val="001242B5"/>
    <w:rsid w:val="001242BF"/>
    <w:rsid w:val="001243DC"/>
    <w:rsid w:val="00124462"/>
    <w:rsid w:val="00124505"/>
    <w:rsid w:val="00124A36"/>
    <w:rsid w:val="00124B17"/>
    <w:rsid w:val="00124B6D"/>
    <w:rsid w:val="00124D6D"/>
    <w:rsid w:val="00124DC7"/>
    <w:rsid w:val="00124E55"/>
    <w:rsid w:val="0012525E"/>
    <w:rsid w:val="001254C9"/>
    <w:rsid w:val="001255D4"/>
    <w:rsid w:val="00125823"/>
    <w:rsid w:val="00125A29"/>
    <w:rsid w:val="00125D79"/>
    <w:rsid w:val="00126019"/>
    <w:rsid w:val="0012635E"/>
    <w:rsid w:val="00126421"/>
    <w:rsid w:val="001264B1"/>
    <w:rsid w:val="00126631"/>
    <w:rsid w:val="001269B9"/>
    <w:rsid w:val="00126A6A"/>
    <w:rsid w:val="00126BD1"/>
    <w:rsid w:val="00126F67"/>
    <w:rsid w:val="00126FA2"/>
    <w:rsid w:val="001270F0"/>
    <w:rsid w:val="00127338"/>
    <w:rsid w:val="001274B7"/>
    <w:rsid w:val="001276C9"/>
    <w:rsid w:val="00127B27"/>
    <w:rsid w:val="00127D7E"/>
    <w:rsid w:val="00127DA0"/>
    <w:rsid w:val="00127EE1"/>
    <w:rsid w:val="00127F34"/>
    <w:rsid w:val="00127F88"/>
    <w:rsid w:val="00130714"/>
    <w:rsid w:val="00130882"/>
    <w:rsid w:val="00130A2D"/>
    <w:rsid w:val="00130AA8"/>
    <w:rsid w:val="00130C1F"/>
    <w:rsid w:val="00130C50"/>
    <w:rsid w:val="00130CED"/>
    <w:rsid w:val="00131078"/>
    <w:rsid w:val="00131346"/>
    <w:rsid w:val="001314D2"/>
    <w:rsid w:val="001314FC"/>
    <w:rsid w:val="00131583"/>
    <w:rsid w:val="001318DF"/>
    <w:rsid w:val="00131A91"/>
    <w:rsid w:val="00131CA2"/>
    <w:rsid w:val="00132415"/>
    <w:rsid w:val="0013265D"/>
    <w:rsid w:val="00132A8E"/>
    <w:rsid w:val="00132ABB"/>
    <w:rsid w:val="00132C93"/>
    <w:rsid w:val="00132EF8"/>
    <w:rsid w:val="00132F43"/>
    <w:rsid w:val="00133165"/>
    <w:rsid w:val="00133639"/>
    <w:rsid w:val="00133B7F"/>
    <w:rsid w:val="00133D19"/>
    <w:rsid w:val="00133DDC"/>
    <w:rsid w:val="00133EE0"/>
    <w:rsid w:val="0013404F"/>
    <w:rsid w:val="001340F8"/>
    <w:rsid w:val="001341B0"/>
    <w:rsid w:val="00134258"/>
    <w:rsid w:val="0013437C"/>
    <w:rsid w:val="00134437"/>
    <w:rsid w:val="0013448B"/>
    <w:rsid w:val="00134986"/>
    <w:rsid w:val="00134A54"/>
    <w:rsid w:val="00134B63"/>
    <w:rsid w:val="00134C4F"/>
    <w:rsid w:val="00134D39"/>
    <w:rsid w:val="00134DAB"/>
    <w:rsid w:val="00134EF7"/>
    <w:rsid w:val="001350C9"/>
    <w:rsid w:val="001350D1"/>
    <w:rsid w:val="00135304"/>
    <w:rsid w:val="0013551F"/>
    <w:rsid w:val="00135688"/>
    <w:rsid w:val="00135710"/>
    <w:rsid w:val="0013586C"/>
    <w:rsid w:val="0013589D"/>
    <w:rsid w:val="001359E7"/>
    <w:rsid w:val="00135B85"/>
    <w:rsid w:val="00135BD4"/>
    <w:rsid w:val="00135CF6"/>
    <w:rsid w:val="00135DD2"/>
    <w:rsid w:val="0013603E"/>
    <w:rsid w:val="001360D2"/>
    <w:rsid w:val="001364AB"/>
    <w:rsid w:val="001364BB"/>
    <w:rsid w:val="00136BEF"/>
    <w:rsid w:val="00136BF0"/>
    <w:rsid w:val="00136D10"/>
    <w:rsid w:val="001374D2"/>
    <w:rsid w:val="0013759A"/>
    <w:rsid w:val="00137833"/>
    <w:rsid w:val="00137995"/>
    <w:rsid w:val="00137A38"/>
    <w:rsid w:val="00137B0E"/>
    <w:rsid w:val="00137B3A"/>
    <w:rsid w:val="00137BBE"/>
    <w:rsid w:val="00137C70"/>
    <w:rsid w:val="00137E12"/>
    <w:rsid w:val="0014001A"/>
    <w:rsid w:val="001400B1"/>
    <w:rsid w:val="001403B6"/>
    <w:rsid w:val="00140440"/>
    <w:rsid w:val="00140580"/>
    <w:rsid w:val="0014080C"/>
    <w:rsid w:val="00140971"/>
    <w:rsid w:val="00140A0B"/>
    <w:rsid w:val="00140C3C"/>
    <w:rsid w:val="00140D12"/>
    <w:rsid w:val="00140DE3"/>
    <w:rsid w:val="00141045"/>
    <w:rsid w:val="00141230"/>
    <w:rsid w:val="001413E7"/>
    <w:rsid w:val="001413FF"/>
    <w:rsid w:val="00141441"/>
    <w:rsid w:val="001414C7"/>
    <w:rsid w:val="0014171D"/>
    <w:rsid w:val="001419E3"/>
    <w:rsid w:val="00141B9C"/>
    <w:rsid w:val="00141D6A"/>
    <w:rsid w:val="00141D73"/>
    <w:rsid w:val="00141EB3"/>
    <w:rsid w:val="00141F00"/>
    <w:rsid w:val="00142011"/>
    <w:rsid w:val="001421F6"/>
    <w:rsid w:val="001423E9"/>
    <w:rsid w:val="0014249E"/>
    <w:rsid w:val="00142523"/>
    <w:rsid w:val="001427DF"/>
    <w:rsid w:val="0014295E"/>
    <w:rsid w:val="0014296B"/>
    <w:rsid w:val="00142B6B"/>
    <w:rsid w:val="0014309E"/>
    <w:rsid w:val="0014324E"/>
    <w:rsid w:val="001433C8"/>
    <w:rsid w:val="001433CF"/>
    <w:rsid w:val="00143B4A"/>
    <w:rsid w:val="00143BED"/>
    <w:rsid w:val="00143DBF"/>
    <w:rsid w:val="00143E38"/>
    <w:rsid w:val="001440EB"/>
    <w:rsid w:val="001440FC"/>
    <w:rsid w:val="00144135"/>
    <w:rsid w:val="001443D1"/>
    <w:rsid w:val="001443DD"/>
    <w:rsid w:val="00144752"/>
    <w:rsid w:val="0014482F"/>
    <w:rsid w:val="00144C44"/>
    <w:rsid w:val="00145342"/>
    <w:rsid w:val="0014538A"/>
    <w:rsid w:val="00145712"/>
    <w:rsid w:val="001459E7"/>
    <w:rsid w:val="00145CD5"/>
    <w:rsid w:val="00145CF7"/>
    <w:rsid w:val="00145F28"/>
    <w:rsid w:val="00145FB9"/>
    <w:rsid w:val="00146004"/>
    <w:rsid w:val="0014616A"/>
    <w:rsid w:val="00146742"/>
    <w:rsid w:val="00146934"/>
    <w:rsid w:val="001469F2"/>
    <w:rsid w:val="00146A3F"/>
    <w:rsid w:val="00146A52"/>
    <w:rsid w:val="00146AE6"/>
    <w:rsid w:val="00146B2E"/>
    <w:rsid w:val="00146B86"/>
    <w:rsid w:val="00146E56"/>
    <w:rsid w:val="00147190"/>
    <w:rsid w:val="001471B1"/>
    <w:rsid w:val="00147231"/>
    <w:rsid w:val="0014727D"/>
    <w:rsid w:val="00147814"/>
    <w:rsid w:val="00147BCC"/>
    <w:rsid w:val="00147CA1"/>
    <w:rsid w:val="00147CA9"/>
    <w:rsid w:val="00147EFC"/>
    <w:rsid w:val="00147FE1"/>
    <w:rsid w:val="0014C500"/>
    <w:rsid w:val="001501E2"/>
    <w:rsid w:val="00150338"/>
    <w:rsid w:val="00150446"/>
    <w:rsid w:val="001507C6"/>
    <w:rsid w:val="001507E0"/>
    <w:rsid w:val="00150A12"/>
    <w:rsid w:val="00150B57"/>
    <w:rsid w:val="00150D9F"/>
    <w:rsid w:val="0015124B"/>
    <w:rsid w:val="00151365"/>
    <w:rsid w:val="00151366"/>
    <w:rsid w:val="00151511"/>
    <w:rsid w:val="001515BE"/>
    <w:rsid w:val="001516B9"/>
    <w:rsid w:val="001517AB"/>
    <w:rsid w:val="001518D6"/>
    <w:rsid w:val="00151A38"/>
    <w:rsid w:val="00151D88"/>
    <w:rsid w:val="001521E0"/>
    <w:rsid w:val="001522A6"/>
    <w:rsid w:val="0015232C"/>
    <w:rsid w:val="001523CA"/>
    <w:rsid w:val="001528D4"/>
    <w:rsid w:val="00152DA6"/>
    <w:rsid w:val="00152F1E"/>
    <w:rsid w:val="0015327B"/>
    <w:rsid w:val="00153350"/>
    <w:rsid w:val="001533F1"/>
    <w:rsid w:val="0015356D"/>
    <w:rsid w:val="00153886"/>
    <w:rsid w:val="00153E5A"/>
    <w:rsid w:val="001541BB"/>
    <w:rsid w:val="0015421E"/>
    <w:rsid w:val="001543A8"/>
    <w:rsid w:val="0015455E"/>
    <w:rsid w:val="00154BCE"/>
    <w:rsid w:val="00154EFD"/>
    <w:rsid w:val="001552EE"/>
    <w:rsid w:val="0015532B"/>
    <w:rsid w:val="0015545F"/>
    <w:rsid w:val="00155741"/>
    <w:rsid w:val="001557E4"/>
    <w:rsid w:val="00155865"/>
    <w:rsid w:val="00155932"/>
    <w:rsid w:val="0015599E"/>
    <w:rsid w:val="001559AE"/>
    <w:rsid w:val="00155A0D"/>
    <w:rsid w:val="00155BF9"/>
    <w:rsid w:val="00155C29"/>
    <w:rsid w:val="00155E23"/>
    <w:rsid w:val="00155E52"/>
    <w:rsid w:val="00155E68"/>
    <w:rsid w:val="00155F47"/>
    <w:rsid w:val="00156122"/>
    <w:rsid w:val="0015650C"/>
    <w:rsid w:val="0015652B"/>
    <w:rsid w:val="00156622"/>
    <w:rsid w:val="00156785"/>
    <w:rsid w:val="001567DC"/>
    <w:rsid w:val="00156E2E"/>
    <w:rsid w:val="00156FF5"/>
    <w:rsid w:val="00157002"/>
    <w:rsid w:val="001571A1"/>
    <w:rsid w:val="001572BE"/>
    <w:rsid w:val="00157425"/>
    <w:rsid w:val="001575D1"/>
    <w:rsid w:val="001578AB"/>
    <w:rsid w:val="00157B17"/>
    <w:rsid w:val="00157B8B"/>
    <w:rsid w:val="00157C01"/>
    <w:rsid w:val="00157CC2"/>
    <w:rsid w:val="00157D75"/>
    <w:rsid w:val="00157D99"/>
    <w:rsid w:val="001601F6"/>
    <w:rsid w:val="00160407"/>
    <w:rsid w:val="00160522"/>
    <w:rsid w:val="00160742"/>
    <w:rsid w:val="0016090E"/>
    <w:rsid w:val="00160CDB"/>
    <w:rsid w:val="00160E1A"/>
    <w:rsid w:val="00161024"/>
    <w:rsid w:val="00161124"/>
    <w:rsid w:val="00161181"/>
    <w:rsid w:val="001614A2"/>
    <w:rsid w:val="00161524"/>
    <w:rsid w:val="001618BB"/>
    <w:rsid w:val="001618FA"/>
    <w:rsid w:val="00161D9B"/>
    <w:rsid w:val="00162003"/>
    <w:rsid w:val="001623A2"/>
    <w:rsid w:val="00162897"/>
    <w:rsid w:val="001628D6"/>
    <w:rsid w:val="0016292D"/>
    <w:rsid w:val="00162BDC"/>
    <w:rsid w:val="00162C54"/>
    <w:rsid w:val="00162CBA"/>
    <w:rsid w:val="00162D98"/>
    <w:rsid w:val="00162E56"/>
    <w:rsid w:val="00163460"/>
    <w:rsid w:val="00163483"/>
    <w:rsid w:val="00163489"/>
    <w:rsid w:val="001636EF"/>
    <w:rsid w:val="001638C0"/>
    <w:rsid w:val="00163994"/>
    <w:rsid w:val="001639F6"/>
    <w:rsid w:val="00163F7F"/>
    <w:rsid w:val="00164123"/>
    <w:rsid w:val="00164173"/>
    <w:rsid w:val="001644E3"/>
    <w:rsid w:val="00164520"/>
    <w:rsid w:val="0016468F"/>
    <w:rsid w:val="001646B3"/>
    <w:rsid w:val="001646D0"/>
    <w:rsid w:val="00164B9E"/>
    <w:rsid w:val="00164F0B"/>
    <w:rsid w:val="0016501F"/>
    <w:rsid w:val="00165233"/>
    <w:rsid w:val="00165355"/>
    <w:rsid w:val="00165359"/>
    <w:rsid w:val="001654D7"/>
    <w:rsid w:val="00165895"/>
    <w:rsid w:val="00165992"/>
    <w:rsid w:val="00165AC3"/>
    <w:rsid w:val="00165D3A"/>
    <w:rsid w:val="001667A7"/>
    <w:rsid w:val="0016682D"/>
    <w:rsid w:val="001668BD"/>
    <w:rsid w:val="00166D09"/>
    <w:rsid w:val="00166E57"/>
    <w:rsid w:val="00166EB6"/>
    <w:rsid w:val="00166EBD"/>
    <w:rsid w:val="00166F28"/>
    <w:rsid w:val="00166F76"/>
    <w:rsid w:val="00167037"/>
    <w:rsid w:val="00167126"/>
    <w:rsid w:val="001675F8"/>
    <w:rsid w:val="00167766"/>
    <w:rsid w:val="001679A7"/>
    <w:rsid w:val="00167A16"/>
    <w:rsid w:val="00167CBC"/>
    <w:rsid w:val="001703CC"/>
    <w:rsid w:val="001705F4"/>
    <w:rsid w:val="00170748"/>
    <w:rsid w:val="0017075D"/>
    <w:rsid w:val="00170B35"/>
    <w:rsid w:val="00170D99"/>
    <w:rsid w:val="00170DF7"/>
    <w:rsid w:val="00170FED"/>
    <w:rsid w:val="0017105F"/>
    <w:rsid w:val="00171079"/>
    <w:rsid w:val="00171458"/>
    <w:rsid w:val="0017151C"/>
    <w:rsid w:val="001716AC"/>
    <w:rsid w:val="00171763"/>
    <w:rsid w:val="001717F9"/>
    <w:rsid w:val="00171A01"/>
    <w:rsid w:val="00171C80"/>
    <w:rsid w:val="00171C8C"/>
    <w:rsid w:val="00171CF9"/>
    <w:rsid w:val="00171DBF"/>
    <w:rsid w:val="00171F6C"/>
    <w:rsid w:val="00171FDE"/>
    <w:rsid w:val="00172183"/>
    <w:rsid w:val="00172542"/>
    <w:rsid w:val="0017260A"/>
    <w:rsid w:val="001726C7"/>
    <w:rsid w:val="001727E3"/>
    <w:rsid w:val="00172AFA"/>
    <w:rsid w:val="00172B4F"/>
    <w:rsid w:val="00172BBC"/>
    <w:rsid w:val="00172C0C"/>
    <w:rsid w:val="00172EDD"/>
    <w:rsid w:val="001730E3"/>
    <w:rsid w:val="001731C2"/>
    <w:rsid w:val="0017341F"/>
    <w:rsid w:val="001736B4"/>
    <w:rsid w:val="001737C3"/>
    <w:rsid w:val="00173AF1"/>
    <w:rsid w:val="00173CE9"/>
    <w:rsid w:val="00173DD3"/>
    <w:rsid w:val="00174757"/>
    <w:rsid w:val="00174A6C"/>
    <w:rsid w:val="00174E1E"/>
    <w:rsid w:val="00175390"/>
    <w:rsid w:val="00175426"/>
    <w:rsid w:val="001754E9"/>
    <w:rsid w:val="001755CD"/>
    <w:rsid w:val="001756CF"/>
    <w:rsid w:val="00175710"/>
    <w:rsid w:val="00175AB5"/>
    <w:rsid w:val="00175F2A"/>
    <w:rsid w:val="00175F35"/>
    <w:rsid w:val="0017623D"/>
    <w:rsid w:val="0017639F"/>
    <w:rsid w:val="001764F4"/>
    <w:rsid w:val="001765A7"/>
    <w:rsid w:val="001766DC"/>
    <w:rsid w:val="00176806"/>
    <w:rsid w:val="00176CB4"/>
    <w:rsid w:val="00176FE6"/>
    <w:rsid w:val="0017710B"/>
    <w:rsid w:val="00177276"/>
    <w:rsid w:val="001772CC"/>
    <w:rsid w:val="00177360"/>
    <w:rsid w:val="00177542"/>
    <w:rsid w:val="001776E1"/>
    <w:rsid w:val="001777D4"/>
    <w:rsid w:val="00177838"/>
    <w:rsid w:val="00177AEC"/>
    <w:rsid w:val="00180042"/>
    <w:rsid w:val="00180185"/>
    <w:rsid w:val="001801EC"/>
    <w:rsid w:val="0018029A"/>
    <w:rsid w:val="00180305"/>
    <w:rsid w:val="001804D5"/>
    <w:rsid w:val="00180788"/>
    <w:rsid w:val="00180903"/>
    <w:rsid w:val="00180927"/>
    <w:rsid w:val="00180B10"/>
    <w:rsid w:val="00180C71"/>
    <w:rsid w:val="00180D19"/>
    <w:rsid w:val="00180EA0"/>
    <w:rsid w:val="00181498"/>
    <w:rsid w:val="001814A8"/>
    <w:rsid w:val="0018156A"/>
    <w:rsid w:val="0018179E"/>
    <w:rsid w:val="00181833"/>
    <w:rsid w:val="00181D52"/>
    <w:rsid w:val="001820B6"/>
    <w:rsid w:val="0018215B"/>
    <w:rsid w:val="001822AD"/>
    <w:rsid w:val="00182811"/>
    <w:rsid w:val="00182827"/>
    <w:rsid w:val="00182864"/>
    <w:rsid w:val="001828EE"/>
    <w:rsid w:val="001829DD"/>
    <w:rsid w:val="00182A2F"/>
    <w:rsid w:val="00182A39"/>
    <w:rsid w:val="00182B9B"/>
    <w:rsid w:val="00182BA8"/>
    <w:rsid w:val="00182C33"/>
    <w:rsid w:val="00182C4C"/>
    <w:rsid w:val="00182CEE"/>
    <w:rsid w:val="0018308E"/>
    <w:rsid w:val="00183244"/>
    <w:rsid w:val="001836A2"/>
    <w:rsid w:val="001836DE"/>
    <w:rsid w:val="001839F5"/>
    <w:rsid w:val="00183E9A"/>
    <w:rsid w:val="001840A5"/>
    <w:rsid w:val="001843D5"/>
    <w:rsid w:val="0018463D"/>
    <w:rsid w:val="001847C2"/>
    <w:rsid w:val="001847E0"/>
    <w:rsid w:val="00184A35"/>
    <w:rsid w:val="00184C53"/>
    <w:rsid w:val="00184E74"/>
    <w:rsid w:val="00185789"/>
    <w:rsid w:val="001859D0"/>
    <w:rsid w:val="00185AD0"/>
    <w:rsid w:val="00185BA5"/>
    <w:rsid w:val="00185F32"/>
    <w:rsid w:val="00186041"/>
    <w:rsid w:val="0018659C"/>
    <w:rsid w:val="00186806"/>
    <w:rsid w:val="0018689A"/>
    <w:rsid w:val="001868E5"/>
    <w:rsid w:val="00186B31"/>
    <w:rsid w:val="00186F04"/>
    <w:rsid w:val="00187008"/>
    <w:rsid w:val="001870DE"/>
    <w:rsid w:val="001873A6"/>
    <w:rsid w:val="001873D0"/>
    <w:rsid w:val="001873D3"/>
    <w:rsid w:val="001873F7"/>
    <w:rsid w:val="0018744B"/>
    <w:rsid w:val="00187830"/>
    <w:rsid w:val="00187948"/>
    <w:rsid w:val="00187B68"/>
    <w:rsid w:val="00187EAE"/>
    <w:rsid w:val="00187EC9"/>
    <w:rsid w:val="00187FAC"/>
    <w:rsid w:val="0019012F"/>
    <w:rsid w:val="00190147"/>
    <w:rsid w:val="001901A5"/>
    <w:rsid w:val="00190211"/>
    <w:rsid w:val="001902FA"/>
    <w:rsid w:val="001909F8"/>
    <w:rsid w:val="00190AB8"/>
    <w:rsid w:val="00190DB1"/>
    <w:rsid w:val="00190E14"/>
    <w:rsid w:val="00191067"/>
    <w:rsid w:val="0019108E"/>
    <w:rsid w:val="001910D3"/>
    <w:rsid w:val="00191462"/>
    <w:rsid w:val="0019163A"/>
    <w:rsid w:val="0019167A"/>
    <w:rsid w:val="001917EF"/>
    <w:rsid w:val="001918DD"/>
    <w:rsid w:val="001919ED"/>
    <w:rsid w:val="00191A2F"/>
    <w:rsid w:val="00191D6A"/>
    <w:rsid w:val="00192076"/>
    <w:rsid w:val="00192290"/>
    <w:rsid w:val="001922CF"/>
    <w:rsid w:val="001922F6"/>
    <w:rsid w:val="00192410"/>
    <w:rsid w:val="0019285B"/>
    <w:rsid w:val="0019292E"/>
    <w:rsid w:val="00192ABF"/>
    <w:rsid w:val="00192D79"/>
    <w:rsid w:val="00192E81"/>
    <w:rsid w:val="001931A3"/>
    <w:rsid w:val="0019329A"/>
    <w:rsid w:val="0019345B"/>
    <w:rsid w:val="001937F8"/>
    <w:rsid w:val="001938E8"/>
    <w:rsid w:val="00193916"/>
    <w:rsid w:val="001939C0"/>
    <w:rsid w:val="00193BA4"/>
    <w:rsid w:val="00193CFD"/>
    <w:rsid w:val="0019424F"/>
    <w:rsid w:val="0019474D"/>
    <w:rsid w:val="00194B86"/>
    <w:rsid w:val="00194C99"/>
    <w:rsid w:val="00195265"/>
    <w:rsid w:val="0019531D"/>
    <w:rsid w:val="001953C2"/>
    <w:rsid w:val="001956CF"/>
    <w:rsid w:val="0019570F"/>
    <w:rsid w:val="001957D8"/>
    <w:rsid w:val="001959E5"/>
    <w:rsid w:val="00195D2C"/>
    <w:rsid w:val="00195EC5"/>
    <w:rsid w:val="00196025"/>
    <w:rsid w:val="00196657"/>
    <w:rsid w:val="0019669C"/>
    <w:rsid w:val="001966E2"/>
    <w:rsid w:val="0019680B"/>
    <w:rsid w:val="00196CE8"/>
    <w:rsid w:val="00196EEA"/>
    <w:rsid w:val="00196FF8"/>
    <w:rsid w:val="001970B1"/>
    <w:rsid w:val="001970D6"/>
    <w:rsid w:val="001971AC"/>
    <w:rsid w:val="00197220"/>
    <w:rsid w:val="001972ED"/>
    <w:rsid w:val="00197458"/>
    <w:rsid w:val="00197763"/>
    <w:rsid w:val="0019776E"/>
    <w:rsid w:val="00197BB3"/>
    <w:rsid w:val="00197BCC"/>
    <w:rsid w:val="00197D0E"/>
    <w:rsid w:val="00197DFD"/>
    <w:rsid w:val="00197E96"/>
    <w:rsid w:val="00197FE8"/>
    <w:rsid w:val="001A042B"/>
    <w:rsid w:val="001A0868"/>
    <w:rsid w:val="001A09A3"/>
    <w:rsid w:val="001A09F1"/>
    <w:rsid w:val="001A0F27"/>
    <w:rsid w:val="001A100C"/>
    <w:rsid w:val="001A1385"/>
    <w:rsid w:val="001A1403"/>
    <w:rsid w:val="001A15C5"/>
    <w:rsid w:val="001A1616"/>
    <w:rsid w:val="001A1689"/>
    <w:rsid w:val="001A173C"/>
    <w:rsid w:val="001A187B"/>
    <w:rsid w:val="001A1AC9"/>
    <w:rsid w:val="001A1B04"/>
    <w:rsid w:val="001A1B8D"/>
    <w:rsid w:val="001A1D4E"/>
    <w:rsid w:val="001A1D86"/>
    <w:rsid w:val="001A1F79"/>
    <w:rsid w:val="001A2006"/>
    <w:rsid w:val="001A21BE"/>
    <w:rsid w:val="001A2339"/>
    <w:rsid w:val="001A24A5"/>
    <w:rsid w:val="001A25DD"/>
    <w:rsid w:val="001A2856"/>
    <w:rsid w:val="001A28DC"/>
    <w:rsid w:val="001A2B69"/>
    <w:rsid w:val="001A2C9F"/>
    <w:rsid w:val="001A2E40"/>
    <w:rsid w:val="001A2E57"/>
    <w:rsid w:val="001A31C1"/>
    <w:rsid w:val="001A3268"/>
    <w:rsid w:val="001A375B"/>
    <w:rsid w:val="001A3887"/>
    <w:rsid w:val="001A3A54"/>
    <w:rsid w:val="001A3B3A"/>
    <w:rsid w:val="001A407C"/>
    <w:rsid w:val="001A4513"/>
    <w:rsid w:val="001A496E"/>
    <w:rsid w:val="001A556D"/>
    <w:rsid w:val="001A55E1"/>
    <w:rsid w:val="001A58EB"/>
    <w:rsid w:val="001A5E24"/>
    <w:rsid w:val="001A5F39"/>
    <w:rsid w:val="001A5F44"/>
    <w:rsid w:val="001A5FAA"/>
    <w:rsid w:val="001A69B2"/>
    <w:rsid w:val="001A6A6E"/>
    <w:rsid w:val="001A6C8E"/>
    <w:rsid w:val="001A6D48"/>
    <w:rsid w:val="001A6D79"/>
    <w:rsid w:val="001A7103"/>
    <w:rsid w:val="001A71DB"/>
    <w:rsid w:val="001A72B6"/>
    <w:rsid w:val="001A76AA"/>
    <w:rsid w:val="001A7711"/>
    <w:rsid w:val="001A7772"/>
    <w:rsid w:val="001A7AC5"/>
    <w:rsid w:val="001A7ADA"/>
    <w:rsid w:val="001A7C7A"/>
    <w:rsid w:val="001A7CD1"/>
    <w:rsid w:val="001B0075"/>
    <w:rsid w:val="001B018D"/>
    <w:rsid w:val="001B01F1"/>
    <w:rsid w:val="001B0421"/>
    <w:rsid w:val="001B04E6"/>
    <w:rsid w:val="001B09E3"/>
    <w:rsid w:val="001B0A6A"/>
    <w:rsid w:val="001B0B03"/>
    <w:rsid w:val="001B0D30"/>
    <w:rsid w:val="001B0F08"/>
    <w:rsid w:val="001B11F3"/>
    <w:rsid w:val="001B157B"/>
    <w:rsid w:val="001B15D5"/>
    <w:rsid w:val="001B1979"/>
    <w:rsid w:val="001B19E7"/>
    <w:rsid w:val="001B1B02"/>
    <w:rsid w:val="001B1B92"/>
    <w:rsid w:val="001B1CAF"/>
    <w:rsid w:val="001B1D1A"/>
    <w:rsid w:val="001B1D3A"/>
    <w:rsid w:val="001B1F82"/>
    <w:rsid w:val="001B1FE6"/>
    <w:rsid w:val="001B1FF9"/>
    <w:rsid w:val="001B2014"/>
    <w:rsid w:val="001B228F"/>
    <w:rsid w:val="001B22A1"/>
    <w:rsid w:val="001B2365"/>
    <w:rsid w:val="001B2439"/>
    <w:rsid w:val="001B279D"/>
    <w:rsid w:val="001B2916"/>
    <w:rsid w:val="001B29EC"/>
    <w:rsid w:val="001B2CAA"/>
    <w:rsid w:val="001B2DCA"/>
    <w:rsid w:val="001B334E"/>
    <w:rsid w:val="001B34FD"/>
    <w:rsid w:val="001B35B9"/>
    <w:rsid w:val="001B3790"/>
    <w:rsid w:val="001B37A6"/>
    <w:rsid w:val="001B3E9B"/>
    <w:rsid w:val="001B4193"/>
    <w:rsid w:val="001B426B"/>
    <w:rsid w:val="001B431C"/>
    <w:rsid w:val="001B455D"/>
    <w:rsid w:val="001B4685"/>
    <w:rsid w:val="001B4846"/>
    <w:rsid w:val="001B48E9"/>
    <w:rsid w:val="001B4CD5"/>
    <w:rsid w:val="001B4DAD"/>
    <w:rsid w:val="001B4FB5"/>
    <w:rsid w:val="001B5188"/>
    <w:rsid w:val="001B51CF"/>
    <w:rsid w:val="001B53A9"/>
    <w:rsid w:val="001B53D6"/>
    <w:rsid w:val="001B53DD"/>
    <w:rsid w:val="001B5570"/>
    <w:rsid w:val="001B5941"/>
    <w:rsid w:val="001B597C"/>
    <w:rsid w:val="001B5AE3"/>
    <w:rsid w:val="001B5DDF"/>
    <w:rsid w:val="001B5F58"/>
    <w:rsid w:val="001B5FFA"/>
    <w:rsid w:val="001B60D0"/>
    <w:rsid w:val="001B61F4"/>
    <w:rsid w:val="001B630E"/>
    <w:rsid w:val="001B6723"/>
    <w:rsid w:val="001B6838"/>
    <w:rsid w:val="001B683E"/>
    <w:rsid w:val="001B695A"/>
    <w:rsid w:val="001B6C0C"/>
    <w:rsid w:val="001B6C9C"/>
    <w:rsid w:val="001B6F94"/>
    <w:rsid w:val="001B72B0"/>
    <w:rsid w:val="001B7380"/>
    <w:rsid w:val="001B7427"/>
    <w:rsid w:val="001B7471"/>
    <w:rsid w:val="001B748D"/>
    <w:rsid w:val="001B78DA"/>
    <w:rsid w:val="001B7963"/>
    <w:rsid w:val="001B7C4C"/>
    <w:rsid w:val="001B7C4F"/>
    <w:rsid w:val="001B7E0C"/>
    <w:rsid w:val="001B7FE5"/>
    <w:rsid w:val="001C0045"/>
    <w:rsid w:val="001C0112"/>
    <w:rsid w:val="001C012A"/>
    <w:rsid w:val="001C0193"/>
    <w:rsid w:val="001C03D2"/>
    <w:rsid w:val="001C08A0"/>
    <w:rsid w:val="001C0AC5"/>
    <w:rsid w:val="001C0AFE"/>
    <w:rsid w:val="001C0BC3"/>
    <w:rsid w:val="001C0C0F"/>
    <w:rsid w:val="001C0F82"/>
    <w:rsid w:val="001C0FED"/>
    <w:rsid w:val="001C1060"/>
    <w:rsid w:val="001C13D9"/>
    <w:rsid w:val="001C13F4"/>
    <w:rsid w:val="001C1642"/>
    <w:rsid w:val="001C1690"/>
    <w:rsid w:val="001C19C8"/>
    <w:rsid w:val="001C1A74"/>
    <w:rsid w:val="001C1BA3"/>
    <w:rsid w:val="001C1FD8"/>
    <w:rsid w:val="001C201B"/>
    <w:rsid w:val="001C21E5"/>
    <w:rsid w:val="001C267A"/>
    <w:rsid w:val="001C26E8"/>
    <w:rsid w:val="001C2786"/>
    <w:rsid w:val="001C289A"/>
    <w:rsid w:val="001C2932"/>
    <w:rsid w:val="001C2BEE"/>
    <w:rsid w:val="001C2D5F"/>
    <w:rsid w:val="001C2EBC"/>
    <w:rsid w:val="001C2F4A"/>
    <w:rsid w:val="001C3136"/>
    <w:rsid w:val="001C314B"/>
    <w:rsid w:val="001C31EE"/>
    <w:rsid w:val="001C3313"/>
    <w:rsid w:val="001C358B"/>
    <w:rsid w:val="001C38B3"/>
    <w:rsid w:val="001C3AA6"/>
    <w:rsid w:val="001C3ABC"/>
    <w:rsid w:val="001C3B74"/>
    <w:rsid w:val="001C3B84"/>
    <w:rsid w:val="001C3C74"/>
    <w:rsid w:val="001C3CBE"/>
    <w:rsid w:val="001C3DE9"/>
    <w:rsid w:val="001C3F54"/>
    <w:rsid w:val="001C4027"/>
    <w:rsid w:val="001C40A4"/>
    <w:rsid w:val="001C4112"/>
    <w:rsid w:val="001C43E7"/>
    <w:rsid w:val="001C4997"/>
    <w:rsid w:val="001C4A08"/>
    <w:rsid w:val="001C4B5D"/>
    <w:rsid w:val="001C4E01"/>
    <w:rsid w:val="001C51CC"/>
    <w:rsid w:val="001C541D"/>
    <w:rsid w:val="001C5422"/>
    <w:rsid w:val="001C5537"/>
    <w:rsid w:val="001C56C9"/>
    <w:rsid w:val="001C56F2"/>
    <w:rsid w:val="001C57CB"/>
    <w:rsid w:val="001C5B37"/>
    <w:rsid w:val="001C5BF0"/>
    <w:rsid w:val="001C5C40"/>
    <w:rsid w:val="001C5CEF"/>
    <w:rsid w:val="001C6AF0"/>
    <w:rsid w:val="001C6D2E"/>
    <w:rsid w:val="001C6E05"/>
    <w:rsid w:val="001C70CB"/>
    <w:rsid w:val="001C7157"/>
    <w:rsid w:val="001C72E7"/>
    <w:rsid w:val="001C74A9"/>
    <w:rsid w:val="001C774A"/>
    <w:rsid w:val="001C78DE"/>
    <w:rsid w:val="001C7A66"/>
    <w:rsid w:val="001C7A90"/>
    <w:rsid w:val="001C7B81"/>
    <w:rsid w:val="001C7C42"/>
    <w:rsid w:val="001C7D49"/>
    <w:rsid w:val="001D015B"/>
    <w:rsid w:val="001D05B0"/>
    <w:rsid w:val="001D066D"/>
    <w:rsid w:val="001D0AA5"/>
    <w:rsid w:val="001D0B40"/>
    <w:rsid w:val="001D0DE0"/>
    <w:rsid w:val="001D0EA9"/>
    <w:rsid w:val="001D0F24"/>
    <w:rsid w:val="001D143A"/>
    <w:rsid w:val="001D1490"/>
    <w:rsid w:val="001D1879"/>
    <w:rsid w:val="001D18F3"/>
    <w:rsid w:val="001D1907"/>
    <w:rsid w:val="001D1CB6"/>
    <w:rsid w:val="001D1F0C"/>
    <w:rsid w:val="001D216F"/>
    <w:rsid w:val="001D2294"/>
    <w:rsid w:val="001D2402"/>
    <w:rsid w:val="001D25F9"/>
    <w:rsid w:val="001D2934"/>
    <w:rsid w:val="001D2C81"/>
    <w:rsid w:val="001D2CCF"/>
    <w:rsid w:val="001D30C0"/>
    <w:rsid w:val="001D3161"/>
    <w:rsid w:val="001D3307"/>
    <w:rsid w:val="001D377D"/>
    <w:rsid w:val="001D3825"/>
    <w:rsid w:val="001D3B05"/>
    <w:rsid w:val="001D44F1"/>
    <w:rsid w:val="001D4538"/>
    <w:rsid w:val="001D458D"/>
    <w:rsid w:val="001D4591"/>
    <w:rsid w:val="001D46E1"/>
    <w:rsid w:val="001D4A3C"/>
    <w:rsid w:val="001D4AEE"/>
    <w:rsid w:val="001D4B11"/>
    <w:rsid w:val="001D4D86"/>
    <w:rsid w:val="001D4E61"/>
    <w:rsid w:val="001D4E82"/>
    <w:rsid w:val="001D5074"/>
    <w:rsid w:val="001D5078"/>
    <w:rsid w:val="001D538C"/>
    <w:rsid w:val="001D574A"/>
    <w:rsid w:val="001D584A"/>
    <w:rsid w:val="001D5A20"/>
    <w:rsid w:val="001D5A62"/>
    <w:rsid w:val="001D5B37"/>
    <w:rsid w:val="001D60CB"/>
    <w:rsid w:val="001D62EB"/>
    <w:rsid w:val="001D6357"/>
    <w:rsid w:val="001D665D"/>
    <w:rsid w:val="001D6970"/>
    <w:rsid w:val="001D6F31"/>
    <w:rsid w:val="001D7441"/>
    <w:rsid w:val="001D74FF"/>
    <w:rsid w:val="001D751D"/>
    <w:rsid w:val="001D771F"/>
    <w:rsid w:val="001D7926"/>
    <w:rsid w:val="001D7940"/>
    <w:rsid w:val="001D7B10"/>
    <w:rsid w:val="001D7D56"/>
    <w:rsid w:val="001E0358"/>
    <w:rsid w:val="001E03B0"/>
    <w:rsid w:val="001E03F6"/>
    <w:rsid w:val="001E0CBC"/>
    <w:rsid w:val="001E0D79"/>
    <w:rsid w:val="001E0E35"/>
    <w:rsid w:val="001E0E4E"/>
    <w:rsid w:val="001E12EE"/>
    <w:rsid w:val="001E140D"/>
    <w:rsid w:val="001E1857"/>
    <w:rsid w:val="001E1AC5"/>
    <w:rsid w:val="001E1E4B"/>
    <w:rsid w:val="001E1EA4"/>
    <w:rsid w:val="001E2202"/>
    <w:rsid w:val="001E2508"/>
    <w:rsid w:val="001E28DC"/>
    <w:rsid w:val="001E29DA"/>
    <w:rsid w:val="001E2E0B"/>
    <w:rsid w:val="001E2E95"/>
    <w:rsid w:val="001E2EF2"/>
    <w:rsid w:val="001E2F1D"/>
    <w:rsid w:val="001E3350"/>
    <w:rsid w:val="001E375F"/>
    <w:rsid w:val="001E38BA"/>
    <w:rsid w:val="001E3CC3"/>
    <w:rsid w:val="001E3DA1"/>
    <w:rsid w:val="001E3F1A"/>
    <w:rsid w:val="001E400D"/>
    <w:rsid w:val="001E407C"/>
    <w:rsid w:val="001E41CB"/>
    <w:rsid w:val="001E4296"/>
    <w:rsid w:val="001E493A"/>
    <w:rsid w:val="001E4C1B"/>
    <w:rsid w:val="001E4CF7"/>
    <w:rsid w:val="001E4D7A"/>
    <w:rsid w:val="001E4EAC"/>
    <w:rsid w:val="001E4F26"/>
    <w:rsid w:val="001E5040"/>
    <w:rsid w:val="001E5120"/>
    <w:rsid w:val="001E5156"/>
    <w:rsid w:val="001E5560"/>
    <w:rsid w:val="001E558E"/>
    <w:rsid w:val="001E55F3"/>
    <w:rsid w:val="001E56E4"/>
    <w:rsid w:val="001E611C"/>
    <w:rsid w:val="001E62A3"/>
    <w:rsid w:val="001E66E9"/>
    <w:rsid w:val="001E681D"/>
    <w:rsid w:val="001E69F1"/>
    <w:rsid w:val="001E6BF5"/>
    <w:rsid w:val="001E6C5A"/>
    <w:rsid w:val="001E6DA4"/>
    <w:rsid w:val="001E70BA"/>
    <w:rsid w:val="001E7473"/>
    <w:rsid w:val="001E7511"/>
    <w:rsid w:val="001E7682"/>
    <w:rsid w:val="001E7875"/>
    <w:rsid w:val="001E7885"/>
    <w:rsid w:val="001E790D"/>
    <w:rsid w:val="001E79A0"/>
    <w:rsid w:val="001E7EA7"/>
    <w:rsid w:val="001E7FE6"/>
    <w:rsid w:val="001F0121"/>
    <w:rsid w:val="001F035E"/>
    <w:rsid w:val="001F074F"/>
    <w:rsid w:val="001F08FC"/>
    <w:rsid w:val="001F0962"/>
    <w:rsid w:val="001F0D1B"/>
    <w:rsid w:val="001F0E1F"/>
    <w:rsid w:val="001F0F42"/>
    <w:rsid w:val="001F127B"/>
    <w:rsid w:val="001F1303"/>
    <w:rsid w:val="001F1736"/>
    <w:rsid w:val="001F1930"/>
    <w:rsid w:val="001F1A52"/>
    <w:rsid w:val="001F1C51"/>
    <w:rsid w:val="001F1C6F"/>
    <w:rsid w:val="001F1D0E"/>
    <w:rsid w:val="001F1F42"/>
    <w:rsid w:val="001F23AD"/>
    <w:rsid w:val="001F2606"/>
    <w:rsid w:val="001F26CE"/>
    <w:rsid w:val="001F2783"/>
    <w:rsid w:val="001F2823"/>
    <w:rsid w:val="001F2C80"/>
    <w:rsid w:val="001F2F9D"/>
    <w:rsid w:val="001F3088"/>
    <w:rsid w:val="001F330A"/>
    <w:rsid w:val="001F3444"/>
    <w:rsid w:val="001F3D6D"/>
    <w:rsid w:val="001F3E86"/>
    <w:rsid w:val="001F3F31"/>
    <w:rsid w:val="001F3FAE"/>
    <w:rsid w:val="001F40F2"/>
    <w:rsid w:val="001F412A"/>
    <w:rsid w:val="001F43E3"/>
    <w:rsid w:val="001F4602"/>
    <w:rsid w:val="001F472F"/>
    <w:rsid w:val="001F4749"/>
    <w:rsid w:val="001F4C0A"/>
    <w:rsid w:val="001F4CBF"/>
    <w:rsid w:val="001F4E8B"/>
    <w:rsid w:val="001F5009"/>
    <w:rsid w:val="001F5216"/>
    <w:rsid w:val="001F521B"/>
    <w:rsid w:val="001F59E7"/>
    <w:rsid w:val="001F5A8D"/>
    <w:rsid w:val="001F5BFF"/>
    <w:rsid w:val="001F5D14"/>
    <w:rsid w:val="001F5D39"/>
    <w:rsid w:val="001F5F0A"/>
    <w:rsid w:val="001F60A8"/>
    <w:rsid w:val="001F6368"/>
    <w:rsid w:val="001F6467"/>
    <w:rsid w:val="001F672D"/>
    <w:rsid w:val="001F67EE"/>
    <w:rsid w:val="001F6852"/>
    <w:rsid w:val="001F6BA0"/>
    <w:rsid w:val="001F6EC2"/>
    <w:rsid w:val="001F702A"/>
    <w:rsid w:val="001F7051"/>
    <w:rsid w:val="001F71B8"/>
    <w:rsid w:val="001F720E"/>
    <w:rsid w:val="001F7461"/>
    <w:rsid w:val="001F7650"/>
    <w:rsid w:val="001F769C"/>
    <w:rsid w:val="001F7A8A"/>
    <w:rsid w:val="001F7B4A"/>
    <w:rsid w:val="001F7B51"/>
    <w:rsid w:val="001F7BD0"/>
    <w:rsid w:val="001F7C5E"/>
    <w:rsid w:val="001F7EF1"/>
    <w:rsid w:val="0020033E"/>
    <w:rsid w:val="002003D2"/>
    <w:rsid w:val="002004EA"/>
    <w:rsid w:val="002004F6"/>
    <w:rsid w:val="00200544"/>
    <w:rsid w:val="00200640"/>
    <w:rsid w:val="002006C9"/>
    <w:rsid w:val="002008E3"/>
    <w:rsid w:val="00200C83"/>
    <w:rsid w:val="00200E26"/>
    <w:rsid w:val="002014F3"/>
    <w:rsid w:val="0020198C"/>
    <w:rsid w:val="00201EB0"/>
    <w:rsid w:val="00201F80"/>
    <w:rsid w:val="002026C3"/>
    <w:rsid w:val="00202858"/>
    <w:rsid w:val="00202A05"/>
    <w:rsid w:val="002031B2"/>
    <w:rsid w:val="0020323A"/>
    <w:rsid w:val="002032EC"/>
    <w:rsid w:val="002033F1"/>
    <w:rsid w:val="002034DD"/>
    <w:rsid w:val="0020352C"/>
    <w:rsid w:val="00203974"/>
    <w:rsid w:val="00203B70"/>
    <w:rsid w:val="00203B73"/>
    <w:rsid w:val="00203C07"/>
    <w:rsid w:val="00203C97"/>
    <w:rsid w:val="00203C9A"/>
    <w:rsid w:val="00203F56"/>
    <w:rsid w:val="002040F5"/>
    <w:rsid w:val="00204281"/>
    <w:rsid w:val="002042D0"/>
    <w:rsid w:val="002042FA"/>
    <w:rsid w:val="002043E4"/>
    <w:rsid w:val="00204519"/>
    <w:rsid w:val="0020477A"/>
    <w:rsid w:val="002047B8"/>
    <w:rsid w:val="00204BAC"/>
    <w:rsid w:val="00204BCA"/>
    <w:rsid w:val="00204C69"/>
    <w:rsid w:val="00204CC6"/>
    <w:rsid w:val="00204F1A"/>
    <w:rsid w:val="00204FD4"/>
    <w:rsid w:val="002052D8"/>
    <w:rsid w:val="002054ED"/>
    <w:rsid w:val="0020552E"/>
    <w:rsid w:val="00205648"/>
    <w:rsid w:val="00205750"/>
    <w:rsid w:val="00205752"/>
    <w:rsid w:val="00205913"/>
    <w:rsid w:val="00205A60"/>
    <w:rsid w:val="00205A86"/>
    <w:rsid w:val="00205B1B"/>
    <w:rsid w:val="00205B7B"/>
    <w:rsid w:val="00205C55"/>
    <w:rsid w:val="002063D0"/>
    <w:rsid w:val="00206680"/>
    <w:rsid w:val="0020705F"/>
    <w:rsid w:val="002073A9"/>
    <w:rsid w:val="0020783B"/>
    <w:rsid w:val="00207873"/>
    <w:rsid w:val="002078F3"/>
    <w:rsid w:val="00207ABA"/>
    <w:rsid w:val="00207AFF"/>
    <w:rsid w:val="00207EB0"/>
    <w:rsid w:val="00207F52"/>
    <w:rsid w:val="00207F84"/>
    <w:rsid w:val="0021048D"/>
    <w:rsid w:val="00210577"/>
    <w:rsid w:val="002105B3"/>
    <w:rsid w:val="0021064A"/>
    <w:rsid w:val="00210765"/>
    <w:rsid w:val="002107D1"/>
    <w:rsid w:val="00210E83"/>
    <w:rsid w:val="002110BB"/>
    <w:rsid w:val="00211214"/>
    <w:rsid w:val="0021159A"/>
    <w:rsid w:val="002117D0"/>
    <w:rsid w:val="00211A78"/>
    <w:rsid w:val="00211C51"/>
    <w:rsid w:val="00211C53"/>
    <w:rsid w:val="00211CA6"/>
    <w:rsid w:val="002123FE"/>
    <w:rsid w:val="00212697"/>
    <w:rsid w:val="00212914"/>
    <w:rsid w:val="00212D93"/>
    <w:rsid w:val="0021313A"/>
    <w:rsid w:val="002136E8"/>
    <w:rsid w:val="002139E1"/>
    <w:rsid w:val="00213B27"/>
    <w:rsid w:val="00213BA5"/>
    <w:rsid w:val="00213FD2"/>
    <w:rsid w:val="00214045"/>
    <w:rsid w:val="00214414"/>
    <w:rsid w:val="00214846"/>
    <w:rsid w:val="00214A7E"/>
    <w:rsid w:val="00214AC7"/>
    <w:rsid w:val="00214B56"/>
    <w:rsid w:val="00214CA1"/>
    <w:rsid w:val="00214CAE"/>
    <w:rsid w:val="00214D30"/>
    <w:rsid w:val="00214E06"/>
    <w:rsid w:val="00214EE8"/>
    <w:rsid w:val="00215122"/>
    <w:rsid w:val="00215159"/>
    <w:rsid w:val="0021533D"/>
    <w:rsid w:val="00215364"/>
    <w:rsid w:val="00215672"/>
    <w:rsid w:val="00215722"/>
    <w:rsid w:val="00215749"/>
    <w:rsid w:val="00215AC6"/>
    <w:rsid w:val="00215CED"/>
    <w:rsid w:val="00215E49"/>
    <w:rsid w:val="00215E4B"/>
    <w:rsid w:val="00215E99"/>
    <w:rsid w:val="00215F2E"/>
    <w:rsid w:val="002163E2"/>
    <w:rsid w:val="00216558"/>
    <w:rsid w:val="0021665D"/>
    <w:rsid w:val="00216661"/>
    <w:rsid w:val="0021678C"/>
    <w:rsid w:val="00216980"/>
    <w:rsid w:val="00216AB9"/>
    <w:rsid w:val="00216BDD"/>
    <w:rsid w:val="00216C67"/>
    <w:rsid w:val="00216C8C"/>
    <w:rsid w:val="00217098"/>
    <w:rsid w:val="002170C9"/>
    <w:rsid w:val="00217131"/>
    <w:rsid w:val="002172B6"/>
    <w:rsid w:val="0021736A"/>
    <w:rsid w:val="002174AE"/>
    <w:rsid w:val="0021758F"/>
    <w:rsid w:val="002177D1"/>
    <w:rsid w:val="00217C6F"/>
    <w:rsid w:val="00217CE6"/>
    <w:rsid w:val="00217DD4"/>
    <w:rsid w:val="00217F16"/>
    <w:rsid w:val="0021DD2D"/>
    <w:rsid w:val="00220514"/>
    <w:rsid w:val="002207F6"/>
    <w:rsid w:val="00220842"/>
    <w:rsid w:val="0022087A"/>
    <w:rsid w:val="00220C8D"/>
    <w:rsid w:val="00220CB5"/>
    <w:rsid w:val="00220E1B"/>
    <w:rsid w:val="002211FC"/>
    <w:rsid w:val="0022132D"/>
    <w:rsid w:val="00221499"/>
    <w:rsid w:val="002216EE"/>
    <w:rsid w:val="0022194D"/>
    <w:rsid w:val="00221C6C"/>
    <w:rsid w:val="00221D17"/>
    <w:rsid w:val="0022239D"/>
    <w:rsid w:val="002227FE"/>
    <w:rsid w:val="002229B9"/>
    <w:rsid w:val="00222D05"/>
    <w:rsid w:val="00222DAD"/>
    <w:rsid w:val="00222E1C"/>
    <w:rsid w:val="00222F78"/>
    <w:rsid w:val="00222FF2"/>
    <w:rsid w:val="00223352"/>
    <w:rsid w:val="00223546"/>
    <w:rsid w:val="00223703"/>
    <w:rsid w:val="00223870"/>
    <w:rsid w:val="002238CC"/>
    <w:rsid w:val="00223C42"/>
    <w:rsid w:val="00223E26"/>
    <w:rsid w:val="002241FE"/>
    <w:rsid w:val="0022450C"/>
    <w:rsid w:val="002245F9"/>
    <w:rsid w:val="00224635"/>
    <w:rsid w:val="002247EA"/>
    <w:rsid w:val="0022487A"/>
    <w:rsid w:val="00224918"/>
    <w:rsid w:val="00224E84"/>
    <w:rsid w:val="00224EBA"/>
    <w:rsid w:val="00224ED9"/>
    <w:rsid w:val="002250A7"/>
    <w:rsid w:val="002250AD"/>
    <w:rsid w:val="002250D7"/>
    <w:rsid w:val="002252C5"/>
    <w:rsid w:val="00225315"/>
    <w:rsid w:val="002254CC"/>
    <w:rsid w:val="00225659"/>
    <w:rsid w:val="00225885"/>
    <w:rsid w:val="00225938"/>
    <w:rsid w:val="00225971"/>
    <w:rsid w:val="002259E4"/>
    <w:rsid w:val="00225C50"/>
    <w:rsid w:val="00225C9E"/>
    <w:rsid w:val="00225CC2"/>
    <w:rsid w:val="00225D67"/>
    <w:rsid w:val="00225DC2"/>
    <w:rsid w:val="00225E08"/>
    <w:rsid w:val="00225ED5"/>
    <w:rsid w:val="00226098"/>
    <w:rsid w:val="00226258"/>
    <w:rsid w:val="002268C2"/>
    <w:rsid w:val="00226954"/>
    <w:rsid w:val="00226988"/>
    <w:rsid w:val="00226A36"/>
    <w:rsid w:val="00227145"/>
    <w:rsid w:val="00227486"/>
    <w:rsid w:val="002275A8"/>
    <w:rsid w:val="002275C8"/>
    <w:rsid w:val="00227673"/>
    <w:rsid w:val="0022778A"/>
    <w:rsid w:val="002278F2"/>
    <w:rsid w:val="00227BCC"/>
    <w:rsid w:val="00227BF8"/>
    <w:rsid w:val="00227D09"/>
    <w:rsid w:val="00227F82"/>
    <w:rsid w:val="00230124"/>
    <w:rsid w:val="002302B5"/>
    <w:rsid w:val="00230377"/>
    <w:rsid w:val="00230609"/>
    <w:rsid w:val="002306BF"/>
    <w:rsid w:val="00230733"/>
    <w:rsid w:val="00230B16"/>
    <w:rsid w:val="00230B5A"/>
    <w:rsid w:val="00230B8E"/>
    <w:rsid w:val="00230E77"/>
    <w:rsid w:val="00230F8E"/>
    <w:rsid w:val="00231018"/>
    <w:rsid w:val="00231022"/>
    <w:rsid w:val="00231398"/>
    <w:rsid w:val="0023196A"/>
    <w:rsid w:val="002319E0"/>
    <w:rsid w:val="00231B85"/>
    <w:rsid w:val="00231F7F"/>
    <w:rsid w:val="002323A5"/>
    <w:rsid w:val="0023277A"/>
    <w:rsid w:val="0023282E"/>
    <w:rsid w:val="00232AB4"/>
    <w:rsid w:val="00232AE1"/>
    <w:rsid w:val="00232AFE"/>
    <w:rsid w:val="00232CA0"/>
    <w:rsid w:val="00232F6A"/>
    <w:rsid w:val="002331E2"/>
    <w:rsid w:val="002333A5"/>
    <w:rsid w:val="002333A7"/>
    <w:rsid w:val="00233591"/>
    <w:rsid w:val="00233825"/>
    <w:rsid w:val="00233901"/>
    <w:rsid w:val="00233C99"/>
    <w:rsid w:val="002340CF"/>
    <w:rsid w:val="002341AF"/>
    <w:rsid w:val="00234205"/>
    <w:rsid w:val="002344C1"/>
    <w:rsid w:val="0023458F"/>
    <w:rsid w:val="00234669"/>
    <w:rsid w:val="00234733"/>
    <w:rsid w:val="00234A15"/>
    <w:rsid w:val="00234BAF"/>
    <w:rsid w:val="00234D4F"/>
    <w:rsid w:val="00234FED"/>
    <w:rsid w:val="002353D3"/>
    <w:rsid w:val="002356B4"/>
    <w:rsid w:val="002356E1"/>
    <w:rsid w:val="00235796"/>
    <w:rsid w:val="00235D68"/>
    <w:rsid w:val="00235F29"/>
    <w:rsid w:val="00235F41"/>
    <w:rsid w:val="002363CF"/>
    <w:rsid w:val="00236494"/>
    <w:rsid w:val="002364A5"/>
    <w:rsid w:val="00236551"/>
    <w:rsid w:val="0023670E"/>
    <w:rsid w:val="0023689D"/>
    <w:rsid w:val="00236AE1"/>
    <w:rsid w:val="00236C7A"/>
    <w:rsid w:val="00236D44"/>
    <w:rsid w:val="00236FEF"/>
    <w:rsid w:val="002372A2"/>
    <w:rsid w:val="00237365"/>
    <w:rsid w:val="00237521"/>
    <w:rsid w:val="0023772D"/>
    <w:rsid w:val="002377A7"/>
    <w:rsid w:val="002378CD"/>
    <w:rsid w:val="002378E7"/>
    <w:rsid w:val="00237C58"/>
    <w:rsid w:val="002402CA"/>
    <w:rsid w:val="0024037E"/>
    <w:rsid w:val="002403AC"/>
    <w:rsid w:val="00240459"/>
    <w:rsid w:val="002405C6"/>
    <w:rsid w:val="0024086B"/>
    <w:rsid w:val="00240A60"/>
    <w:rsid w:val="00240BF1"/>
    <w:rsid w:val="00240C6B"/>
    <w:rsid w:val="00240E94"/>
    <w:rsid w:val="00240EB0"/>
    <w:rsid w:val="00240FB2"/>
    <w:rsid w:val="002410C2"/>
    <w:rsid w:val="00241488"/>
    <w:rsid w:val="002414F0"/>
    <w:rsid w:val="002417EA"/>
    <w:rsid w:val="00241AF0"/>
    <w:rsid w:val="00241CCB"/>
    <w:rsid w:val="00242015"/>
    <w:rsid w:val="00242039"/>
    <w:rsid w:val="00242299"/>
    <w:rsid w:val="002426ED"/>
    <w:rsid w:val="00242879"/>
    <w:rsid w:val="002428D6"/>
    <w:rsid w:val="00242931"/>
    <w:rsid w:val="00242C20"/>
    <w:rsid w:val="00242DBE"/>
    <w:rsid w:val="00242F98"/>
    <w:rsid w:val="00243598"/>
    <w:rsid w:val="00244260"/>
    <w:rsid w:val="002442E1"/>
    <w:rsid w:val="002444B2"/>
    <w:rsid w:val="0024456E"/>
    <w:rsid w:val="0024465C"/>
    <w:rsid w:val="0024467F"/>
    <w:rsid w:val="0024479E"/>
    <w:rsid w:val="00244FF3"/>
    <w:rsid w:val="0024500F"/>
    <w:rsid w:val="00245151"/>
    <w:rsid w:val="00245421"/>
    <w:rsid w:val="002455A0"/>
    <w:rsid w:val="002458C0"/>
    <w:rsid w:val="00245A95"/>
    <w:rsid w:val="00245B2C"/>
    <w:rsid w:val="00245BFB"/>
    <w:rsid w:val="00245EC9"/>
    <w:rsid w:val="002460FB"/>
    <w:rsid w:val="00246474"/>
    <w:rsid w:val="00246489"/>
    <w:rsid w:val="00246515"/>
    <w:rsid w:val="002467BB"/>
    <w:rsid w:val="00246884"/>
    <w:rsid w:val="00246982"/>
    <w:rsid w:val="00246B96"/>
    <w:rsid w:val="00246BE3"/>
    <w:rsid w:val="00246D0C"/>
    <w:rsid w:val="00246E9D"/>
    <w:rsid w:val="0024728D"/>
    <w:rsid w:val="00247343"/>
    <w:rsid w:val="00247843"/>
    <w:rsid w:val="00247A2B"/>
    <w:rsid w:val="00247A33"/>
    <w:rsid w:val="00247AD2"/>
    <w:rsid w:val="00247CCA"/>
    <w:rsid w:val="00247D07"/>
    <w:rsid w:val="00250167"/>
    <w:rsid w:val="00250B40"/>
    <w:rsid w:val="00250BC4"/>
    <w:rsid w:val="00250DF4"/>
    <w:rsid w:val="0025103F"/>
    <w:rsid w:val="0025125B"/>
    <w:rsid w:val="00251417"/>
    <w:rsid w:val="002517AE"/>
    <w:rsid w:val="00251824"/>
    <w:rsid w:val="002518DF"/>
    <w:rsid w:val="00251C39"/>
    <w:rsid w:val="00251C43"/>
    <w:rsid w:val="00251EFD"/>
    <w:rsid w:val="00251F8C"/>
    <w:rsid w:val="002520CB"/>
    <w:rsid w:val="002521E2"/>
    <w:rsid w:val="00252286"/>
    <w:rsid w:val="00252425"/>
    <w:rsid w:val="002526B3"/>
    <w:rsid w:val="0025295F"/>
    <w:rsid w:val="00252A19"/>
    <w:rsid w:val="00252B19"/>
    <w:rsid w:val="00253057"/>
    <w:rsid w:val="002530A4"/>
    <w:rsid w:val="002532BA"/>
    <w:rsid w:val="00253B7A"/>
    <w:rsid w:val="00253DFD"/>
    <w:rsid w:val="00253F15"/>
    <w:rsid w:val="00254021"/>
    <w:rsid w:val="002540BF"/>
    <w:rsid w:val="0025430B"/>
    <w:rsid w:val="00254373"/>
    <w:rsid w:val="002543B0"/>
    <w:rsid w:val="00254478"/>
    <w:rsid w:val="00254557"/>
    <w:rsid w:val="00254863"/>
    <w:rsid w:val="0025492C"/>
    <w:rsid w:val="00254BF6"/>
    <w:rsid w:val="00254DA2"/>
    <w:rsid w:val="00255131"/>
    <w:rsid w:val="00255163"/>
    <w:rsid w:val="002552D6"/>
    <w:rsid w:val="00255465"/>
    <w:rsid w:val="002556E8"/>
    <w:rsid w:val="00255C3C"/>
    <w:rsid w:val="00255D00"/>
    <w:rsid w:val="00255F47"/>
    <w:rsid w:val="00256269"/>
    <w:rsid w:val="00256AE1"/>
    <w:rsid w:val="00256B07"/>
    <w:rsid w:val="00256B45"/>
    <w:rsid w:val="00256B71"/>
    <w:rsid w:val="00256BF7"/>
    <w:rsid w:val="00256FFD"/>
    <w:rsid w:val="00257195"/>
    <w:rsid w:val="0025737B"/>
    <w:rsid w:val="002574A2"/>
    <w:rsid w:val="002576E0"/>
    <w:rsid w:val="00257915"/>
    <w:rsid w:val="0025798B"/>
    <w:rsid w:val="002579F9"/>
    <w:rsid w:val="00257CD0"/>
    <w:rsid w:val="00260001"/>
    <w:rsid w:val="00260113"/>
    <w:rsid w:val="00260249"/>
    <w:rsid w:val="002603AD"/>
    <w:rsid w:val="00260417"/>
    <w:rsid w:val="0026091A"/>
    <w:rsid w:val="002609B3"/>
    <w:rsid w:val="00260C60"/>
    <w:rsid w:val="00260DA4"/>
    <w:rsid w:val="0026158E"/>
    <w:rsid w:val="00261600"/>
    <w:rsid w:val="0026184F"/>
    <w:rsid w:val="00261D28"/>
    <w:rsid w:val="00262111"/>
    <w:rsid w:val="0026227B"/>
    <w:rsid w:val="002623BD"/>
    <w:rsid w:val="00262436"/>
    <w:rsid w:val="00262593"/>
    <w:rsid w:val="002625B4"/>
    <w:rsid w:val="00262812"/>
    <w:rsid w:val="002629D8"/>
    <w:rsid w:val="002629F9"/>
    <w:rsid w:val="00262AF0"/>
    <w:rsid w:val="00262F41"/>
    <w:rsid w:val="0026340C"/>
    <w:rsid w:val="0026358F"/>
    <w:rsid w:val="00263722"/>
    <w:rsid w:val="00263B74"/>
    <w:rsid w:val="00263E81"/>
    <w:rsid w:val="00263EB4"/>
    <w:rsid w:val="00264007"/>
    <w:rsid w:val="0026409A"/>
    <w:rsid w:val="0026426A"/>
    <w:rsid w:val="002648A9"/>
    <w:rsid w:val="00264AEA"/>
    <w:rsid w:val="00264D0B"/>
    <w:rsid w:val="00264D2C"/>
    <w:rsid w:val="00264D54"/>
    <w:rsid w:val="00264F4A"/>
    <w:rsid w:val="00265040"/>
    <w:rsid w:val="0026507C"/>
    <w:rsid w:val="002655C3"/>
    <w:rsid w:val="00265880"/>
    <w:rsid w:val="002658C1"/>
    <w:rsid w:val="002661EB"/>
    <w:rsid w:val="002663BB"/>
    <w:rsid w:val="002664BC"/>
    <w:rsid w:val="002665F0"/>
    <w:rsid w:val="002667EC"/>
    <w:rsid w:val="00267040"/>
    <w:rsid w:val="002672B0"/>
    <w:rsid w:val="00267472"/>
    <w:rsid w:val="002679CB"/>
    <w:rsid w:val="00267C36"/>
    <w:rsid w:val="00267CFD"/>
    <w:rsid w:val="00270047"/>
    <w:rsid w:val="00270141"/>
    <w:rsid w:val="0027018C"/>
    <w:rsid w:val="002701E6"/>
    <w:rsid w:val="00270412"/>
    <w:rsid w:val="00270518"/>
    <w:rsid w:val="00270527"/>
    <w:rsid w:val="00270C64"/>
    <w:rsid w:val="00270C84"/>
    <w:rsid w:val="00270D57"/>
    <w:rsid w:val="00271005"/>
    <w:rsid w:val="00271012"/>
    <w:rsid w:val="00271266"/>
    <w:rsid w:val="002712F5"/>
    <w:rsid w:val="002716F2"/>
    <w:rsid w:val="0027184C"/>
    <w:rsid w:val="00271A06"/>
    <w:rsid w:val="00271AF6"/>
    <w:rsid w:val="00271DB3"/>
    <w:rsid w:val="00271F4D"/>
    <w:rsid w:val="00272176"/>
    <w:rsid w:val="00272565"/>
    <w:rsid w:val="002727E5"/>
    <w:rsid w:val="00272AFC"/>
    <w:rsid w:val="00272CB3"/>
    <w:rsid w:val="00272EFA"/>
    <w:rsid w:val="00272FAA"/>
    <w:rsid w:val="002731B2"/>
    <w:rsid w:val="002731C8"/>
    <w:rsid w:val="002734A2"/>
    <w:rsid w:val="00273C70"/>
    <w:rsid w:val="00273CB8"/>
    <w:rsid w:val="00273E97"/>
    <w:rsid w:val="00274241"/>
    <w:rsid w:val="0027434B"/>
    <w:rsid w:val="0027456C"/>
    <w:rsid w:val="00274EA2"/>
    <w:rsid w:val="00274FC4"/>
    <w:rsid w:val="002751FC"/>
    <w:rsid w:val="00275356"/>
    <w:rsid w:val="002755E3"/>
    <w:rsid w:val="00275B1E"/>
    <w:rsid w:val="00275B2A"/>
    <w:rsid w:val="00275C12"/>
    <w:rsid w:val="00275DFC"/>
    <w:rsid w:val="00276370"/>
    <w:rsid w:val="00276662"/>
    <w:rsid w:val="002766CE"/>
    <w:rsid w:val="00276716"/>
    <w:rsid w:val="00276916"/>
    <w:rsid w:val="0027696F"/>
    <w:rsid w:val="00276BD0"/>
    <w:rsid w:val="00276C81"/>
    <w:rsid w:val="002771E6"/>
    <w:rsid w:val="002773C0"/>
    <w:rsid w:val="00277796"/>
    <w:rsid w:val="002777AA"/>
    <w:rsid w:val="002779F0"/>
    <w:rsid w:val="00277C5F"/>
    <w:rsid w:val="00277CBE"/>
    <w:rsid w:val="0028018F"/>
    <w:rsid w:val="00280347"/>
    <w:rsid w:val="0028041F"/>
    <w:rsid w:val="0028047E"/>
    <w:rsid w:val="002807B2"/>
    <w:rsid w:val="002808A8"/>
    <w:rsid w:val="00280BEE"/>
    <w:rsid w:val="00280FE4"/>
    <w:rsid w:val="002812DF"/>
    <w:rsid w:val="00281439"/>
    <w:rsid w:val="002816EB"/>
    <w:rsid w:val="00281848"/>
    <w:rsid w:val="00281B65"/>
    <w:rsid w:val="00281DD9"/>
    <w:rsid w:val="00281EF4"/>
    <w:rsid w:val="00281F0B"/>
    <w:rsid w:val="002824BE"/>
    <w:rsid w:val="002828C3"/>
    <w:rsid w:val="00282E13"/>
    <w:rsid w:val="00282E5B"/>
    <w:rsid w:val="0028314F"/>
    <w:rsid w:val="00283424"/>
    <w:rsid w:val="0028350C"/>
    <w:rsid w:val="00283742"/>
    <w:rsid w:val="00283811"/>
    <w:rsid w:val="00283970"/>
    <w:rsid w:val="00283BA4"/>
    <w:rsid w:val="00283F2F"/>
    <w:rsid w:val="00283FC5"/>
    <w:rsid w:val="00284066"/>
    <w:rsid w:val="00284368"/>
    <w:rsid w:val="00284606"/>
    <w:rsid w:val="002847D6"/>
    <w:rsid w:val="00284A8E"/>
    <w:rsid w:val="00284D48"/>
    <w:rsid w:val="00284E33"/>
    <w:rsid w:val="00284EDF"/>
    <w:rsid w:val="00285093"/>
    <w:rsid w:val="0028540F"/>
    <w:rsid w:val="0028547D"/>
    <w:rsid w:val="002855E2"/>
    <w:rsid w:val="00285601"/>
    <w:rsid w:val="0028576B"/>
    <w:rsid w:val="00285AEE"/>
    <w:rsid w:val="00285E5C"/>
    <w:rsid w:val="00285E6E"/>
    <w:rsid w:val="00285F2B"/>
    <w:rsid w:val="00285F5A"/>
    <w:rsid w:val="0028608E"/>
    <w:rsid w:val="00286431"/>
    <w:rsid w:val="00286612"/>
    <w:rsid w:val="00286618"/>
    <w:rsid w:val="0028681D"/>
    <w:rsid w:val="00286B4D"/>
    <w:rsid w:val="00286C86"/>
    <w:rsid w:val="00286CCC"/>
    <w:rsid w:val="00286CF6"/>
    <w:rsid w:val="00286E55"/>
    <w:rsid w:val="002870C4"/>
    <w:rsid w:val="0028727E"/>
    <w:rsid w:val="00287598"/>
    <w:rsid w:val="0028779E"/>
    <w:rsid w:val="00287829"/>
    <w:rsid w:val="00287C72"/>
    <w:rsid w:val="00287E90"/>
    <w:rsid w:val="00287F64"/>
    <w:rsid w:val="0029009B"/>
    <w:rsid w:val="0029066C"/>
    <w:rsid w:val="00290796"/>
    <w:rsid w:val="002909BB"/>
    <w:rsid w:val="00290C1A"/>
    <w:rsid w:val="00290CAA"/>
    <w:rsid w:val="00290E0E"/>
    <w:rsid w:val="00290F13"/>
    <w:rsid w:val="00290F50"/>
    <w:rsid w:val="0029112E"/>
    <w:rsid w:val="002914D6"/>
    <w:rsid w:val="00291530"/>
    <w:rsid w:val="00291A43"/>
    <w:rsid w:val="00291C2C"/>
    <w:rsid w:val="00291EBB"/>
    <w:rsid w:val="0029200A"/>
    <w:rsid w:val="0029205C"/>
    <w:rsid w:val="0029232E"/>
    <w:rsid w:val="00292439"/>
    <w:rsid w:val="00292448"/>
    <w:rsid w:val="002924AC"/>
    <w:rsid w:val="002926FF"/>
    <w:rsid w:val="002928F6"/>
    <w:rsid w:val="00292943"/>
    <w:rsid w:val="00292BDE"/>
    <w:rsid w:val="00292D72"/>
    <w:rsid w:val="00292F75"/>
    <w:rsid w:val="002933C1"/>
    <w:rsid w:val="00293710"/>
    <w:rsid w:val="0029387A"/>
    <w:rsid w:val="002938B2"/>
    <w:rsid w:val="00293CD5"/>
    <w:rsid w:val="00293FA1"/>
    <w:rsid w:val="00294291"/>
    <w:rsid w:val="002943E4"/>
    <w:rsid w:val="0029462C"/>
    <w:rsid w:val="002949AB"/>
    <w:rsid w:val="00294AD2"/>
    <w:rsid w:val="00294AF8"/>
    <w:rsid w:val="00294C23"/>
    <w:rsid w:val="00294CAF"/>
    <w:rsid w:val="00294CF8"/>
    <w:rsid w:val="00294DDC"/>
    <w:rsid w:val="00294EB6"/>
    <w:rsid w:val="00294EDD"/>
    <w:rsid w:val="00294FA5"/>
    <w:rsid w:val="00295180"/>
    <w:rsid w:val="00295190"/>
    <w:rsid w:val="002953DB"/>
    <w:rsid w:val="0029582E"/>
    <w:rsid w:val="00296099"/>
    <w:rsid w:val="002960CC"/>
    <w:rsid w:val="002960E7"/>
    <w:rsid w:val="0029674B"/>
    <w:rsid w:val="00296911"/>
    <w:rsid w:val="00296A47"/>
    <w:rsid w:val="00296B9F"/>
    <w:rsid w:val="00296F35"/>
    <w:rsid w:val="00296FF6"/>
    <w:rsid w:val="002970DE"/>
    <w:rsid w:val="002973FB"/>
    <w:rsid w:val="00297519"/>
    <w:rsid w:val="00297664"/>
    <w:rsid w:val="00297817"/>
    <w:rsid w:val="00297CA7"/>
    <w:rsid w:val="00297CF1"/>
    <w:rsid w:val="002A0201"/>
    <w:rsid w:val="002A044F"/>
    <w:rsid w:val="002A06AD"/>
    <w:rsid w:val="002A06E5"/>
    <w:rsid w:val="002A06EF"/>
    <w:rsid w:val="002A0827"/>
    <w:rsid w:val="002A0854"/>
    <w:rsid w:val="002A0860"/>
    <w:rsid w:val="002A0B7D"/>
    <w:rsid w:val="002A0C15"/>
    <w:rsid w:val="002A1003"/>
    <w:rsid w:val="002A10B7"/>
    <w:rsid w:val="002A10EA"/>
    <w:rsid w:val="002A1353"/>
    <w:rsid w:val="002A1366"/>
    <w:rsid w:val="002A18D1"/>
    <w:rsid w:val="002A1B94"/>
    <w:rsid w:val="002A1DDE"/>
    <w:rsid w:val="002A1EB1"/>
    <w:rsid w:val="002A2052"/>
    <w:rsid w:val="002A20A9"/>
    <w:rsid w:val="002A21DC"/>
    <w:rsid w:val="002A22BA"/>
    <w:rsid w:val="002A2387"/>
    <w:rsid w:val="002A2421"/>
    <w:rsid w:val="002A264F"/>
    <w:rsid w:val="002A266D"/>
    <w:rsid w:val="002A27F5"/>
    <w:rsid w:val="002A29A4"/>
    <w:rsid w:val="002A2BB6"/>
    <w:rsid w:val="002A2D4B"/>
    <w:rsid w:val="002A2E04"/>
    <w:rsid w:val="002A33F1"/>
    <w:rsid w:val="002A34AE"/>
    <w:rsid w:val="002A35A3"/>
    <w:rsid w:val="002A38E5"/>
    <w:rsid w:val="002A38EF"/>
    <w:rsid w:val="002A3ED6"/>
    <w:rsid w:val="002A435A"/>
    <w:rsid w:val="002A439E"/>
    <w:rsid w:val="002A45CD"/>
    <w:rsid w:val="002A4664"/>
    <w:rsid w:val="002A4780"/>
    <w:rsid w:val="002A4866"/>
    <w:rsid w:val="002A4975"/>
    <w:rsid w:val="002A4BDF"/>
    <w:rsid w:val="002A4D4B"/>
    <w:rsid w:val="002A4F6B"/>
    <w:rsid w:val="002A4FF0"/>
    <w:rsid w:val="002A51E1"/>
    <w:rsid w:val="002A555F"/>
    <w:rsid w:val="002A585A"/>
    <w:rsid w:val="002A5965"/>
    <w:rsid w:val="002A5B36"/>
    <w:rsid w:val="002A6008"/>
    <w:rsid w:val="002A60A1"/>
    <w:rsid w:val="002A6241"/>
    <w:rsid w:val="002A632F"/>
    <w:rsid w:val="002A637F"/>
    <w:rsid w:val="002A65BC"/>
    <w:rsid w:val="002A6734"/>
    <w:rsid w:val="002A6931"/>
    <w:rsid w:val="002A6B16"/>
    <w:rsid w:val="002A6DC4"/>
    <w:rsid w:val="002A6F86"/>
    <w:rsid w:val="002A704B"/>
    <w:rsid w:val="002A723A"/>
    <w:rsid w:val="002A7496"/>
    <w:rsid w:val="002A77AF"/>
    <w:rsid w:val="002A792E"/>
    <w:rsid w:val="002A7A05"/>
    <w:rsid w:val="002A7D89"/>
    <w:rsid w:val="002B004F"/>
    <w:rsid w:val="002B03CE"/>
    <w:rsid w:val="002B0493"/>
    <w:rsid w:val="002B04E3"/>
    <w:rsid w:val="002B05BD"/>
    <w:rsid w:val="002B0786"/>
    <w:rsid w:val="002B0A29"/>
    <w:rsid w:val="002B1080"/>
    <w:rsid w:val="002B19EF"/>
    <w:rsid w:val="002B1AC4"/>
    <w:rsid w:val="002B2041"/>
    <w:rsid w:val="002B21CD"/>
    <w:rsid w:val="002B2495"/>
    <w:rsid w:val="002B25D2"/>
    <w:rsid w:val="002B276D"/>
    <w:rsid w:val="002B276E"/>
    <w:rsid w:val="002B2BC6"/>
    <w:rsid w:val="002B2BFA"/>
    <w:rsid w:val="002B2C9F"/>
    <w:rsid w:val="002B2D50"/>
    <w:rsid w:val="002B2EC9"/>
    <w:rsid w:val="002B2EF5"/>
    <w:rsid w:val="002B3011"/>
    <w:rsid w:val="002B31D5"/>
    <w:rsid w:val="002B3485"/>
    <w:rsid w:val="002B3492"/>
    <w:rsid w:val="002B35E0"/>
    <w:rsid w:val="002B3757"/>
    <w:rsid w:val="002B386D"/>
    <w:rsid w:val="002B39B5"/>
    <w:rsid w:val="002B39BA"/>
    <w:rsid w:val="002B3DBC"/>
    <w:rsid w:val="002B3E1C"/>
    <w:rsid w:val="002B3EA8"/>
    <w:rsid w:val="002B3F51"/>
    <w:rsid w:val="002B3FFF"/>
    <w:rsid w:val="002B4186"/>
    <w:rsid w:val="002B42C9"/>
    <w:rsid w:val="002B43B3"/>
    <w:rsid w:val="002B43BA"/>
    <w:rsid w:val="002B47C8"/>
    <w:rsid w:val="002B4869"/>
    <w:rsid w:val="002B48DE"/>
    <w:rsid w:val="002B493F"/>
    <w:rsid w:val="002B4DA4"/>
    <w:rsid w:val="002B51AD"/>
    <w:rsid w:val="002B5241"/>
    <w:rsid w:val="002B52F7"/>
    <w:rsid w:val="002B5380"/>
    <w:rsid w:val="002B57A1"/>
    <w:rsid w:val="002B593B"/>
    <w:rsid w:val="002B5D1B"/>
    <w:rsid w:val="002B621A"/>
    <w:rsid w:val="002B62B3"/>
    <w:rsid w:val="002B6716"/>
    <w:rsid w:val="002B6894"/>
    <w:rsid w:val="002B6AD1"/>
    <w:rsid w:val="002B6AEF"/>
    <w:rsid w:val="002B6F84"/>
    <w:rsid w:val="002B7002"/>
    <w:rsid w:val="002B711A"/>
    <w:rsid w:val="002B7269"/>
    <w:rsid w:val="002B72EA"/>
    <w:rsid w:val="002B7595"/>
    <w:rsid w:val="002C02F7"/>
    <w:rsid w:val="002C0376"/>
    <w:rsid w:val="002C0603"/>
    <w:rsid w:val="002C0ACB"/>
    <w:rsid w:val="002C0B53"/>
    <w:rsid w:val="002C0CB9"/>
    <w:rsid w:val="002C0D20"/>
    <w:rsid w:val="002C0D4B"/>
    <w:rsid w:val="002C0F95"/>
    <w:rsid w:val="002C119A"/>
    <w:rsid w:val="002C13BF"/>
    <w:rsid w:val="002C14C7"/>
    <w:rsid w:val="002C1611"/>
    <w:rsid w:val="002C16C9"/>
    <w:rsid w:val="002C1716"/>
    <w:rsid w:val="002C187F"/>
    <w:rsid w:val="002C1A1C"/>
    <w:rsid w:val="002C1F16"/>
    <w:rsid w:val="002C26F8"/>
    <w:rsid w:val="002C2BA2"/>
    <w:rsid w:val="002C2BBB"/>
    <w:rsid w:val="002C2BDC"/>
    <w:rsid w:val="002C2DB1"/>
    <w:rsid w:val="002C301D"/>
    <w:rsid w:val="002C3021"/>
    <w:rsid w:val="002C30D2"/>
    <w:rsid w:val="002C31B1"/>
    <w:rsid w:val="002C38E3"/>
    <w:rsid w:val="002C3933"/>
    <w:rsid w:val="002C3A63"/>
    <w:rsid w:val="002C3ABF"/>
    <w:rsid w:val="002C3BCF"/>
    <w:rsid w:val="002C3C81"/>
    <w:rsid w:val="002C3D95"/>
    <w:rsid w:val="002C3E65"/>
    <w:rsid w:val="002C41CE"/>
    <w:rsid w:val="002C41D1"/>
    <w:rsid w:val="002C4274"/>
    <w:rsid w:val="002C47B8"/>
    <w:rsid w:val="002C4CF4"/>
    <w:rsid w:val="002C4F19"/>
    <w:rsid w:val="002C4F1E"/>
    <w:rsid w:val="002C50B0"/>
    <w:rsid w:val="002C52F2"/>
    <w:rsid w:val="002C5564"/>
    <w:rsid w:val="002C5588"/>
    <w:rsid w:val="002C57F7"/>
    <w:rsid w:val="002C58FC"/>
    <w:rsid w:val="002C591D"/>
    <w:rsid w:val="002C5AB1"/>
    <w:rsid w:val="002C5FA9"/>
    <w:rsid w:val="002C5FC8"/>
    <w:rsid w:val="002C614A"/>
    <w:rsid w:val="002C618B"/>
    <w:rsid w:val="002C6305"/>
    <w:rsid w:val="002C64EE"/>
    <w:rsid w:val="002C6621"/>
    <w:rsid w:val="002C66DD"/>
    <w:rsid w:val="002C6A34"/>
    <w:rsid w:val="002C6B43"/>
    <w:rsid w:val="002C6D01"/>
    <w:rsid w:val="002C7109"/>
    <w:rsid w:val="002C714D"/>
    <w:rsid w:val="002C77BE"/>
    <w:rsid w:val="002C7821"/>
    <w:rsid w:val="002C79DB"/>
    <w:rsid w:val="002C7A47"/>
    <w:rsid w:val="002C7B41"/>
    <w:rsid w:val="002C7C61"/>
    <w:rsid w:val="002C7C84"/>
    <w:rsid w:val="002C7F33"/>
    <w:rsid w:val="002D00A6"/>
    <w:rsid w:val="002D01AD"/>
    <w:rsid w:val="002D01B5"/>
    <w:rsid w:val="002D02BA"/>
    <w:rsid w:val="002D02DA"/>
    <w:rsid w:val="002D03C2"/>
    <w:rsid w:val="002D03C8"/>
    <w:rsid w:val="002D043D"/>
    <w:rsid w:val="002D0602"/>
    <w:rsid w:val="002D06AB"/>
    <w:rsid w:val="002D0B75"/>
    <w:rsid w:val="002D0F17"/>
    <w:rsid w:val="002D118A"/>
    <w:rsid w:val="002D1264"/>
    <w:rsid w:val="002D1615"/>
    <w:rsid w:val="002D16D5"/>
    <w:rsid w:val="002D180E"/>
    <w:rsid w:val="002D1D75"/>
    <w:rsid w:val="002D1DA3"/>
    <w:rsid w:val="002D1FE0"/>
    <w:rsid w:val="002D22C4"/>
    <w:rsid w:val="002D22EC"/>
    <w:rsid w:val="002D29E2"/>
    <w:rsid w:val="002D2C2E"/>
    <w:rsid w:val="002D2D38"/>
    <w:rsid w:val="002D2DEF"/>
    <w:rsid w:val="002D2DF2"/>
    <w:rsid w:val="002D3121"/>
    <w:rsid w:val="002D33D8"/>
    <w:rsid w:val="002D34CF"/>
    <w:rsid w:val="002D3A12"/>
    <w:rsid w:val="002D3A4B"/>
    <w:rsid w:val="002D3F0E"/>
    <w:rsid w:val="002D412E"/>
    <w:rsid w:val="002D4564"/>
    <w:rsid w:val="002D4AA4"/>
    <w:rsid w:val="002D4B43"/>
    <w:rsid w:val="002D4BEC"/>
    <w:rsid w:val="002D4CEA"/>
    <w:rsid w:val="002D4D20"/>
    <w:rsid w:val="002D5035"/>
    <w:rsid w:val="002D53CB"/>
    <w:rsid w:val="002D544F"/>
    <w:rsid w:val="002D585E"/>
    <w:rsid w:val="002D5A5A"/>
    <w:rsid w:val="002D5A60"/>
    <w:rsid w:val="002D612A"/>
    <w:rsid w:val="002D6233"/>
    <w:rsid w:val="002D6418"/>
    <w:rsid w:val="002D6547"/>
    <w:rsid w:val="002D677E"/>
    <w:rsid w:val="002D6928"/>
    <w:rsid w:val="002D6ABB"/>
    <w:rsid w:val="002D6ABC"/>
    <w:rsid w:val="002D6E63"/>
    <w:rsid w:val="002D7271"/>
    <w:rsid w:val="002D766E"/>
    <w:rsid w:val="002D7720"/>
    <w:rsid w:val="002D7803"/>
    <w:rsid w:val="002D7997"/>
    <w:rsid w:val="002D7D84"/>
    <w:rsid w:val="002D7EC2"/>
    <w:rsid w:val="002E00A5"/>
    <w:rsid w:val="002E037C"/>
    <w:rsid w:val="002E038A"/>
    <w:rsid w:val="002E0451"/>
    <w:rsid w:val="002E0492"/>
    <w:rsid w:val="002E09F9"/>
    <w:rsid w:val="002E0DD6"/>
    <w:rsid w:val="002E0EB8"/>
    <w:rsid w:val="002E11B4"/>
    <w:rsid w:val="002E11E3"/>
    <w:rsid w:val="002E15D8"/>
    <w:rsid w:val="002E16E9"/>
    <w:rsid w:val="002E170D"/>
    <w:rsid w:val="002E17E7"/>
    <w:rsid w:val="002E1934"/>
    <w:rsid w:val="002E19EE"/>
    <w:rsid w:val="002E1E33"/>
    <w:rsid w:val="002E1F1A"/>
    <w:rsid w:val="002E2562"/>
    <w:rsid w:val="002E2564"/>
    <w:rsid w:val="002E25ED"/>
    <w:rsid w:val="002E2666"/>
    <w:rsid w:val="002E289A"/>
    <w:rsid w:val="002E2F00"/>
    <w:rsid w:val="002E3168"/>
    <w:rsid w:val="002E3205"/>
    <w:rsid w:val="002E3217"/>
    <w:rsid w:val="002E3397"/>
    <w:rsid w:val="002E33E1"/>
    <w:rsid w:val="002E3516"/>
    <w:rsid w:val="002E3A77"/>
    <w:rsid w:val="002E3D1A"/>
    <w:rsid w:val="002E3E71"/>
    <w:rsid w:val="002E414E"/>
    <w:rsid w:val="002E4798"/>
    <w:rsid w:val="002E47E0"/>
    <w:rsid w:val="002E483B"/>
    <w:rsid w:val="002E4AFA"/>
    <w:rsid w:val="002E4BFC"/>
    <w:rsid w:val="002E4CA3"/>
    <w:rsid w:val="002E4EF6"/>
    <w:rsid w:val="002E5098"/>
    <w:rsid w:val="002E50B7"/>
    <w:rsid w:val="002E5178"/>
    <w:rsid w:val="002E5211"/>
    <w:rsid w:val="002E524A"/>
    <w:rsid w:val="002E52B5"/>
    <w:rsid w:val="002E545A"/>
    <w:rsid w:val="002E54B1"/>
    <w:rsid w:val="002E5832"/>
    <w:rsid w:val="002E58D4"/>
    <w:rsid w:val="002E5944"/>
    <w:rsid w:val="002E5C7F"/>
    <w:rsid w:val="002E5FB2"/>
    <w:rsid w:val="002E6740"/>
    <w:rsid w:val="002E6975"/>
    <w:rsid w:val="002E6A6F"/>
    <w:rsid w:val="002E6B0E"/>
    <w:rsid w:val="002E6CA0"/>
    <w:rsid w:val="002E6E91"/>
    <w:rsid w:val="002E6F9B"/>
    <w:rsid w:val="002E7017"/>
    <w:rsid w:val="002E71A5"/>
    <w:rsid w:val="002E7200"/>
    <w:rsid w:val="002E77D6"/>
    <w:rsid w:val="002E7925"/>
    <w:rsid w:val="002E79DA"/>
    <w:rsid w:val="002E7BCC"/>
    <w:rsid w:val="002E7DD3"/>
    <w:rsid w:val="002E7EA3"/>
    <w:rsid w:val="002F0181"/>
    <w:rsid w:val="002F02B2"/>
    <w:rsid w:val="002F03A5"/>
    <w:rsid w:val="002F065D"/>
    <w:rsid w:val="002F069D"/>
    <w:rsid w:val="002F0713"/>
    <w:rsid w:val="002F0846"/>
    <w:rsid w:val="002F084C"/>
    <w:rsid w:val="002F0872"/>
    <w:rsid w:val="002F08B6"/>
    <w:rsid w:val="002F09AA"/>
    <w:rsid w:val="002F0FFF"/>
    <w:rsid w:val="002F1306"/>
    <w:rsid w:val="002F156A"/>
    <w:rsid w:val="002F169D"/>
    <w:rsid w:val="002F1752"/>
    <w:rsid w:val="002F1826"/>
    <w:rsid w:val="002F19A7"/>
    <w:rsid w:val="002F1EAE"/>
    <w:rsid w:val="002F21C7"/>
    <w:rsid w:val="002F2290"/>
    <w:rsid w:val="002F23AC"/>
    <w:rsid w:val="002F2649"/>
    <w:rsid w:val="002F2769"/>
    <w:rsid w:val="002F2815"/>
    <w:rsid w:val="002F29C8"/>
    <w:rsid w:val="002F2A71"/>
    <w:rsid w:val="002F2ADC"/>
    <w:rsid w:val="002F2B0D"/>
    <w:rsid w:val="002F2DDA"/>
    <w:rsid w:val="002F2F73"/>
    <w:rsid w:val="002F31EB"/>
    <w:rsid w:val="002F3208"/>
    <w:rsid w:val="002F3252"/>
    <w:rsid w:val="002F32E3"/>
    <w:rsid w:val="002F3431"/>
    <w:rsid w:val="002F34EC"/>
    <w:rsid w:val="002F36B6"/>
    <w:rsid w:val="002F37EE"/>
    <w:rsid w:val="002F3812"/>
    <w:rsid w:val="002F384E"/>
    <w:rsid w:val="002F3928"/>
    <w:rsid w:val="002F3FEC"/>
    <w:rsid w:val="002F4411"/>
    <w:rsid w:val="002F4650"/>
    <w:rsid w:val="002F46CB"/>
    <w:rsid w:val="002F472B"/>
    <w:rsid w:val="002F4753"/>
    <w:rsid w:val="002F48A1"/>
    <w:rsid w:val="002F49D9"/>
    <w:rsid w:val="002F49DA"/>
    <w:rsid w:val="002F4D7D"/>
    <w:rsid w:val="002F4EC5"/>
    <w:rsid w:val="002F4FA8"/>
    <w:rsid w:val="002F51F8"/>
    <w:rsid w:val="002F5347"/>
    <w:rsid w:val="002F545E"/>
    <w:rsid w:val="002F55E1"/>
    <w:rsid w:val="002F5704"/>
    <w:rsid w:val="002F58BA"/>
    <w:rsid w:val="002F5BC9"/>
    <w:rsid w:val="002F5BCD"/>
    <w:rsid w:val="002F5CC8"/>
    <w:rsid w:val="002F5CD1"/>
    <w:rsid w:val="002F5D2C"/>
    <w:rsid w:val="002F5D70"/>
    <w:rsid w:val="002F5DB3"/>
    <w:rsid w:val="002F5E87"/>
    <w:rsid w:val="002F5F64"/>
    <w:rsid w:val="002F6144"/>
    <w:rsid w:val="002F62E5"/>
    <w:rsid w:val="002F6349"/>
    <w:rsid w:val="002F63B6"/>
    <w:rsid w:val="002F6442"/>
    <w:rsid w:val="002F6471"/>
    <w:rsid w:val="002F6552"/>
    <w:rsid w:val="002F6987"/>
    <w:rsid w:val="002F6A40"/>
    <w:rsid w:val="002F6A82"/>
    <w:rsid w:val="002F6B4E"/>
    <w:rsid w:val="002F6C0D"/>
    <w:rsid w:val="002F6CF6"/>
    <w:rsid w:val="002F6E13"/>
    <w:rsid w:val="002F6FB8"/>
    <w:rsid w:val="002F7131"/>
    <w:rsid w:val="002F7161"/>
    <w:rsid w:val="002F7752"/>
    <w:rsid w:val="002F785E"/>
    <w:rsid w:val="002F7C36"/>
    <w:rsid w:val="002F7C91"/>
    <w:rsid w:val="002F7CA6"/>
    <w:rsid w:val="002F7D39"/>
    <w:rsid w:val="002FE402"/>
    <w:rsid w:val="003000EE"/>
    <w:rsid w:val="00300100"/>
    <w:rsid w:val="003004B1"/>
    <w:rsid w:val="0030052E"/>
    <w:rsid w:val="00300552"/>
    <w:rsid w:val="00300976"/>
    <w:rsid w:val="00300B6C"/>
    <w:rsid w:val="00300B91"/>
    <w:rsid w:val="00300C14"/>
    <w:rsid w:val="00300D5A"/>
    <w:rsid w:val="00300F68"/>
    <w:rsid w:val="0030100F"/>
    <w:rsid w:val="00301018"/>
    <w:rsid w:val="0030164A"/>
    <w:rsid w:val="0030164E"/>
    <w:rsid w:val="0030179B"/>
    <w:rsid w:val="00301AE1"/>
    <w:rsid w:val="00301BBE"/>
    <w:rsid w:val="00302128"/>
    <w:rsid w:val="00302144"/>
    <w:rsid w:val="00302186"/>
    <w:rsid w:val="00302456"/>
    <w:rsid w:val="003026FF"/>
    <w:rsid w:val="00302748"/>
    <w:rsid w:val="00302774"/>
    <w:rsid w:val="00302940"/>
    <w:rsid w:val="0030295E"/>
    <w:rsid w:val="003029F0"/>
    <w:rsid w:val="00302A48"/>
    <w:rsid w:val="00302A86"/>
    <w:rsid w:val="00302C07"/>
    <w:rsid w:val="00302C8D"/>
    <w:rsid w:val="0030305D"/>
    <w:rsid w:val="00303330"/>
    <w:rsid w:val="003034B8"/>
    <w:rsid w:val="003034C3"/>
    <w:rsid w:val="003038F2"/>
    <w:rsid w:val="00303A5F"/>
    <w:rsid w:val="00303AC1"/>
    <w:rsid w:val="00303BAF"/>
    <w:rsid w:val="00303C46"/>
    <w:rsid w:val="00303C84"/>
    <w:rsid w:val="00303E86"/>
    <w:rsid w:val="00304067"/>
    <w:rsid w:val="00304083"/>
    <w:rsid w:val="0030429F"/>
    <w:rsid w:val="00304673"/>
    <w:rsid w:val="0030473C"/>
    <w:rsid w:val="0030479F"/>
    <w:rsid w:val="00304A7A"/>
    <w:rsid w:val="00304B6F"/>
    <w:rsid w:val="00304BEA"/>
    <w:rsid w:val="00304C14"/>
    <w:rsid w:val="00304D32"/>
    <w:rsid w:val="00304E35"/>
    <w:rsid w:val="00304EE7"/>
    <w:rsid w:val="00304FDD"/>
    <w:rsid w:val="003050C8"/>
    <w:rsid w:val="00305624"/>
    <w:rsid w:val="003056F0"/>
    <w:rsid w:val="0030590A"/>
    <w:rsid w:val="00305B9C"/>
    <w:rsid w:val="00305EEC"/>
    <w:rsid w:val="00305F07"/>
    <w:rsid w:val="0030601E"/>
    <w:rsid w:val="0030647A"/>
    <w:rsid w:val="003064A5"/>
    <w:rsid w:val="00306A81"/>
    <w:rsid w:val="00306B3F"/>
    <w:rsid w:val="00306B4D"/>
    <w:rsid w:val="00306C3E"/>
    <w:rsid w:val="00306DFA"/>
    <w:rsid w:val="003071DC"/>
    <w:rsid w:val="0030728D"/>
    <w:rsid w:val="003073DB"/>
    <w:rsid w:val="003077C4"/>
    <w:rsid w:val="00307922"/>
    <w:rsid w:val="003079B2"/>
    <w:rsid w:val="00307AF3"/>
    <w:rsid w:val="00307C86"/>
    <w:rsid w:val="00307CF0"/>
    <w:rsid w:val="00307DD5"/>
    <w:rsid w:val="00307F48"/>
    <w:rsid w:val="00310074"/>
    <w:rsid w:val="0031028F"/>
    <w:rsid w:val="003104D0"/>
    <w:rsid w:val="00310694"/>
    <w:rsid w:val="0031095B"/>
    <w:rsid w:val="00310991"/>
    <w:rsid w:val="00310CBC"/>
    <w:rsid w:val="00310CF9"/>
    <w:rsid w:val="00310D35"/>
    <w:rsid w:val="00310DEA"/>
    <w:rsid w:val="00310F7B"/>
    <w:rsid w:val="0031127B"/>
    <w:rsid w:val="003112CF"/>
    <w:rsid w:val="00311574"/>
    <w:rsid w:val="003116A4"/>
    <w:rsid w:val="0031170C"/>
    <w:rsid w:val="003119CB"/>
    <w:rsid w:val="00311A0D"/>
    <w:rsid w:val="00311B40"/>
    <w:rsid w:val="00311C86"/>
    <w:rsid w:val="00311EB8"/>
    <w:rsid w:val="00312103"/>
    <w:rsid w:val="003122F1"/>
    <w:rsid w:val="00312746"/>
    <w:rsid w:val="0031279F"/>
    <w:rsid w:val="00312A06"/>
    <w:rsid w:val="00312A8E"/>
    <w:rsid w:val="00312B05"/>
    <w:rsid w:val="003130A4"/>
    <w:rsid w:val="0031328E"/>
    <w:rsid w:val="0031329E"/>
    <w:rsid w:val="00313672"/>
    <w:rsid w:val="003137C8"/>
    <w:rsid w:val="00313883"/>
    <w:rsid w:val="0031390D"/>
    <w:rsid w:val="00313943"/>
    <w:rsid w:val="00313A36"/>
    <w:rsid w:val="00313A9B"/>
    <w:rsid w:val="00313BF9"/>
    <w:rsid w:val="00313C1C"/>
    <w:rsid w:val="00314068"/>
    <w:rsid w:val="0031428B"/>
    <w:rsid w:val="003146F3"/>
    <w:rsid w:val="00314748"/>
    <w:rsid w:val="0031495D"/>
    <w:rsid w:val="00314A9E"/>
    <w:rsid w:val="00314BD7"/>
    <w:rsid w:val="00314C8B"/>
    <w:rsid w:val="00314D2A"/>
    <w:rsid w:val="003150AA"/>
    <w:rsid w:val="003150D0"/>
    <w:rsid w:val="00315204"/>
    <w:rsid w:val="0031545A"/>
    <w:rsid w:val="0031557A"/>
    <w:rsid w:val="003155F9"/>
    <w:rsid w:val="00315C49"/>
    <w:rsid w:val="003161C9"/>
    <w:rsid w:val="0031638C"/>
    <w:rsid w:val="003163A1"/>
    <w:rsid w:val="00316543"/>
    <w:rsid w:val="00316649"/>
    <w:rsid w:val="003166C0"/>
    <w:rsid w:val="00316958"/>
    <w:rsid w:val="00316966"/>
    <w:rsid w:val="0031697C"/>
    <w:rsid w:val="00316A5B"/>
    <w:rsid w:val="00316D4C"/>
    <w:rsid w:val="00316DD4"/>
    <w:rsid w:val="00316ED5"/>
    <w:rsid w:val="0031709E"/>
    <w:rsid w:val="003170A7"/>
    <w:rsid w:val="00317232"/>
    <w:rsid w:val="00317289"/>
    <w:rsid w:val="003172AF"/>
    <w:rsid w:val="00317420"/>
    <w:rsid w:val="0031776F"/>
    <w:rsid w:val="003179F5"/>
    <w:rsid w:val="00317C37"/>
    <w:rsid w:val="00317D70"/>
    <w:rsid w:val="00317D75"/>
    <w:rsid w:val="003202CE"/>
    <w:rsid w:val="003205A6"/>
    <w:rsid w:val="00320687"/>
    <w:rsid w:val="00320856"/>
    <w:rsid w:val="00320B95"/>
    <w:rsid w:val="00320CA2"/>
    <w:rsid w:val="00320EC0"/>
    <w:rsid w:val="00320FEA"/>
    <w:rsid w:val="0032108F"/>
    <w:rsid w:val="00321642"/>
    <w:rsid w:val="003216B1"/>
    <w:rsid w:val="003217F2"/>
    <w:rsid w:val="00321F55"/>
    <w:rsid w:val="00322206"/>
    <w:rsid w:val="003222F4"/>
    <w:rsid w:val="003225C7"/>
    <w:rsid w:val="00322C9B"/>
    <w:rsid w:val="00322F03"/>
    <w:rsid w:val="0032341A"/>
    <w:rsid w:val="003235E1"/>
    <w:rsid w:val="00323650"/>
    <w:rsid w:val="003237BD"/>
    <w:rsid w:val="00323A87"/>
    <w:rsid w:val="00323C92"/>
    <w:rsid w:val="00323D65"/>
    <w:rsid w:val="00323E88"/>
    <w:rsid w:val="0032401F"/>
    <w:rsid w:val="003245C3"/>
    <w:rsid w:val="00324836"/>
    <w:rsid w:val="003249E1"/>
    <w:rsid w:val="00324B0F"/>
    <w:rsid w:val="00324EAE"/>
    <w:rsid w:val="00324EC6"/>
    <w:rsid w:val="00325250"/>
    <w:rsid w:val="0032547D"/>
    <w:rsid w:val="00325A6F"/>
    <w:rsid w:val="00325A8B"/>
    <w:rsid w:val="00325E30"/>
    <w:rsid w:val="0032611C"/>
    <w:rsid w:val="003264D8"/>
    <w:rsid w:val="0032679E"/>
    <w:rsid w:val="003269AF"/>
    <w:rsid w:val="00326D3C"/>
    <w:rsid w:val="00326DC4"/>
    <w:rsid w:val="00327027"/>
    <w:rsid w:val="00327258"/>
    <w:rsid w:val="00327394"/>
    <w:rsid w:val="003275FE"/>
    <w:rsid w:val="00327656"/>
    <w:rsid w:val="003278DC"/>
    <w:rsid w:val="00327AEA"/>
    <w:rsid w:val="00327BA5"/>
    <w:rsid w:val="00327BDB"/>
    <w:rsid w:val="003301A2"/>
    <w:rsid w:val="0033034A"/>
    <w:rsid w:val="003303AD"/>
    <w:rsid w:val="00330C26"/>
    <w:rsid w:val="00330DA4"/>
    <w:rsid w:val="00330EF3"/>
    <w:rsid w:val="00331031"/>
    <w:rsid w:val="00331281"/>
    <w:rsid w:val="003312CF"/>
    <w:rsid w:val="00331408"/>
    <w:rsid w:val="00331533"/>
    <w:rsid w:val="0033160D"/>
    <w:rsid w:val="00331628"/>
    <w:rsid w:val="0033163E"/>
    <w:rsid w:val="003316C3"/>
    <w:rsid w:val="0033181C"/>
    <w:rsid w:val="0033183F"/>
    <w:rsid w:val="003319E1"/>
    <w:rsid w:val="00331A10"/>
    <w:rsid w:val="00331A61"/>
    <w:rsid w:val="00331CA7"/>
    <w:rsid w:val="00331FE1"/>
    <w:rsid w:val="0033220B"/>
    <w:rsid w:val="0033241C"/>
    <w:rsid w:val="00332770"/>
    <w:rsid w:val="003327C7"/>
    <w:rsid w:val="00332AD5"/>
    <w:rsid w:val="00332E5E"/>
    <w:rsid w:val="00332F4A"/>
    <w:rsid w:val="003333C6"/>
    <w:rsid w:val="0033358C"/>
    <w:rsid w:val="00333639"/>
    <w:rsid w:val="0033368A"/>
    <w:rsid w:val="00333997"/>
    <w:rsid w:val="003339B4"/>
    <w:rsid w:val="00334331"/>
    <w:rsid w:val="003343D6"/>
    <w:rsid w:val="003344C1"/>
    <w:rsid w:val="00334647"/>
    <w:rsid w:val="00334648"/>
    <w:rsid w:val="003346D3"/>
    <w:rsid w:val="003346FF"/>
    <w:rsid w:val="00334910"/>
    <w:rsid w:val="00334A00"/>
    <w:rsid w:val="00334CEE"/>
    <w:rsid w:val="003352C5"/>
    <w:rsid w:val="00335328"/>
    <w:rsid w:val="003353B7"/>
    <w:rsid w:val="003354B9"/>
    <w:rsid w:val="003354C3"/>
    <w:rsid w:val="00335534"/>
    <w:rsid w:val="003355D8"/>
    <w:rsid w:val="003356A1"/>
    <w:rsid w:val="00335AA6"/>
    <w:rsid w:val="00335B29"/>
    <w:rsid w:val="00335DE5"/>
    <w:rsid w:val="00335E28"/>
    <w:rsid w:val="00336146"/>
    <w:rsid w:val="00336180"/>
    <w:rsid w:val="00336467"/>
    <w:rsid w:val="003364F8"/>
    <w:rsid w:val="0033681D"/>
    <w:rsid w:val="00336991"/>
    <w:rsid w:val="00336F8D"/>
    <w:rsid w:val="0033726E"/>
    <w:rsid w:val="00337275"/>
    <w:rsid w:val="003372A0"/>
    <w:rsid w:val="003372A7"/>
    <w:rsid w:val="003373E0"/>
    <w:rsid w:val="0033759E"/>
    <w:rsid w:val="003375D0"/>
    <w:rsid w:val="00337863"/>
    <w:rsid w:val="00337C6A"/>
    <w:rsid w:val="003403D4"/>
    <w:rsid w:val="003406C1"/>
    <w:rsid w:val="00340ADE"/>
    <w:rsid w:val="00340BDA"/>
    <w:rsid w:val="00340C15"/>
    <w:rsid w:val="00340FC6"/>
    <w:rsid w:val="003411C2"/>
    <w:rsid w:val="00341483"/>
    <w:rsid w:val="00341502"/>
    <w:rsid w:val="0034157D"/>
    <w:rsid w:val="0034159B"/>
    <w:rsid w:val="00341752"/>
    <w:rsid w:val="00341AD8"/>
    <w:rsid w:val="00341F79"/>
    <w:rsid w:val="003423A7"/>
    <w:rsid w:val="00342705"/>
    <w:rsid w:val="003428FC"/>
    <w:rsid w:val="00342EC7"/>
    <w:rsid w:val="00342FD7"/>
    <w:rsid w:val="003430BB"/>
    <w:rsid w:val="00343411"/>
    <w:rsid w:val="00343441"/>
    <w:rsid w:val="00343D5A"/>
    <w:rsid w:val="00343ED6"/>
    <w:rsid w:val="00343F6E"/>
    <w:rsid w:val="0034431B"/>
    <w:rsid w:val="00344406"/>
    <w:rsid w:val="003446D3"/>
    <w:rsid w:val="003446DD"/>
    <w:rsid w:val="003448F3"/>
    <w:rsid w:val="00344A6F"/>
    <w:rsid w:val="00344A74"/>
    <w:rsid w:val="00344B95"/>
    <w:rsid w:val="00344E36"/>
    <w:rsid w:val="0034502C"/>
    <w:rsid w:val="0034503D"/>
    <w:rsid w:val="00345060"/>
    <w:rsid w:val="00345A1A"/>
    <w:rsid w:val="00345AE3"/>
    <w:rsid w:val="00345C6D"/>
    <w:rsid w:val="00345D6C"/>
    <w:rsid w:val="00345E1C"/>
    <w:rsid w:val="00345F06"/>
    <w:rsid w:val="00346153"/>
    <w:rsid w:val="00346569"/>
    <w:rsid w:val="0034678E"/>
    <w:rsid w:val="003467D9"/>
    <w:rsid w:val="003469B7"/>
    <w:rsid w:val="00346A62"/>
    <w:rsid w:val="00346B9A"/>
    <w:rsid w:val="00346BC1"/>
    <w:rsid w:val="00346BC6"/>
    <w:rsid w:val="00346C1B"/>
    <w:rsid w:val="00346D48"/>
    <w:rsid w:val="00346F32"/>
    <w:rsid w:val="00347044"/>
    <w:rsid w:val="003471F4"/>
    <w:rsid w:val="003475E2"/>
    <w:rsid w:val="0034763A"/>
    <w:rsid w:val="0034773B"/>
    <w:rsid w:val="00347913"/>
    <w:rsid w:val="00347E03"/>
    <w:rsid w:val="00347E4D"/>
    <w:rsid w:val="003503CF"/>
    <w:rsid w:val="00350488"/>
    <w:rsid w:val="0035048A"/>
    <w:rsid w:val="0035065C"/>
    <w:rsid w:val="00350736"/>
    <w:rsid w:val="00350A25"/>
    <w:rsid w:val="00350C5A"/>
    <w:rsid w:val="00350F69"/>
    <w:rsid w:val="0035149B"/>
    <w:rsid w:val="0035186E"/>
    <w:rsid w:val="003518BB"/>
    <w:rsid w:val="00351A50"/>
    <w:rsid w:val="00351EA9"/>
    <w:rsid w:val="00351F81"/>
    <w:rsid w:val="00352141"/>
    <w:rsid w:val="00352281"/>
    <w:rsid w:val="0035250B"/>
    <w:rsid w:val="003525D3"/>
    <w:rsid w:val="00352A21"/>
    <w:rsid w:val="00352DF0"/>
    <w:rsid w:val="00352E1B"/>
    <w:rsid w:val="00353000"/>
    <w:rsid w:val="00353024"/>
    <w:rsid w:val="00353127"/>
    <w:rsid w:val="00353225"/>
    <w:rsid w:val="00353453"/>
    <w:rsid w:val="0035395A"/>
    <w:rsid w:val="00353B09"/>
    <w:rsid w:val="00353BBC"/>
    <w:rsid w:val="00353D18"/>
    <w:rsid w:val="00353DC1"/>
    <w:rsid w:val="0035421C"/>
    <w:rsid w:val="00354459"/>
    <w:rsid w:val="003544CA"/>
    <w:rsid w:val="00354683"/>
    <w:rsid w:val="00354864"/>
    <w:rsid w:val="00354985"/>
    <w:rsid w:val="00354A77"/>
    <w:rsid w:val="00354DE1"/>
    <w:rsid w:val="0035510A"/>
    <w:rsid w:val="0035514E"/>
    <w:rsid w:val="00355179"/>
    <w:rsid w:val="00355350"/>
    <w:rsid w:val="003553BB"/>
    <w:rsid w:val="0035544A"/>
    <w:rsid w:val="00355566"/>
    <w:rsid w:val="0035595C"/>
    <w:rsid w:val="00355A90"/>
    <w:rsid w:val="00355AFC"/>
    <w:rsid w:val="00355E86"/>
    <w:rsid w:val="00355F2C"/>
    <w:rsid w:val="0035609D"/>
    <w:rsid w:val="0035690B"/>
    <w:rsid w:val="00356B1D"/>
    <w:rsid w:val="00356DEB"/>
    <w:rsid w:val="00356E97"/>
    <w:rsid w:val="00356FDA"/>
    <w:rsid w:val="00357191"/>
    <w:rsid w:val="0035726C"/>
    <w:rsid w:val="00357457"/>
    <w:rsid w:val="00357649"/>
    <w:rsid w:val="00357678"/>
    <w:rsid w:val="0035787F"/>
    <w:rsid w:val="00357A27"/>
    <w:rsid w:val="00357C28"/>
    <w:rsid w:val="00357DAC"/>
    <w:rsid w:val="00357EC8"/>
    <w:rsid w:val="00357FDF"/>
    <w:rsid w:val="0036006D"/>
    <w:rsid w:val="00360148"/>
    <w:rsid w:val="0036033C"/>
    <w:rsid w:val="0036043C"/>
    <w:rsid w:val="003604FE"/>
    <w:rsid w:val="003608AB"/>
    <w:rsid w:val="00360AFD"/>
    <w:rsid w:val="00360BB8"/>
    <w:rsid w:val="00360BF1"/>
    <w:rsid w:val="00360E16"/>
    <w:rsid w:val="00360F99"/>
    <w:rsid w:val="0036117E"/>
    <w:rsid w:val="003613B9"/>
    <w:rsid w:val="003618FF"/>
    <w:rsid w:val="00361AF3"/>
    <w:rsid w:val="00361E28"/>
    <w:rsid w:val="00361FBC"/>
    <w:rsid w:val="00362041"/>
    <w:rsid w:val="00362061"/>
    <w:rsid w:val="00362302"/>
    <w:rsid w:val="003624B9"/>
    <w:rsid w:val="003629D8"/>
    <w:rsid w:val="00362A02"/>
    <w:rsid w:val="00362B0A"/>
    <w:rsid w:val="00362C3D"/>
    <w:rsid w:val="00362D17"/>
    <w:rsid w:val="00362E6D"/>
    <w:rsid w:val="003633D4"/>
    <w:rsid w:val="003636CD"/>
    <w:rsid w:val="003636DA"/>
    <w:rsid w:val="00363CD8"/>
    <w:rsid w:val="00363DF5"/>
    <w:rsid w:val="00363E15"/>
    <w:rsid w:val="0036406A"/>
    <w:rsid w:val="003648B0"/>
    <w:rsid w:val="00364A72"/>
    <w:rsid w:val="00364B5E"/>
    <w:rsid w:val="00364CAE"/>
    <w:rsid w:val="00364DE9"/>
    <w:rsid w:val="00364E5D"/>
    <w:rsid w:val="00364F8F"/>
    <w:rsid w:val="0036513C"/>
    <w:rsid w:val="00365293"/>
    <w:rsid w:val="00365354"/>
    <w:rsid w:val="003653CB"/>
    <w:rsid w:val="00365409"/>
    <w:rsid w:val="0036564B"/>
    <w:rsid w:val="00365650"/>
    <w:rsid w:val="003656E1"/>
    <w:rsid w:val="003658D6"/>
    <w:rsid w:val="00365A0B"/>
    <w:rsid w:val="00365D80"/>
    <w:rsid w:val="00365F4E"/>
    <w:rsid w:val="00365FA6"/>
    <w:rsid w:val="00366162"/>
    <w:rsid w:val="003661A7"/>
    <w:rsid w:val="00366230"/>
    <w:rsid w:val="00366297"/>
    <w:rsid w:val="00366971"/>
    <w:rsid w:val="003669F8"/>
    <w:rsid w:val="00366D3E"/>
    <w:rsid w:val="00366EBB"/>
    <w:rsid w:val="003670AC"/>
    <w:rsid w:val="003671BD"/>
    <w:rsid w:val="0036733C"/>
    <w:rsid w:val="003675C7"/>
    <w:rsid w:val="00367831"/>
    <w:rsid w:val="00367A40"/>
    <w:rsid w:val="00370011"/>
    <w:rsid w:val="0037028D"/>
    <w:rsid w:val="003707F8"/>
    <w:rsid w:val="003709F3"/>
    <w:rsid w:val="00370ACE"/>
    <w:rsid w:val="00370C02"/>
    <w:rsid w:val="00370D3A"/>
    <w:rsid w:val="00370E6B"/>
    <w:rsid w:val="00370EAA"/>
    <w:rsid w:val="003713A0"/>
    <w:rsid w:val="00371418"/>
    <w:rsid w:val="0037147C"/>
    <w:rsid w:val="0037179E"/>
    <w:rsid w:val="003718C8"/>
    <w:rsid w:val="003718FA"/>
    <w:rsid w:val="00371A27"/>
    <w:rsid w:val="003722A4"/>
    <w:rsid w:val="0037242E"/>
    <w:rsid w:val="00372690"/>
    <w:rsid w:val="00372724"/>
    <w:rsid w:val="0037276A"/>
    <w:rsid w:val="00372CB3"/>
    <w:rsid w:val="00372DEA"/>
    <w:rsid w:val="00372FFF"/>
    <w:rsid w:val="0037322B"/>
    <w:rsid w:val="00373302"/>
    <w:rsid w:val="003733EE"/>
    <w:rsid w:val="0037341C"/>
    <w:rsid w:val="0037368A"/>
    <w:rsid w:val="003737B6"/>
    <w:rsid w:val="00373828"/>
    <w:rsid w:val="00373A04"/>
    <w:rsid w:val="00373A30"/>
    <w:rsid w:val="00373AA9"/>
    <w:rsid w:val="00373B5D"/>
    <w:rsid w:val="00373BFF"/>
    <w:rsid w:val="00373F93"/>
    <w:rsid w:val="00373FC7"/>
    <w:rsid w:val="003742B1"/>
    <w:rsid w:val="003742F7"/>
    <w:rsid w:val="00374376"/>
    <w:rsid w:val="003744CE"/>
    <w:rsid w:val="00374646"/>
    <w:rsid w:val="003748E6"/>
    <w:rsid w:val="003749C1"/>
    <w:rsid w:val="00374A24"/>
    <w:rsid w:val="00374A90"/>
    <w:rsid w:val="00374B63"/>
    <w:rsid w:val="00374BC4"/>
    <w:rsid w:val="00374CDB"/>
    <w:rsid w:val="00375309"/>
    <w:rsid w:val="0037536F"/>
    <w:rsid w:val="0037554D"/>
    <w:rsid w:val="00375619"/>
    <w:rsid w:val="00375699"/>
    <w:rsid w:val="00375B62"/>
    <w:rsid w:val="00375B88"/>
    <w:rsid w:val="00375BDD"/>
    <w:rsid w:val="003761B1"/>
    <w:rsid w:val="0037626F"/>
    <w:rsid w:val="003765C6"/>
    <w:rsid w:val="003765E1"/>
    <w:rsid w:val="0037691F"/>
    <w:rsid w:val="00376A49"/>
    <w:rsid w:val="00376D21"/>
    <w:rsid w:val="00376FC8"/>
    <w:rsid w:val="00377167"/>
    <w:rsid w:val="003774D7"/>
    <w:rsid w:val="0037752E"/>
    <w:rsid w:val="003778C3"/>
    <w:rsid w:val="00377A2A"/>
    <w:rsid w:val="00377A50"/>
    <w:rsid w:val="00377C9C"/>
    <w:rsid w:val="00377D3A"/>
    <w:rsid w:val="00377D74"/>
    <w:rsid w:val="00377DEF"/>
    <w:rsid w:val="00377F72"/>
    <w:rsid w:val="0038016C"/>
    <w:rsid w:val="0038020D"/>
    <w:rsid w:val="003803F4"/>
    <w:rsid w:val="0038065B"/>
    <w:rsid w:val="00380BDD"/>
    <w:rsid w:val="00380E02"/>
    <w:rsid w:val="00380F81"/>
    <w:rsid w:val="003813FD"/>
    <w:rsid w:val="003814CE"/>
    <w:rsid w:val="003814D8"/>
    <w:rsid w:val="003816A2"/>
    <w:rsid w:val="0038173D"/>
    <w:rsid w:val="00381E24"/>
    <w:rsid w:val="00381E99"/>
    <w:rsid w:val="003821D0"/>
    <w:rsid w:val="0038243C"/>
    <w:rsid w:val="0038268C"/>
    <w:rsid w:val="00382719"/>
    <w:rsid w:val="00382761"/>
    <w:rsid w:val="0038296A"/>
    <w:rsid w:val="00382A2E"/>
    <w:rsid w:val="00382DF0"/>
    <w:rsid w:val="00382F37"/>
    <w:rsid w:val="00383966"/>
    <w:rsid w:val="00383B4D"/>
    <w:rsid w:val="00383C01"/>
    <w:rsid w:val="00383D3B"/>
    <w:rsid w:val="00383FFF"/>
    <w:rsid w:val="003840D4"/>
    <w:rsid w:val="0038416A"/>
    <w:rsid w:val="003842D2"/>
    <w:rsid w:val="003843CC"/>
    <w:rsid w:val="0038440F"/>
    <w:rsid w:val="003845FE"/>
    <w:rsid w:val="00384767"/>
    <w:rsid w:val="00384950"/>
    <w:rsid w:val="00384B55"/>
    <w:rsid w:val="00384CD7"/>
    <w:rsid w:val="00384D31"/>
    <w:rsid w:val="00384F0F"/>
    <w:rsid w:val="00384F5F"/>
    <w:rsid w:val="00384FFC"/>
    <w:rsid w:val="00385344"/>
    <w:rsid w:val="0038540C"/>
    <w:rsid w:val="0038549A"/>
    <w:rsid w:val="00385539"/>
    <w:rsid w:val="003855BF"/>
    <w:rsid w:val="00385940"/>
    <w:rsid w:val="00385C2A"/>
    <w:rsid w:val="00385D58"/>
    <w:rsid w:val="00385EBC"/>
    <w:rsid w:val="00385FAE"/>
    <w:rsid w:val="00385FBD"/>
    <w:rsid w:val="00386212"/>
    <w:rsid w:val="0038628D"/>
    <w:rsid w:val="00386369"/>
    <w:rsid w:val="00386467"/>
    <w:rsid w:val="003864EC"/>
    <w:rsid w:val="003866E9"/>
    <w:rsid w:val="0038672E"/>
    <w:rsid w:val="00386828"/>
    <w:rsid w:val="00386B38"/>
    <w:rsid w:val="00386BB0"/>
    <w:rsid w:val="00386C81"/>
    <w:rsid w:val="00386CAB"/>
    <w:rsid w:val="00386F77"/>
    <w:rsid w:val="00387012"/>
    <w:rsid w:val="00387025"/>
    <w:rsid w:val="003871BB"/>
    <w:rsid w:val="003872C1"/>
    <w:rsid w:val="00387424"/>
    <w:rsid w:val="00387519"/>
    <w:rsid w:val="00387585"/>
    <w:rsid w:val="00387621"/>
    <w:rsid w:val="0038785F"/>
    <w:rsid w:val="00387B9B"/>
    <w:rsid w:val="00387F02"/>
    <w:rsid w:val="00387F5F"/>
    <w:rsid w:val="0039039E"/>
    <w:rsid w:val="003904ED"/>
    <w:rsid w:val="00390681"/>
    <w:rsid w:val="00390EB4"/>
    <w:rsid w:val="00390FB5"/>
    <w:rsid w:val="003910EA"/>
    <w:rsid w:val="003911FE"/>
    <w:rsid w:val="00391652"/>
    <w:rsid w:val="00391720"/>
    <w:rsid w:val="00391867"/>
    <w:rsid w:val="00391AC2"/>
    <w:rsid w:val="00391C06"/>
    <w:rsid w:val="00391D32"/>
    <w:rsid w:val="00391D4D"/>
    <w:rsid w:val="00391DED"/>
    <w:rsid w:val="00391E09"/>
    <w:rsid w:val="003921F1"/>
    <w:rsid w:val="0039224A"/>
    <w:rsid w:val="0039225C"/>
    <w:rsid w:val="003925BF"/>
    <w:rsid w:val="003926AD"/>
    <w:rsid w:val="003926EC"/>
    <w:rsid w:val="00392704"/>
    <w:rsid w:val="00392871"/>
    <w:rsid w:val="003928AE"/>
    <w:rsid w:val="00392ACA"/>
    <w:rsid w:val="00392C86"/>
    <w:rsid w:val="0039342F"/>
    <w:rsid w:val="0039393D"/>
    <w:rsid w:val="00393BE9"/>
    <w:rsid w:val="00393EDB"/>
    <w:rsid w:val="00393FAB"/>
    <w:rsid w:val="003940C4"/>
    <w:rsid w:val="003940E8"/>
    <w:rsid w:val="00394697"/>
    <w:rsid w:val="00394723"/>
    <w:rsid w:val="00394968"/>
    <w:rsid w:val="00394A28"/>
    <w:rsid w:val="00394CE2"/>
    <w:rsid w:val="00394CE3"/>
    <w:rsid w:val="00394EEC"/>
    <w:rsid w:val="003950A4"/>
    <w:rsid w:val="003954FF"/>
    <w:rsid w:val="00395AC6"/>
    <w:rsid w:val="00395E94"/>
    <w:rsid w:val="00396142"/>
    <w:rsid w:val="00396515"/>
    <w:rsid w:val="0039654D"/>
    <w:rsid w:val="00396643"/>
    <w:rsid w:val="003966D1"/>
    <w:rsid w:val="003966D7"/>
    <w:rsid w:val="003966ED"/>
    <w:rsid w:val="00396E50"/>
    <w:rsid w:val="00396F1E"/>
    <w:rsid w:val="00397184"/>
    <w:rsid w:val="003975B1"/>
    <w:rsid w:val="0039762C"/>
    <w:rsid w:val="00397772"/>
    <w:rsid w:val="00397787"/>
    <w:rsid w:val="003977B9"/>
    <w:rsid w:val="00397840"/>
    <w:rsid w:val="0039790A"/>
    <w:rsid w:val="00397D45"/>
    <w:rsid w:val="00397D4B"/>
    <w:rsid w:val="00397FEE"/>
    <w:rsid w:val="003A0105"/>
    <w:rsid w:val="003A08A2"/>
    <w:rsid w:val="003A08A3"/>
    <w:rsid w:val="003A0920"/>
    <w:rsid w:val="003A09EE"/>
    <w:rsid w:val="003A0A06"/>
    <w:rsid w:val="003A0A42"/>
    <w:rsid w:val="003A0B5F"/>
    <w:rsid w:val="003A0CE6"/>
    <w:rsid w:val="003A1037"/>
    <w:rsid w:val="003A11BB"/>
    <w:rsid w:val="003A11E0"/>
    <w:rsid w:val="003A123D"/>
    <w:rsid w:val="003A13C9"/>
    <w:rsid w:val="003A1892"/>
    <w:rsid w:val="003A1991"/>
    <w:rsid w:val="003A19CB"/>
    <w:rsid w:val="003A1AB7"/>
    <w:rsid w:val="003A1BE5"/>
    <w:rsid w:val="003A1CCB"/>
    <w:rsid w:val="003A1CDD"/>
    <w:rsid w:val="003A21EB"/>
    <w:rsid w:val="003A2591"/>
    <w:rsid w:val="003A2A88"/>
    <w:rsid w:val="003A2BC8"/>
    <w:rsid w:val="003A3230"/>
    <w:rsid w:val="003A349B"/>
    <w:rsid w:val="003A3F19"/>
    <w:rsid w:val="003A424C"/>
    <w:rsid w:val="003A4353"/>
    <w:rsid w:val="003A44E7"/>
    <w:rsid w:val="003A46ED"/>
    <w:rsid w:val="003A478A"/>
    <w:rsid w:val="003A496B"/>
    <w:rsid w:val="003A4979"/>
    <w:rsid w:val="003A4A8D"/>
    <w:rsid w:val="003A4B2E"/>
    <w:rsid w:val="003A4EF8"/>
    <w:rsid w:val="003A50BD"/>
    <w:rsid w:val="003A5279"/>
    <w:rsid w:val="003A5607"/>
    <w:rsid w:val="003A5827"/>
    <w:rsid w:val="003A599A"/>
    <w:rsid w:val="003A5C0D"/>
    <w:rsid w:val="003A5F32"/>
    <w:rsid w:val="003A6002"/>
    <w:rsid w:val="003A6097"/>
    <w:rsid w:val="003A6403"/>
    <w:rsid w:val="003A6564"/>
    <w:rsid w:val="003A65FF"/>
    <w:rsid w:val="003A676F"/>
    <w:rsid w:val="003A6AA8"/>
    <w:rsid w:val="003A6B87"/>
    <w:rsid w:val="003A6D90"/>
    <w:rsid w:val="003A6DCC"/>
    <w:rsid w:val="003A6E93"/>
    <w:rsid w:val="003A7386"/>
    <w:rsid w:val="003A7430"/>
    <w:rsid w:val="003A74C2"/>
    <w:rsid w:val="003A75D8"/>
    <w:rsid w:val="003A772F"/>
    <w:rsid w:val="003A79D1"/>
    <w:rsid w:val="003A7CF0"/>
    <w:rsid w:val="003A7D52"/>
    <w:rsid w:val="003A7D98"/>
    <w:rsid w:val="003A7E4A"/>
    <w:rsid w:val="003B01E5"/>
    <w:rsid w:val="003B0291"/>
    <w:rsid w:val="003B05FD"/>
    <w:rsid w:val="003B092E"/>
    <w:rsid w:val="003B0993"/>
    <w:rsid w:val="003B0BCD"/>
    <w:rsid w:val="003B0D97"/>
    <w:rsid w:val="003B0DDF"/>
    <w:rsid w:val="003B10DF"/>
    <w:rsid w:val="003B139E"/>
    <w:rsid w:val="003B1573"/>
    <w:rsid w:val="003B157E"/>
    <w:rsid w:val="003B22C5"/>
    <w:rsid w:val="003B2581"/>
    <w:rsid w:val="003B25AF"/>
    <w:rsid w:val="003B2757"/>
    <w:rsid w:val="003B27EE"/>
    <w:rsid w:val="003B2944"/>
    <w:rsid w:val="003B29D5"/>
    <w:rsid w:val="003B2E10"/>
    <w:rsid w:val="003B2E8C"/>
    <w:rsid w:val="003B2ED6"/>
    <w:rsid w:val="003B2F44"/>
    <w:rsid w:val="003B325E"/>
    <w:rsid w:val="003B341B"/>
    <w:rsid w:val="003B376E"/>
    <w:rsid w:val="003B37EA"/>
    <w:rsid w:val="003B3837"/>
    <w:rsid w:val="003B3996"/>
    <w:rsid w:val="003B39CD"/>
    <w:rsid w:val="003B3C15"/>
    <w:rsid w:val="003B3D94"/>
    <w:rsid w:val="003B3F11"/>
    <w:rsid w:val="003B4173"/>
    <w:rsid w:val="003B4209"/>
    <w:rsid w:val="003B420A"/>
    <w:rsid w:val="003B45F6"/>
    <w:rsid w:val="003B45F7"/>
    <w:rsid w:val="003B49B6"/>
    <w:rsid w:val="003B49F9"/>
    <w:rsid w:val="003B4A76"/>
    <w:rsid w:val="003B4A92"/>
    <w:rsid w:val="003B4BFE"/>
    <w:rsid w:val="003B4C2E"/>
    <w:rsid w:val="003B4E45"/>
    <w:rsid w:val="003B4FDB"/>
    <w:rsid w:val="003B5222"/>
    <w:rsid w:val="003B54A7"/>
    <w:rsid w:val="003B57A5"/>
    <w:rsid w:val="003B626A"/>
    <w:rsid w:val="003B63B6"/>
    <w:rsid w:val="003B664F"/>
    <w:rsid w:val="003B6916"/>
    <w:rsid w:val="003B6920"/>
    <w:rsid w:val="003B6BC0"/>
    <w:rsid w:val="003B6BE6"/>
    <w:rsid w:val="003B6CBD"/>
    <w:rsid w:val="003B6D9A"/>
    <w:rsid w:val="003B7037"/>
    <w:rsid w:val="003B71CE"/>
    <w:rsid w:val="003B7236"/>
    <w:rsid w:val="003B745B"/>
    <w:rsid w:val="003B7A66"/>
    <w:rsid w:val="003B7B16"/>
    <w:rsid w:val="003C022E"/>
    <w:rsid w:val="003C02D0"/>
    <w:rsid w:val="003C052C"/>
    <w:rsid w:val="003C0E03"/>
    <w:rsid w:val="003C1405"/>
    <w:rsid w:val="003C146C"/>
    <w:rsid w:val="003C157C"/>
    <w:rsid w:val="003C16F4"/>
    <w:rsid w:val="003C16F7"/>
    <w:rsid w:val="003C171D"/>
    <w:rsid w:val="003C1828"/>
    <w:rsid w:val="003C1AF5"/>
    <w:rsid w:val="003C1C50"/>
    <w:rsid w:val="003C231F"/>
    <w:rsid w:val="003C26B4"/>
    <w:rsid w:val="003C2DD4"/>
    <w:rsid w:val="003C2E4D"/>
    <w:rsid w:val="003C2FF7"/>
    <w:rsid w:val="003C32BE"/>
    <w:rsid w:val="003C3314"/>
    <w:rsid w:val="003C37D6"/>
    <w:rsid w:val="003C3876"/>
    <w:rsid w:val="003C3971"/>
    <w:rsid w:val="003C3BEA"/>
    <w:rsid w:val="003C3FBD"/>
    <w:rsid w:val="003C3FC8"/>
    <w:rsid w:val="003C460F"/>
    <w:rsid w:val="003C4928"/>
    <w:rsid w:val="003C4BD4"/>
    <w:rsid w:val="003C4C04"/>
    <w:rsid w:val="003C5080"/>
    <w:rsid w:val="003C5204"/>
    <w:rsid w:val="003C523F"/>
    <w:rsid w:val="003C53EF"/>
    <w:rsid w:val="003C5677"/>
    <w:rsid w:val="003C585B"/>
    <w:rsid w:val="003C591D"/>
    <w:rsid w:val="003C5CCF"/>
    <w:rsid w:val="003C5E1D"/>
    <w:rsid w:val="003C5E81"/>
    <w:rsid w:val="003C60D1"/>
    <w:rsid w:val="003C6310"/>
    <w:rsid w:val="003C6400"/>
    <w:rsid w:val="003C644C"/>
    <w:rsid w:val="003C6495"/>
    <w:rsid w:val="003C6607"/>
    <w:rsid w:val="003C67C1"/>
    <w:rsid w:val="003C6CE0"/>
    <w:rsid w:val="003C6F3F"/>
    <w:rsid w:val="003C6F83"/>
    <w:rsid w:val="003C7189"/>
    <w:rsid w:val="003C7446"/>
    <w:rsid w:val="003C7520"/>
    <w:rsid w:val="003C786F"/>
    <w:rsid w:val="003C7C46"/>
    <w:rsid w:val="003C7D17"/>
    <w:rsid w:val="003C7F28"/>
    <w:rsid w:val="003D02F4"/>
    <w:rsid w:val="003D0341"/>
    <w:rsid w:val="003D042B"/>
    <w:rsid w:val="003D0776"/>
    <w:rsid w:val="003D08B1"/>
    <w:rsid w:val="003D0A36"/>
    <w:rsid w:val="003D0A7C"/>
    <w:rsid w:val="003D0D6C"/>
    <w:rsid w:val="003D0DF6"/>
    <w:rsid w:val="003D0FDF"/>
    <w:rsid w:val="003D1000"/>
    <w:rsid w:val="003D108B"/>
    <w:rsid w:val="003D134F"/>
    <w:rsid w:val="003D1451"/>
    <w:rsid w:val="003D17D8"/>
    <w:rsid w:val="003D19DE"/>
    <w:rsid w:val="003D1B5A"/>
    <w:rsid w:val="003D1E47"/>
    <w:rsid w:val="003D2017"/>
    <w:rsid w:val="003D213B"/>
    <w:rsid w:val="003D2247"/>
    <w:rsid w:val="003D2972"/>
    <w:rsid w:val="003D2C7A"/>
    <w:rsid w:val="003D2C8D"/>
    <w:rsid w:val="003D2CC2"/>
    <w:rsid w:val="003D2EF4"/>
    <w:rsid w:val="003D31AB"/>
    <w:rsid w:val="003D3342"/>
    <w:rsid w:val="003D3392"/>
    <w:rsid w:val="003D353D"/>
    <w:rsid w:val="003D3669"/>
    <w:rsid w:val="003D36E3"/>
    <w:rsid w:val="003D36EA"/>
    <w:rsid w:val="003D3C5E"/>
    <w:rsid w:val="003D40A5"/>
    <w:rsid w:val="003D41C3"/>
    <w:rsid w:val="003D46C6"/>
    <w:rsid w:val="003D48E8"/>
    <w:rsid w:val="003D48EA"/>
    <w:rsid w:val="003D4A29"/>
    <w:rsid w:val="003D4E1F"/>
    <w:rsid w:val="003D507C"/>
    <w:rsid w:val="003D5157"/>
    <w:rsid w:val="003D54B9"/>
    <w:rsid w:val="003D57AF"/>
    <w:rsid w:val="003D5E57"/>
    <w:rsid w:val="003D5E67"/>
    <w:rsid w:val="003D61B9"/>
    <w:rsid w:val="003D61C5"/>
    <w:rsid w:val="003D63E3"/>
    <w:rsid w:val="003D6774"/>
    <w:rsid w:val="003D677F"/>
    <w:rsid w:val="003D6B55"/>
    <w:rsid w:val="003D6C3F"/>
    <w:rsid w:val="003D6E4F"/>
    <w:rsid w:val="003D7069"/>
    <w:rsid w:val="003D725F"/>
    <w:rsid w:val="003D7402"/>
    <w:rsid w:val="003D74E7"/>
    <w:rsid w:val="003D7752"/>
    <w:rsid w:val="003D77BB"/>
    <w:rsid w:val="003D79E9"/>
    <w:rsid w:val="003D7B21"/>
    <w:rsid w:val="003D7D1F"/>
    <w:rsid w:val="003D7F20"/>
    <w:rsid w:val="003D7FE4"/>
    <w:rsid w:val="003E01E1"/>
    <w:rsid w:val="003E03BA"/>
    <w:rsid w:val="003E03F5"/>
    <w:rsid w:val="003E04B0"/>
    <w:rsid w:val="003E0560"/>
    <w:rsid w:val="003E09F6"/>
    <w:rsid w:val="003E0AE5"/>
    <w:rsid w:val="003E0C30"/>
    <w:rsid w:val="003E0CB0"/>
    <w:rsid w:val="003E0DD1"/>
    <w:rsid w:val="003E0E06"/>
    <w:rsid w:val="003E0FEF"/>
    <w:rsid w:val="003E1067"/>
    <w:rsid w:val="003E110B"/>
    <w:rsid w:val="003E1495"/>
    <w:rsid w:val="003E15B8"/>
    <w:rsid w:val="003E1628"/>
    <w:rsid w:val="003E16E7"/>
    <w:rsid w:val="003E1800"/>
    <w:rsid w:val="003E18E9"/>
    <w:rsid w:val="003E1A13"/>
    <w:rsid w:val="003E1BF9"/>
    <w:rsid w:val="003E1C4E"/>
    <w:rsid w:val="003E1CB2"/>
    <w:rsid w:val="003E1D8E"/>
    <w:rsid w:val="003E2436"/>
    <w:rsid w:val="003E29A4"/>
    <w:rsid w:val="003E2B34"/>
    <w:rsid w:val="003E2DDC"/>
    <w:rsid w:val="003E2DF4"/>
    <w:rsid w:val="003E2E81"/>
    <w:rsid w:val="003E2F0D"/>
    <w:rsid w:val="003E2F85"/>
    <w:rsid w:val="003E3060"/>
    <w:rsid w:val="003E319E"/>
    <w:rsid w:val="003E32A5"/>
    <w:rsid w:val="003E3AC6"/>
    <w:rsid w:val="003E3D08"/>
    <w:rsid w:val="003E3E20"/>
    <w:rsid w:val="003E40B6"/>
    <w:rsid w:val="003E4361"/>
    <w:rsid w:val="003E4382"/>
    <w:rsid w:val="003E4409"/>
    <w:rsid w:val="003E45F4"/>
    <w:rsid w:val="003E4740"/>
    <w:rsid w:val="003E4998"/>
    <w:rsid w:val="003E4CB7"/>
    <w:rsid w:val="003E518C"/>
    <w:rsid w:val="003E5363"/>
    <w:rsid w:val="003E5374"/>
    <w:rsid w:val="003E54F2"/>
    <w:rsid w:val="003E5529"/>
    <w:rsid w:val="003E55D9"/>
    <w:rsid w:val="003E6115"/>
    <w:rsid w:val="003E6281"/>
    <w:rsid w:val="003E651A"/>
    <w:rsid w:val="003E6578"/>
    <w:rsid w:val="003E6600"/>
    <w:rsid w:val="003E6603"/>
    <w:rsid w:val="003E6614"/>
    <w:rsid w:val="003E663C"/>
    <w:rsid w:val="003E6B7A"/>
    <w:rsid w:val="003E6CCC"/>
    <w:rsid w:val="003E6D1C"/>
    <w:rsid w:val="003E6DF4"/>
    <w:rsid w:val="003E72F9"/>
    <w:rsid w:val="003E7305"/>
    <w:rsid w:val="003E75D7"/>
    <w:rsid w:val="003E781C"/>
    <w:rsid w:val="003E785B"/>
    <w:rsid w:val="003E7E5E"/>
    <w:rsid w:val="003F0198"/>
    <w:rsid w:val="003F02D1"/>
    <w:rsid w:val="003F060A"/>
    <w:rsid w:val="003F0E71"/>
    <w:rsid w:val="003F0FE7"/>
    <w:rsid w:val="003F1222"/>
    <w:rsid w:val="003F12F6"/>
    <w:rsid w:val="003F1353"/>
    <w:rsid w:val="003F16EF"/>
    <w:rsid w:val="003F19E7"/>
    <w:rsid w:val="003F1BC5"/>
    <w:rsid w:val="003F1D30"/>
    <w:rsid w:val="003F1F10"/>
    <w:rsid w:val="003F1F6B"/>
    <w:rsid w:val="003F205F"/>
    <w:rsid w:val="003F2126"/>
    <w:rsid w:val="003F2698"/>
    <w:rsid w:val="003F277D"/>
    <w:rsid w:val="003F2917"/>
    <w:rsid w:val="003F293A"/>
    <w:rsid w:val="003F2CE3"/>
    <w:rsid w:val="003F2EDF"/>
    <w:rsid w:val="003F3113"/>
    <w:rsid w:val="003F3151"/>
    <w:rsid w:val="003F325F"/>
    <w:rsid w:val="003F337F"/>
    <w:rsid w:val="003F3387"/>
    <w:rsid w:val="003F35E4"/>
    <w:rsid w:val="003F3882"/>
    <w:rsid w:val="003F38CE"/>
    <w:rsid w:val="003F3C7E"/>
    <w:rsid w:val="003F3E8E"/>
    <w:rsid w:val="003F41D1"/>
    <w:rsid w:val="003F4540"/>
    <w:rsid w:val="003F4729"/>
    <w:rsid w:val="003F498C"/>
    <w:rsid w:val="003F4DA3"/>
    <w:rsid w:val="003F4FE1"/>
    <w:rsid w:val="003F522E"/>
    <w:rsid w:val="003F5523"/>
    <w:rsid w:val="003F5525"/>
    <w:rsid w:val="003F56B7"/>
    <w:rsid w:val="003F5792"/>
    <w:rsid w:val="003F58E9"/>
    <w:rsid w:val="003F5A23"/>
    <w:rsid w:val="003F5A81"/>
    <w:rsid w:val="003F5B6D"/>
    <w:rsid w:val="003F5C80"/>
    <w:rsid w:val="003F5F8F"/>
    <w:rsid w:val="003F5FB3"/>
    <w:rsid w:val="003F6263"/>
    <w:rsid w:val="003F65FB"/>
    <w:rsid w:val="003F6915"/>
    <w:rsid w:val="003F6DE6"/>
    <w:rsid w:val="003F6F17"/>
    <w:rsid w:val="003F6FC7"/>
    <w:rsid w:val="003F70A4"/>
    <w:rsid w:val="003F71F8"/>
    <w:rsid w:val="003F71FA"/>
    <w:rsid w:val="003F7266"/>
    <w:rsid w:val="003F7597"/>
    <w:rsid w:val="003F75B6"/>
    <w:rsid w:val="003F780F"/>
    <w:rsid w:val="003F7822"/>
    <w:rsid w:val="003F78A2"/>
    <w:rsid w:val="003F7A0E"/>
    <w:rsid w:val="003F7A38"/>
    <w:rsid w:val="003F7A72"/>
    <w:rsid w:val="003F7AB7"/>
    <w:rsid w:val="003F7C0E"/>
    <w:rsid w:val="003F7D08"/>
    <w:rsid w:val="00400023"/>
    <w:rsid w:val="004000ED"/>
    <w:rsid w:val="0040025A"/>
    <w:rsid w:val="004003D4"/>
    <w:rsid w:val="00400413"/>
    <w:rsid w:val="004004F1"/>
    <w:rsid w:val="00400578"/>
    <w:rsid w:val="004005D8"/>
    <w:rsid w:val="004007DA"/>
    <w:rsid w:val="004007E6"/>
    <w:rsid w:val="00400A32"/>
    <w:rsid w:val="00400BCB"/>
    <w:rsid w:val="00400CE5"/>
    <w:rsid w:val="0040128E"/>
    <w:rsid w:val="004013FA"/>
    <w:rsid w:val="004016D1"/>
    <w:rsid w:val="0040187E"/>
    <w:rsid w:val="00401C3E"/>
    <w:rsid w:val="004021C9"/>
    <w:rsid w:val="00402836"/>
    <w:rsid w:val="00402914"/>
    <w:rsid w:val="00402B68"/>
    <w:rsid w:val="00402C39"/>
    <w:rsid w:val="00402D04"/>
    <w:rsid w:val="00402DAB"/>
    <w:rsid w:val="00402F23"/>
    <w:rsid w:val="00402FBF"/>
    <w:rsid w:val="004033AF"/>
    <w:rsid w:val="0040354F"/>
    <w:rsid w:val="0040365C"/>
    <w:rsid w:val="00403749"/>
    <w:rsid w:val="0040382C"/>
    <w:rsid w:val="00403B15"/>
    <w:rsid w:val="00403B5D"/>
    <w:rsid w:val="00403B73"/>
    <w:rsid w:val="00403E21"/>
    <w:rsid w:val="00403EC4"/>
    <w:rsid w:val="00403FCF"/>
    <w:rsid w:val="00404569"/>
    <w:rsid w:val="0040468D"/>
    <w:rsid w:val="00404783"/>
    <w:rsid w:val="004047C6"/>
    <w:rsid w:val="00404A53"/>
    <w:rsid w:val="00404AA8"/>
    <w:rsid w:val="00404D73"/>
    <w:rsid w:val="00404DF4"/>
    <w:rsid w:val="00404E06"/>
    <w:rsid w:val="00405097"/>
    <w:rsid w:val="004051EC"/>
    <w:rsid w:val="00405477"/>
    <w:rsid w:val="00405502"/>
    <w:rsid w:val="00405835"/>
    <w:rsid w:val="00405BDB"/>
    <w:rsid w:val="00405F75"/>
    <w:rsid w:val="00405FBE"/>
    <w:rsid w:val="0040608E"/>
    <w:rsid w:val="004061F5"/>
    <w:rsid w:val="00406400"/>
    <w:rsid w:val="00406414"/>
    <w:rsid w:val="0040649E"/>
    <w:rsid w:val="00406502"/>
    <w:rsid w:val="00406724"/>
    <w:rsid w:val="004067B6"/>
    <w:rsid w:val="004067E1"/>
    <w:rsid w:val="00406A53"/>
    <w:rsid w:val="00406A5D"/>
    <w:rsid w:val="00406BA7"/>
    <w:rsid w:val="00406C51"/>
    <w:rsid w:val="00406DD7"/>
    <w:rsid w:val="00407288"/>
    <w:rsid w:val="004072A1"/>
    <w:rsid w:val="0040733B"/>
    <w:rsid w:val="00407423"/>
    <w:rsid w:val="00407623"/>
    <w:rsid w:val="00407636"/>
    <w:rsid w:val="004076DF"/>
    <w:rsid w:val="0040775A"/>
    <w:rsid w:val="00407873"/>
    <w:rsid w:val="004079A6"/>
    <w:rsid w:val="00407AA9"/>
    <w:rsid w:val="00407B2A"/>
    <w:rsid w:val="00407C85"/>
    <w:rsid w:val="00407CDE"/>
    <w:rsid w:val="0041009D"/>
    <w:rsid w:val="0041013C"/>
    <w:rsid w:val="004102E3"/>
    <w:rsid w:val="0041090C"/>
    <w:rsid w:val="00410AC1"/>
    <w:rsid w:val="00410D54"/>
    <w:rsid w:val="00410F6A"/>
    <w:rsid w:val="00411048"/>
    <w:rsid w:val="00411776"/>
    <w:rsid w:val="00411A21"/>
    <w:rsid w:val="00411C16"/>
    <w:rsid w:val="00411EA5"/>
    <w:rsid w:val="00411F80"/>
    <w:rsid w:val="00412606"/>
    <w:rsid w:val="00412B7E"/>
    <w:rsid w:val="00412BBD"/>
    <w:rsid w:val="00412EC4"/>
    <w:rsid w:val="00412F48"/>
    <w:rsid w:val="00413034"/>
    <w:rsid w:val="004133F7"/>
    <w:rsid w:val="0041340F"/>
    <w:rsid w:val="004134DF"/>
    <w:rsid w:val="00413816"/>
    <w:rsid w:val="00413836"/>
    <w:rsid w:val="00413860"/>
    <w:rsid w:val="004138CB"/>
    <w:rsid w:val="00413CF9"/>
    <w:rsid w:val="0041438A"/>
    <w:rsid w:val="004146AF"/>
    <w:rsid w:val="004148D3"/>
    <w:rsid w:val="00414955"/>
    <w:rsid w:val="00414E37"/>
    <w:rsid w:val="00414FBD"/>
    <w:rsid w:val="004150DF"/>
    <w:rsid w:val="00415503"/>
    <w:rsid w:val="0041551C"/>
    <w:rsid w:val="00415774"/>
    <w:rsid w:val="00415898"/>
    <w:rsid w:val="004158F6"/>
    <w:rsid w:val="004159A6"/>
    <w:rsid w:val="00415D00"/>
    <w:rsid w:val="004162DC"/>
    <w:rsid w:val="004163A2"/>
    <w:rsid w:val="00416573"/>
    <w:rsid w:val="004166C8"/>
    <w:rsid w:val="0041694E"/>
    <w:rsid w:val="00416986"/>
    <w:rsid w:val="00416A74"/>
    <w:rsid w:val="00416DB6"/>
    <w:rsid w:val="0041710E"/>
    <w:rsid w:val="0041714D"/>
    <w:rsid w:val="00417331"/>
    <w:rsid w:val="00417370"/>
    <w:rsid w:val="0041750D"/>
    <w:rsid w:val="0041756A"/>
    <w:rsid w:val="004178A6"/>
    <w:rsid w:val="00417CC0"/>
    <w:rsid w:val="00417E75"/>
    <w:rsid w:val="00417EE1"/>
    <w:rsid w:val="00417F36"/>
    <w:rsid w:val="00417F38"/>
    <w:rsid w:val="004205AB"/>
    <w:rsid w:val="00420687"/>
    <w:rsid w:val="00420710"/>
    <w:rsid w:val="00420842"/>
    <w:rsid w:val="00420935"/>
    <w:rsid w:val="00420A14"/>
    <w:rsid w:val="00420AB9"/>
    <w:rsid w:val="00420AD5"/>
    <w:rsid w:val="00420C74"/>
    <w:rsid w:val="00421723"/>
    <w:rsid w:val="004217A1"/>
    <w:rsid w:val="00421805"/>
    <w:rsid w:val="0042195E"/>
    <w:rsid w:val="00421BC3"/>
    <w:rsid w:val="00421DA4"/>
    <w:rsid w:val="00421E68"/>
    <w:rsid w:val="004220D9"/>
    <w:rsid w:val="00422746"/>
    <w:rsid w:val="00422817"/>
    <w:rsid w:val="00422D5C"/>
    <w:rsid w:val="00422E2E"/>
    <w:rsid w:val="0042301C"/>
    <w:rsid w:val="004232D2"/>
    <w:rsid w:val="00423312"/>
    <w:rsid w:val="00423476"/>
    <w:rsid w:val="00423993"/>
    <w:rsid w:val="004239DC"/>
    <w:rsid w:val="00423ABD"/>
    <w:rsid w:val="00423CEA"/>
    <w:rsid w:val="0042409F"/>
    <w:rsid w:val="00424920"/>
    <w:rsid w:val="00424AD2"/>
    <w:rsid w:val="00424B7C"/>
    <w:rsid w:val="00424B80"/>
    <w:rsid w:val="00424BAC"/>
    <w:rsid w:val="00424C10"/>
    <w:rsid w:val="00424DD8"/>
    <w:rsid w:val="00425017"/>
    <w:rsid w:val="0042542A"/>
    <w:rsid w:val="004255A2"/>
    <w:rsid w:val="0042572B"/>
    <w:rsid w:val="00425906"/>
    <w:rsid w:val="00425C42"/>
    <w:rsid w:val="00425E90"/>
    <w:rsid w:val="0042629B"/>
    <w:rsid w:val="004262B9"/>
    <w:rsid w:val="00426326"/>
    <w:rsid w:val="00426829"/>
    <w:rsid w:val="00426953"/>
    <w:rsid w:val="00426ABA"/>
    <w:rsid w:val="00426D76"/>
    <w:rsid w:val="00426D84"/>
    <w:rsid w:val="00426ECA"/>
    <w:rsid w:val="00426EDD"/>
    <w:rsid w:val="0042707F"/>
    <w:rsid w:val="004270A9"/>
    <w:rsid w:val="00427293"/>
    <w:rsid w:val="0042747D"/>
    <w:rsid w:val="004274F7"/>
    <w:rsid w:val="004275A1"/>
    <w:rsid w:val="0042777C"/>
    <w:rsid w:val="004278D8"/>
    <w:rsid w:val="00427A6C"/>
    <w:rsid w:val="00427D07"/>
    <w:rsid w:val="00427FB0"/>
    <w:rsid w:val="00427FE9"/>
    <w:rsid w:val="00427FEF"/>
    <w:rsid w:val="00430015"/>
    <w:rsid w:val="004303ED"/>
    <w:rsid w:val="004308AA"/>
    <w:rsid w:val="00430C65"/>
    <w:rsid w:val="00430F28"/>
    <w:rsid w:val="00430F98"/>
    <w:rsid w:val="00430FA0"/>
    <w:rsid w:val="004316DC"/>
    <w:rsid w:val="00431748"/>
    <w:rsid w:val="004318BB"/>
    <w:rsid w:val="0043191C"/>
    <w:rsid w:val="00431A53"/>
    <w:rsid w:val="00431B45"/>
    <w:rsid w:val="00431B7D"/>
    <w:rsid w:val="00431D35"/>
    <w:rsid w:val="00431E25"/>
    <w:rsid w:val="00431FC9"/>
    <w:rsid w:val="00432078"/>
    <w:rsid w:val="00432555"/>
    <w:rsid w:val="004327FC"/>
    <w:rsid w:val="0043281A"/>
    <w:rsid w:val="00432ED3"/>
    <w:rsid w:val="00432F18"/>
    <w:rsid w:val="00433317"/>
    <w:rsid w:val="0043331F"/>
    <w:rsid w:val="00433347"/>
    <w:rsid w:val="0043335E"/>
    <w:rsid w:val="004333B1"/>
    <w:rsid w:val="00433445"/>
    <w:rsid w:val="0043347D"/>
    <w:rsid w:val="004334ED"/>
    <w:rsid w:val="0043364F"/>
    <w:rsid w:val="00433672"/>
    <w:rsid w:val="0043368B"/>
    <w:rsid w:val="0043399D"/>
    <w:rsid w:val="00433A50"/>
    <w:rsid w:val="00433CE3"/>
    <w:rsid w:val="00433DCA"/>
    <w:rsid w:val="00433FCE"/>
    <w:rsid w:val="00433FEC"/>
    <w:rsid w:val="004341B7"/>
    <w:rsid w:val="004343E6"/>
    <w:rsid w:val="004346F1"/>
    <w:rsid w:val="004347C1"/>
    <w:rsid w:val="00434A93"/>
    <w:rsid w:val="00434B8D"/>
    <w:rsid w:val="00435031"/>
    <w:rsid w:val="0043519A"/>
    <w:rsid w:val="00435451"/>
    <w:rsid w:val="004356F9"/>
    <w:rsid w:val="0043572D"/>
    <w:rsid w:val="004357FD"/>
    <w:rsid w:val="00435A90"/>
    <w:rsid w:val="00435C08"/>
    <w:rsid w:val="00436142"/>
    <w:rsid w:val="004362EE"/>
    <w:rsid w:val="004367B9"/>
    <w:rsid w:val="00436A81"/>
    <w:rsid w:val="00436D1D"/>
    <w:rsid w:val="00436D48"/>
    <w:rsid w:val="00436DDC"/>
    <w:rsid w:val="00436E80"/>
    <w:rsid w:val="004372C1"/>
    <w:rsid w:val="0043757A"/>
    <w:rsid w:val="0044003F"/>
    <w:rsid w:val="004400DF"/>
    <w:rsid w:val="004403F1"/>
    <w:rsid w:val="004404A2"/>
    <w:rsid w:val="00440720"/>
    <w:rsid w:val="004409D4"/>
    <w:rsid w:val="00440AB6"/>
    <w:rsid w:val="00440AB7"/>
    <w:rsid w:val="00440B53"/>
    <w:rsid w:val="00440BC5"/>
    <w:rsid w:val="00440BD0"/>
    <w:rsid w:val="00441010"/>
    <w:rsid w:val="00441070"/>
    <w:rsid w:val="00441180"/>
    <w:rsid w:val="004411CE"/>
    <w:rsid w:val="004411DE"/>
    <w:rsid w:val="004415DD"/>
    <w:rsid w:val="00441707"/>
    <w:rsid w:val="004417E1"/>
    <w:rsid w:val="00441B4F"/>
    <w:rsid w:val="00441B8D"/>
    <w:rsid w:val="00441BA4"/>
    <w:rsid w:val="00441C3B"/>
    <w:rsid w:val="00442049"/>
    <w:rsid w:val="0044211F"/>
    <w:rsid w:val="00442281"/>
    <w:rsid w:val="004423F5"/>
    <w:rsid w:val="004424D5"/>
    <w:rsid w:val="004427B3"/>
    <w:rsid w:val="0044281D"/>
    <w:rsid w:val="00442915"/>
    <w:rsid w:val="00442E47"/>
    <w:rsid w:val="004430B1"/>
    <w:rsid w:val="0044312B"/>
    <w:rsid w:val="00443154"/>
    <w:rsid w:val="004432D1"/>
    <w:rsid w:val="0044344B"/>
    <w:rsid w:val="0044359A"/>
    <w:rsid w:val="00443715"/>
    <w:rsid w:val="00443729"/>
    <w:rsid w:val="00443D08"/>
    <w:rsid w:val="00443EAB"/>
    <w:rsid w:val="00443EEB"/>
    <w:rsid w:val="004440B5"/>
    <w:rsid w:val="00444100"/>
    <w:rsid w:val="004441C3"/>
    <w:rsid w:val="00444349"/>
    <w:rsid w:val="00444489"/>
    <w:rsid w:val="00444827"/>
    <w:rsid w:val="004448CB"/>
    <w:rsid w:val="0044491A"/>
    <w:rsid w:val="00444985"/>
    <w:rsid w:val="00444B46"/>
    <w:rsid w:val="00444C2B"/>
    <w:rsid w:val="0044516C"/>
    <w:rsid w:val="004451F7"/>
    <w:rsid w:val="004453B2"/>
    <w:rsid w:val="00445442"/>
    <w:rsid w:val="0044550E"/>
    <w:rsid w:val="004456A7"/>
    <w:rsid w:val="0044584F"/>
    <w:rsid w:val="00445A26"/>
    <w:rsid w:val="00445A67"/>
    <w:rsid w:val="00445A99"/>
    <w:rsid w:val="00445BEA"/>
    <w:rsid w:val="00445CAE"/>
    <w:rsid w:val="00445FEA"/>
    <w:rsid w:val="0044657C"/>
    <w:rsid w:val="004466CC"/>
    <w:rsid w:val="0044671B"/>
    <w:rsid w:val="00446995"/>
    <w:rsid w:val="00446B6D"/>
    <w:rsid w:val="00446BA9"/>
    <w:rsid w:val="00446D2B"/>
    <w:rsid w:val="0044708F"/>
    <w:rsid w:val="004477CA"/>
    <w:rsid w:val="00447A32"/>
    <w:rsid w:val="00447C43"/>
    <w:rsid w:val="00447D1A"/>
    <w:rsid w:val="00447EFD"/>
    <w:rsid w:val="0045013F"/>
    <w:rsid w:val="00450227"/>
    <w:rsid w:val="00450274"/>
    <w:rsid w:val="00450492"/>
    <w:rsid w:val="00450597"/>
    <w:rsid w:val="00450A89"/>
    <w:rsid w:val="00450B6B"/>
    <w:rsid w:val="00450C7B"/>
    <w:rsid w:val="00450D53"/>
    <w:rsid w:val="00450F7E"/>
    <w:rsid w:val="00451092"/>
    <w:rsid w:val="00451149"/>
    <w:rsid w:val="004511D5"/>
    <w:rsid w:val="004512A3"/>
    <w:rsid w:val="00451302"/>
    <w:rsid w:val="00451304"/>
    <w:rsid w:val="0045154B"/>
    <w:rsid w:val="00451728"/>
    <w:rsid w:val="00451954"/>
    <w:rsid w:val="00451E96"/>
    <w:rsid w:val="00451EBC"/>
    <w:rsid w:val="004520D9"/>
    <w:rsid w:val="0045214E"/>
    <w:rsid w:val="0045265D"/>
    <w:rsid w:val="0045291A"/>
    <w:rsid w:val="00452B89"/>
    <w:rsid w:val="00452C4B"/>
    <w:rsid w:val="00452CD0"/>
    <w:rsid w:val="00452DC3"/>
    <w:rsid w:val="00452EAD"/>
    <w:rsid w:val="00452EC0"/>
    <w:rsid w:val="004530BA"/>
    <w:rsid w:val="00453221"/>
    <w:rsid w:val="00453591"/>
    <w:rsid w:val="00453832"/>
    <w:rsid w:val="00453DD6"/>
    <w:rsid w:val="0045411C"/>
    <w:rsid w:val="00454344"/>
    <w:rsid w:val="004546DA"/>
    <w:rsid w:val="00454730"/>
    <w:rsid w:val="00454787"/>
    <w:rsid w:val="00454866"/>
    <w:rsid w:val="00454946"/>
    <w:rsid w:val="00454B2D"/>
    <w:rsid w:val="00454E44"/>
    <w:rsid w:val="00455027"/>
    <w:rsid w:val="00455125"/>
    <w:rsid w:val="004551F9"/>
    <w:rsid w:val="004557F0"/>
    <w:rsid w:val="00455983"/>
    <w:rsid w:val="00455BC9"/>
    <w:rsid w:val="00455DD4"/>
    <w:rsid w:val="0045608B"/>
    <w:rsid w:val="0045628A"/>
    <w:rsid w:val="004562F3"/>
    <w:rsid w:val="0045631D"/>
    <w:rsid w:val="00456522"/>
    <w:rsid w:val="00457415"/>
    <w:rsid w:val="0045748B"/>
    <w:rsid w:val="0045753A"/>
    <w:rsid w:val="0045771D"/>
    <w:rsid w:val="00457757"/>
    <w:rsid w:val="00457AE0"/>
    <w:rsid w:val="00457BA8"/>
    <w:rsid w:val="00457C60"/>
    <w:rsid w:val="00457C83"/>
    <w:rsid w:val="00457CC8"/>
    <w:rsid w:val="00457DE6"/>
    <w:rsid w:val="00457E43"/>
    <w:rsid w:val="004600C5"/>
    <w:rsid w:val="0046014A"/>
    <w:rsid w:val="00460292"/>
    <w:rsid w:val="004607B1"/>
    <w:rsid w:val="004607D5"/>
    <w:rsid w:val="00460908"/>
    <w:rsid w:val="00460997"/>
    <w:rsid w:val="00460DB4"/>
    <w:rsid w:val="00461057"/>
    <w:rsid w:val="00461088"/>
    <w:rsid w:val="0046156A"/>
    <w:rsid w:val="004617EC"/>
    <w:rsid w:val="00461A79"/>
    <w:rsid w:val="00461AFB"/>
    <w:rsid w:val="00461B50"/>
    <w:rsid w:val="00461E43"/>
    <w:rsid w:val="00461EAD"/>
    <w:rsid w:val="00461EB3"/>
    <w:rsid w:val="00461EC9"/>
    <w:rsid w:val="004621DA"/>
    <w:rsid w:val="00462208"/>
    <w:rsid w:val="004623F1"/>
    <w:rsid w:val="0046252A"/>
    <w:rsid w:val="00462598"/>
    <w:rsid w:val="004625F9"/>
    <w:rsid w:val="00462713"/>
    <w:rsid w:val="0046278A"/>
    <w:rsid w:val="00462791"/>
    <w:rsid w:val="00462C60"/>
    <w:rsid w:val="00462DD2"/>
    <w:rsid w:val="00462EE1"/>
    <w:rsid w:val="0046302F"/>
    <w:rsid w:val="0046308C"/>
    <w:rsid w:val="004633DC"/>
    <w:rsid w:val="0046361D"/>
    <w:rsid w:val="00463693"/>
    <w:rsid w:val="004636F9"/>
    <w:rsid w:val="0046371A"/>
    <w:rsid w:val="004637EB"/>
    <w:rsid w:val="004638F5"/>
    <w:rsid w:val="00463B6B"/>
    <w:rsid w:val="004640A0"/>
    <w:rsid w:val="0046431E"/>
    <w:rsid w:val="004643EB"/>
    <w:rsid w:val="00464876"/>
    <w:rsid w:val="00464A3C"/>
    <w:rsid w:val="00464AC4"/>
    <w:rsid w:val="00464C29"/>
    <w:rsid w:val="00464EA7"/>
    <w:rsid w:val="004650DE"/>
    <w:rsid w:val="004651BE"/>
    <w:rsid w:val="0046548F"/>
    <w:rsid w:val="0046573D"/>
    <w:rsid w:val="004657D8"/>
    <w:rsid w:val="004658EB"/>
    <w:rsid w:val="00465DC8"/>
    <w:rsid w:val="00465EBA"/>
    <w:rsid w:val="00466971"/>
    <w:rsid w:val="004669EF"/>
    <w:rsid w:val="00466A17"/>
    <w:rsid w:val="00466D86"/>
    <w:rsid w:val="00466F6B"/>
    <w:rsid w:val="0046746D"/>
    <w:rsid w:val="00467683"/>
    <w:rsid w:val="00467C17"/>
    <w:rsid w:val="004703CE"/>
    <w:rsid w:val="004703D7"/>
    <w:rsid w:val="004705C8"/>
    <w:rsid w:val="004706FF"/>
    <w:rsid w:val="00470927"/>
    <w:rsid w:val="004709F1"/>
    <w:rsid w:val="00470C34"/>
    <w:rsid w:val="00470D10"/>
    <w:rsid w:val="00470D5D"/>
    <w:rsid w:val="00470E47"/>
    <w:rsid w:val="00470FE3"/>
    <w:rsid w:val="00471169"/>
    <w:rsid w:val="00471256"/>
    <w:rsid w:val="00471518"/>
    <w:rsid w:val="004715FA"/>
    <w:rsid w:val="00471628"/>
    <w:rsid w:val="0047188C"/>
    <w:rsid w:val="00471936"/>
    <w:rsid w:val="00471DB0"/>
    <w:rsid w:val="00471E7D"/>
    <w:rsid w:val="00471E7E"/>
    <w:rsid w:val="0047202A"/>
    <w:rsid w:val="0047255E"/>
    <w:rsid w:val="0047263B"/>
    <w:rsid w:val="00472801"/>
    <w:rsid w:val="00472C93"/>
    <w:rsid w:val="00472CF2"/>
    <w:rsid w:val="00472F77"/>
    <w:rsid w:val="00473118"/>
    <w:rsid w:val="00473385"/>
    <w:rsid w:val="004737C3"/>
    <w:rsid w:val="004737DA"/>
    <w:rsid w:val="004739B0"/>
    <w:rsid w:val="00473A65"/>
    <w:rsid w:val="00473E28"/>
    <w:rsid w:val="00473F16"/>
    <w:rsid w:val="00473F7C"/>
    <w:rsid w:val="00474019"/>
    <w:rsid w:val="0047407F"/>
    <w:rsid w:val="00474367"/>
    <w:rsid w:val="00474471"/>
    <w:rsid w:val="004745AC"/>
    <w:rsid w:val="00474668"/>
    <w:rsid w:val="00474700"/>
    <w:rsid w:val="0047472D"/>
    <w:rsid w:val="00474762"/>
    <w:rsid w:val="0047476E"/>
    <w:rsid w:val="00474A2B"/>
    <w:rsid w:val="00474C2A"/>
    <w:rsid w:val="00474D6D"/>
    <w:rsid w:val="00474DA2"/>
    <w:rsid w:val="00474DDB"/>
    <w:rsid w:val="004751B3"/>
    <w:rsid w:val="00475315"/>
    <w:rsid w:val="004757D2"/>
    <w:rsid w:val="00475919"/>
    <w:rsid w:val="00475A87"/>
    <w:rsid w:val="00475B19"/>
    <w:rsid w:val="00475D0D"/>
    <w:rsid w:val="00475E1B"/>
    <w:rsid w:val="00475EA5"/>
    <w:rsid w:val="00476003"/>
    <w:rsid w:val="00476031"/>
    <w:rsid w:val="00476056"/>
    <w:rsid w:val="00476428"/>
    <w:rsid w:val="00476580"/>
    <w:rsid w:val="004767F1"/>
    <w:rsid w:val="0047685B"/>
    <w:rsid w:val="0047693A"/>
    <w:rsid w:val="00476BA9"/>
    <w:rsid w:val="00476DA1"/>
    <w:rsid w:val="00476E31"/>
    <w:rsid w:val="00476E4E"/>
    <w:rsid w:val="00476EDC"/>
    <w:rsid w:val="004770FE"/>
    <w:rsid w:val="004772B2"/>
    <w:rsid w:val="004773D6"/>
    <w:rsid w:val="0047745E"/>
    <w:rsid w:val="0047751E"/>
    <w:rsid w:val="00477820"/>
    <w:rsid w:val="004778DE"/>
    <w:rsid w:val="0047796B"/>
    <w:rsid w:val="00477A3E"/>
    <w:rsid w:val="00477B40"/>
    <w:rsid w:val="00477B8F"/>
    <w:rsid w:val="004802E6"/>
    <w:rsid w:val="004806F2"/>
    <w:rsid w:val="0048080C"/>
    <w:rsid w:val="00480936"/>
    <w:rsid w:val="00480A41"/>
    <w:rsid w:val="00480F37"/>
    <w:rsid w:val="0048119F"/>
    <w:rsid w:val="004816C8"/>
    <w:rsid w:val="0048183A"/>
    <w:rsid w:val="004818CA"/>
    <w:rsid w:val="00481AF5"/>
    <w:rsid w:val="00481C9B"/>
    <w:rsid w:val="00481FAC"/>
    <w:rsid w:val="00482166"/>
    <w:rsid w:val="00482379"/>
    <w:rsid w:val="004824A7"/>
    <w:rsid w:val="0048268C"/>
    <w:rsid w:val="00482956"/>
    <w:rsid w:val="004829AE"/>
    <w:rsid w:val="00482F8A"/>
    <w:rsid w:val="0048311D"/>
    <w:rsid w:val="00483481"/>
    <w:rsid w:val="004838D7"/>
    <w:rsid w:val="00483907"/>
    <w:rsid w:val="0048390D"/>
    <w:rsid w:val="00483C64"/>
    <w:rsid w:val="00483E7F"/>
    <w:rsid w:val="00483F02"/>
    <w:rsid w:val="0048405E"/>
    <w:rsid w:val="0048422D"/>
    <w:rsid w:val="004842B5"/>
    <w:rsid w:val="00484457"/>
    <w:rsid w:val="004844F0"/>
    <w:rsid w:val="00484890"/>
    <w:rsid w:val="00484BAC"/>
    <w:rsid w:val="00484CAF"/>
    <w:rsid w:val="00485518"/>
    <w:rsid w:val="00485607"/>
    <w:rsid w:val="00485658"/>
    <w:rsid w:val="00485781"/>
    <w:rsid w:val="00485C43"/>
    <w:rsid w:val="00486294"/>
    <w:rsid w:val="0048667E"/>
    <w:rsid w:val="00486E77"/>
    <w:rsid w:val="00486F03"/>
    <w:rsid w:val="00487108"/>
    <w:rsid w:val="004872FF"/>
    <w:rsid w:val="00487307"/>
    <w:rsid w:val="00487658"/>
    <w:rsid w:val="00487695"/>
    <w:rsid w:val="00487744"/>
    <w:rsid w:val="00487921"/>
    <w:rsid w:val="004879E6"/>
    <w:rsid w:val="00487CD4"/>
    <w:rsid w:val="00487E5A"/>
    <w:rsid w:val="004900CE"/>
    <w:rsid w:val="004900FB"/>
    <w:rsid w:val="004902FD"/>
    <w:rsid w:val="00490560"/>
    <w:rsid w:val="00490667"/>
    <w:rsid w:val="0049074D"/>
    <w:rsid w:val="00490870"/>
    <w:rsid w:val="00490AA9"/>
    <w:rsid w:val="00490C95"/>
    <w:rsid w:val="00490DBF"/>
    <w:rsid w:val="00491063"/>
    <w:rsid w:val="004910FF"/>
    <w:rsid w:val="00491187"/>
    <w:rsid w:val="004915A7"/>
    <w:rsid w:val="00491776"/>
    <w:rsid w:val="00491AA0"/>
    <w:rsid w:val="00491D9E"/>
    <w:rsid w:val="0049245B"/>
    <w:rsid w:val="0049263D"/>
    <w:rsid w:val="004926C4"/>
    <w:rsid w:val="004926FD"/>
    <w:rsid w:val="0049276F"/>
    <w:rsid w:val="004927D4"/>
    <w:rsid w:val="00492DE5"/>
    <w:rsid w:val="004933AF"/>
    <w:rsid w:val="00493440"/>
    <w:rsid w:val="004934DF"/>
    <w:rsid w:val="0049377D"/>
    <w:rsid w:val="00493B28"/>
    <w:rsid w:val="00493DD6"/>
    <w:rsid w:val="00493F72"/>
    <w:rsid w:val="00493FBB"/>
    <w:rsid w:val="004940D2"/>
    <w:rsid w:val="00494258"/>
    <w:rsid w:val="004942B0"/>
    <w:rsid w:val="004945CD"/>
    <w:rsid w:val="00494A98"/>
    <w:rsid w:val="00494B05"/>
    <w:rsid w:val="00494C01"/>
    <w:rsid w:val="00494C0A"/>
    <w:rsid w:val="00494E38"/>
    <w:rsid w:val="00494EF4"/>
    <w:rsid w:val="00494F5E"/>
    <w:rsid w:val="0049503A"/>
    <w:rsid w:val="00495178"/>
    <w:rsid w:val="00495205"/>
    <w:rsid w:val="0049539B"/>
    <w:rsid w:val="00495449"/>
    <w:rsid w:val="00495910"/>
    <w:rsid w:val="0049596C"/>
    <w:rsid w:val="00495CE6"/>
    <w:rsid w:val="00495FE3"/>
    <w:rsid w:val="00496014"/>
    <w:rsid w:val="004963E3"/>
    <w:rsid w:val="004967D0"/>
    <w:rsid w:val="00496D2D"/>
    <w:rsid w:val="004970B0"/>
    <w:rsid w:val="00497261"/>
    <w:rsid w:val="004972BB"/>
    <w:rsid w:val="004979EA"/>
    <w:rsid w:val="00497AB0"/>
    <w:rsid w:val="004A01A5"/>
    <w:rsid w:val="004A048F"/>
    <w:rsid w:val="004A06B4"/>
    <w:rsid w:val="004A070E"/>
    <w:rsid w:val="004A0721"/>
    <w:rsid w:val="004A09C2"/>
    <w:rsid w:val="004A0C18"/>
    <w:rsid w:val="004A0C62"/>
    <w:rsid w:val="004A0FC5"/>
    <w:rsid w:val="004A10A6"/>
    <w:rsid w:val="004A11AD"/>
    <w:rsid w:val="004A134A"/>
    <w:rsid w:val="004A14DF"/>
    <w:rsid w:val="004A1863"/>
    <w:rsid w:val="004A1D21"/>
    <w:rsid w:val="004A20C2"/>
    <w:rsid w:val="004A236D"/>
    <w:rsid w:val="004A24BC"/>
    <w:rsid w:val="004A24C6"/>
    <w:rsid w:val="004A250B"/>
    <w:rsid w:val="004A2513"/>
    <w:rsid w:val="004A25EC"/>
    <w:rsid w:val="004A2645"/>
    <w:rsid w:val="004A2CF4"/>
    <w:rsid w:val="004A2EDA"/>
    <w:rsid w:val="004A2F9E"/>
    <w:rsid w:val="004A3057"/>
    <w:rsid w:val="004A30BB"/>
    <w:rsid w:val="004A31BB"/>
    <w:rsid w:val="004A33A0"/>
    <w:rsid w:val="004A33E5"/>
    <w:rsid w:val="004A35BE"/>
    <w:rsid w:val="004A3720"/>
    <w:rsid w:val="004A3734"/>
    <w:rsid w:val="004A37D6"/>
    <w:rsid w:val="004A3A11"/>
    <w:rsid w:val="004A3A23"/>
    <w:rsid w:val="004A4027"/>
    <w:rsid w:val="004A4092"/>
    <w:rsid w:val="004A41A6"/>
    <w:rsid w:val="004A426A"/>
    <w:rsid w:val="004A42BA"/>
    <w:rsid w:val="004A4330"/>
    <w:rsid w:val="004A434D"/>
    <w:rsid w:val="004A4460"/>
    <w:rsid w:val="004A4599"/>
    <w:rsid w:val="004A4B65"/>
    <w:rsid w:val="004A4B88"/>
    <w:rsid w:val="004A4BBC"/>
    <w:rsid w:val="004A4DA7"/>
    <w:rsid w:val="004A4DC5"/>
    <w:rsid w:val="004A4E5B"/>
    <w:rsid w:val="004A5420"/>
    <w:rsid w:val="004A5657"/>
    <w:rsid w:val="004A5737"/>
    <w:rsid w:val="004A59EB"/>
    <w:rsid w:val="004A5B8C"/>
    <w:rsid w:val="004A5D44"/>
    <w:rsid w:val="004A5F2D"/>
    <w:rsid w:val="004A633A"/>
    <w:rsid w:val="004A63C9"/>
    <w:rsid w:val="004A6660"/>
    <w:rsid w:val="004A6B42"/>
    <w:rsid w:val="004A6B44"/>
    <w:rsid w:val="004A6CA8"/>
    <w:rsid w:val="004A6D35"/>
    <w:rsid w:val="004A7324"/>
    <w:rsid w:val="004A73A5"/>
    <w:rsid w:val="004A7964"/>
    <w:rsid w:val="004A7AA0"/>
    <w:rsid w:val="004A7F20"/>
    <w:rsid w:val="004B0074"/>
    <w:rsid w:val="004B01AB"/>
    <w:rsid w:val="004B02D1"/>
    <w:rsid w:val="004B02EB"/>
    <w:rsid w:val="004B02F1"/>
    <w:rsid w:val="004B0388"/>
    <w:rsid w:val="004B059D"/>
    <w:rsid w:val="004B0674"/>
    <w:rsid w:val="004B06BD"/>
    <w:rsid w:val="004B0C74"/>
    <w:rsid w:val="004B0C98"/>
    <w:rsid w:val="004B0E39"/>
    <w:rsid w:val="004B0FC2"/>
    <w:rsid w:val="004B10C7"/>
    <w:rsid w:val="004B10D5"/>
    <w:rsid w:val="004B11A7"/>
    <w:rsid w:val="004B173E"/>
    <w:rsid w:val="004B17AA"/>
    <w:rsid w:val="004B1F18"/>
    <w:rsid w:val="004B1F9D"/>
    <w:rsid w:val="004B209D"/>
    <w:rsid w:val="004B20DA"/>
    <w:rsid w:val="004B216B"/>
    <w:rsid w:val="004B2189"/>
    <w:rsid w:val="004B2350"/>
    <w:rsid w:val="004B2357"/>
    <w:rsid w:val="004B24C0"/>
    <w:rsid w:val="004B2521"/>
    <w:rsid w:val="004B2563"/>
    <w:rsid w:val="004B2AF8"/>
    <w:rsid w:val="004B2B73"/>
    <w:rsid w:val="004B2E8B"/>
    <w:rsid w:val="004B3091"/>
    <w:rsid w:val="004B317C"/>
    <w:rsid w:val="004B326A"/>
    <w:rsid w:val="004B35E0"/>
    <w:rsid w:val="004B3615"/>
    <w:rsid w:val="004B3734"/>
    <w:rsid w:val="004B3777"/>
    <w:rsid w:val="004B37BC"/>
    <w:rsid w:val="004B392E"/>
    <w:rsid w:val="004B39B6"/>
    <w:rsid w:val="004B3A02"/>
    <w:rsid w:val="004B3A9F"/>
    <w:rsid w:val="004B3B7E"/>
    <w:rsid w:val="004B3C15"/>
    <w:rsid w:val="004B3E4F"/>
    <w:rsid w:val="004B40E1"/>
    <w:rsid w:val="004B4856"/>
    <w:rsid w:val="004B4B27"/>
    <w:rsid w:val="004B50B8"/>
    <w:rsid w:val="004B52C0"/>
    <w:rsid w:val="004B52CA"/>
    <w:rsid w:val="004B5336"/>
    <w:rsid w:val="004B5385"/>
    <w:rsid w:val="004B557A"/>
    <w:rsid w:val="004B5986"/>
    <w:rsid w:val="004B5A4F"/>
    <w:rsid w:val="004B5AB2"/>
    <w:rsid w:val="004B5AF6"/>
    <w:rsid w:val="004B604D"/>
    <w:rsid w:val="004B61C3"/>
    <w:rsid w:val="004B61C6"/>
    <w:rsid w:val="004B62C2"/>
    <w:rsid w:val="004B6394"/>
    <w:rsid w:val="004B64AC"/>
    <w:rsid w:val="004B65DB"/>
    <w:rsid w:val="004B6604"/>
    <w:rsid w:val="004B66BB"/>
    <w:rsid w:val="004B681D"/>
    <w:rsid w:val="004B69A4"/>
    <w:rsid w:val="004B6BFB"/>
    <w:rsid w:val="004B6D51"/>
    <w:rsid w:val="004B6E22"/>
    <w:rsid w:val="004B70E4"/>
    <w:rsid w:val="004B73AB"/>
    <w:rsid w:val="004B757D"/>
    <w:rsid w:val="004B7B0C"/>
    <w:rsid w:val="004B7B46"/>
    <w:rsid w:val="004B7C78"/>
    <w:rsid w:val="004B7E51"/>
    <w:rsid w:val="004C0221"/>
    <w:rsid w:val="004C08B4"/>
    <w:rsid w:val="004C09FF"/>
    <w:rsid w:val="004C0AA6"/>
    <w:rsid w:val="004C0CF4"/>
    <w:rsid w:val="004C106B"/>
    <w:rsid w:val="004C10CD"/>
    <w:rsid w:val="004C11E8"/>
    <w:rsid w:val="004C18DA"/>
    <w:rsid w:val="004C1C05"/>
    <w:rsid w:val="004C1F05"/>
    <w:rsid w:val="004C1FF7"/>
    <w:rsid w:val="004C2014"/>
    <w:rsid w:val="004C212C"/>
    <w:rsid w:val="004C2196"/>
    <w:rsid w:val="004C2218"/>
    <w:rsid w:val="004C2540"/>
    <w:rsid w:val="004C2788"/>
    <w:rsid w:val="004C27E8"/>
    <w:rsid w:val="004C2BAE"/>
    <w:rsid w:val="004C2D13"/>
    <w:rsid w:val="004C2D48"/>
    <w:rsid w:val="004C2FFB"/>
    <w:rsid w:val="004C327A"/>
    <w:rsid w:val="004C33A5"/>
    <w:rsid w:val="004C34B1"/>
    <w:rsid w:val="004C3822"/>
    <w:rsid w:val="004C39EB"/>
    <w:rsid w:val="004C3A3D"/>
    <w:rsid w:val="004C3D9E"/>
    <w:rsid w:val="004C3DB8"/>
    <w:rsid w:val="004C40EC"/>
    <w:rsid w:val="004C4808"/>
    <w:rsid w:val="004C4898"/>
    <w:rsid w:val="004C4B94"/>
    <w:rsid w:val="004C4EE4"/>
    <w:rsid w:val="004C5087"/>
    <w:rsid w:val="004C5175"/>
    <w:rsid w:val="004C521A"/>
    <w:rsid w:val="004C52AD"/>
    <w:rsid w:val="004C542D"/>
    <w:rsid w:val="004C57B9"/>
    <w:rsid w:val="004C57BC"/>
    <w:rsid w:val="004C5912"/>
    <w:rsid w:val="004C5966"/>
    <w:rsid w:val="004C5988"/>
    <w:rsid w:val="004C5E77"/>
    <w:rsid w:val="004C5F01"/>
    <w:rsid w:val="004C62F5"/>
    <w:rsid w:val="004C6390"/>
    <w:rsid w:val="004C65B0"/>
    <w:rsid w:val="004C681E"/>
    <w:rsid w:val="004C6956"/>
    <w:rsid w:val="004C6A11"/>
    <w:rsid w:val="004C6A7A"/>
    <w:rsid w:val="004C6D13"/>
    <w:rsid w:val="004C6E87"/>
    <w:rsid w:val="004C6FFE"/>
    <w:rsid w:val="004C71CA"/>
    <w:rsid w:val="004C76FF"/>
    <w:rsid w:val="004C7B0D"/>
    <w:rsid w:val="004C7D29"/>
    <w:rsid w:val="004D00E2"/>
    <w:rsid w:val="004D0206"/>
    <w:rsid w:val="004D0372"/>
    <w:rsid w:val="004D04CF"/>
    <w:rsid w:val="004D04E0"/>
    <w:rsid w:val="004D05F5"/>
    <w:rsid w:val="004D089D"/>
    <w:rsid w:val="004D097C"/>
    <w:rsid w:val="004D0CD5"/>
    <w:rsid w:val="004D10D8"/>
    <w:rsid w:val="004D1114"/>
    <w:rsid w:val="004D16B5"/>
    <w:rsid w:val="004D189E"/>
    <w:rsid w:val="004D1912"/>
    <w:rsid w:val="004D19A8"/>
    <w:rsid w:val="004D1D20"/>
    <w:rsid w:val="004D1DFB"/>
    <w:rsid w:val="004D1F9C"/>
    <w:rsid w:val="004D24C9"/>
    <w:rsid w:val="004D2511"/>
    <w:rsid w:val="004D262E"/>
    <w:rsid w:val="004D27BB"/>
    <w:rsid w:val="004D28D7"/>
    <w:rsid w:val="004D2C1A"/>
    <w:rsid w:val="004D2C1B"/>
    <w:rsid w:val="004D31BF"/>
    <w:rsid w:val="004D36AC"/>
    <w:rsid w:val="004D374D"/>
    <w:rsid w:val="004D3763"/>
    <w:rsid w:val="004D3A52"/>
    <w:rsid w:val="004D3B85"/>
    <w:rsid w:val="004D3C2E"/>
    <w:rsid w:val="004D3C6E"/>
    <w:rsid w:val="004D3CDA"/>
    <w:rsid w:val="004D3E82"/>
    <w:rsid w:val="004D3F29"/>
    <w:rsid w:val="004D4060"/>
    <w:rsid w:val="004D447C"/>
    <w:rsid w:val="004D4632"/>
    <w:rsid w:val="004D4754"/>
    <w:rsid w:val="004D477E"/>
    <w:rsid w:val="004D4A19"/>
    <w:rsid w:val="004D4B7F"/>
    <w:rsid w:val="004D4BDB"/>
    <w:rsid w:val="004D4F21"/>
    <w:rsid w:val="004D4FAF"/>
    <w:rsid w:val="004D50D7"/>
    <w:rsid w:val="004D51BC"/>
    <w:rsid w:val="004D5235"/>
    <w:rsid w:val="004D5263"/>
    <w:rsid w:val="004D5766"/>
    <w:rsid w:val="004D580E"/>
    <w:rsid w:val="004D5988"/>
    <w:rsid w:val="004D5C2D"/>
    <w:rsid w:val="004D5E7F"/>
    <w:rsid w:val="004D60BD"/>
    <w:rsid w:val="004D637A"/>
    <w:rsid w:val="004D6408"/>
    <w:rsid w:val="004D65BD"/>
    <w:rsid w:val="004D6710"/>
    <w:rsid w:val="004D6843"/>
    <w:rsid w:val="004D6C66"/>
    <w:rsid w:val="004D6D39"/>
    <w:rsid w:val="004D6D61"/>
    <w:rsid w:val="004D6D78"/>
    <w:rsid w:val="004D6F9E"/>
    <w:rsid w:val="004D7006"/>
    <w:rsid w:val="004D70FA"/>
    <w:rsid w:val="004D71DA"/>
    <w:rsid w:val="004D72FC"/>
    <w:rsid w:val="004D7450"/>
    <w:rsid w:val="004D765C"/>
    <w:rsid w:val="004D79FB"/>
    <w:rsid w:val="004D7A21"/>
    <w:rsid w:val="004D7ECE"/>
    <w:rsid w:val="004D7FCC"/>
    <w:rsid w:val="004E0010"/>
    <w:rsid w:val="004E025A"/>
    <w:rsid w:val="004E045D"/>
    <w:rsid w:val="004E089B"/>
    <w:rsid w:val="004E08A4"/>
    <w:rsid w:val="004E0BA2"/>
    <w:rsid w:val="004E0BA5"/>
    <w:rsid w:val="004E0BBE"/>
    <w:rsid w:val="004E0BC8"/>
    <w:rsid w:val="004E0BC9"/>
    <w:rsid w:val="004E0DA1"/>
    <w:rsid w:val="004E12B5"/>
    <w:rsid w:val="004E1392"/>
    <w:rsid w:val="004E1577"/>
    <w:rsid w:val="004E15F3"/>
    <w:rsid w:val="004E17C1"/>
    <w:rsid w:val="004E1B71"/>
    <w:rsid w:val="004E1BB8"/>
    <w:rsid w:val="004E1D8B"/>
    <w:rsid w:val="004E1FC9"/>
    <w:rsid w:val="004E20A4"/>
    <w:rsid w:val="004E20B4"/>
    <w:rsid w:val="004E2A12"/>
    <w:rsid w:val="004E2A6E"/>
    <w:rsid w:val="004E2BB6"/>
    <w:rsid w:val="004E2BC4"/>
    <w:rsid w:val="004E2D71"/>
    <w:rsid w:val="004E2DE9"/>
    <w:rsid w:val="004E2E73"/>
    <w:rsid w:val="004E2F38"/>
    <w:rsid w:val="004E3004"/>
    <w:rsid w:val="004E3090"/>
    <w:rsid w:val="004E3114"/>
    <w:rsid w:val="004E31FE"/>
    <w:rsid w:val="004E3636"/>
    <w:rsid w:val="004E3955"/>
    <w:rsid w:val="004E39A8"/>
    <w:rsid w:val="004E3A70"/>
    <w:rsid w:val="004E3A83"/>
    <w:rsid w:val="004E3B1A"/>
    <w:rsid w:val="004E3BA2"/>
    <w:rsid w:val="004E3D34"/>
    <w:rsid w:val="004E4065"/>
    <w:rsid w:val="004E4173"/>
    <w:rsid w:val="004E432B"/>
    <w:rsid w:val="004E4467"/>
    <w:rsid w:val="004E519D"/>
    <w:rsid w:val="004E5478"/>
    <w:rsid w:val="004E566B"/>
    <w:rsid w:val="004E57BB"/>
    <w:rsid w:val="004E5FC0"/>
    <w:rsid w:val="004E6000"/>
    <w:rsid w:val="004E638E"/>
    <w:rsid w:val="004E6588"/>
    <w:rsid w:val="004E68A7"/>
    <w:rsid w:val="004E6AA4"/>
    <w:rsid w:val="004E6BD1"/>
    <w:rsid w:val="004E6CA3"/>
    <w:rsid w:val="004E6DA6"/>
    <w:rsid w:val="004E7284"/>
    <w:rsid w:val="004E7516"/>
    <w:rsid w:val="004E756D"/>
    <w:rsid w:val="004E7A6C"/>
    <w:rsid w:val="004E7BE4"/>
    <w:rsid w:val="004E7C0C"/>
    <w:rsid w:val="004E7F7E"/>
    <w:rsid w:val="004E7FF7"/>
    <w:rsid w:val="004F05F1"/>
    <w:rsid w:val="004F0CE2"/>
    <w:rsid w:val="004F0E25"/>
    <w:rsid w:val="004F0E42"/>
    <w:rsid w:val="004F0E6C"/>
    <w:rsid w:val="004F0EF1"/>
    <w:rsid w:val="004F0F0E"/>
    <w:rsid w:val="004F1176"/>
    <w:rsid w:val="004F117A"/>
    <w:rsid w:val="004F12B0"/>
    <w:rsid w:val="004F135E"/>
    <w:rsid w:val="004F13B9"/>
    <w:rsid w:val="004F14FB"/>
    <w:rsid w:val="004F173F"/>
    <w:rsid w:val="004F1BA0"/>
    <w:rsid w:val="004F1C61"/>
    <w:rsid w:val="004F1EC8"/>
    <w:rsid w:val="004F21E5"/>
    <w:rsid w:val="004F226A"/>
    <w:rsid w:val="004F256F"/>
    <w:rsid w:val="004F2AAB"/>
    <w:rsid w:val="004F2B1B"/>
    <w:rsid w:val="004F2BBB"/>
    <w:rsid w:val="004F3139"/>
    <w:rsid w:val="004F318F"/>
    <w:rsid w:val="004F34D5"/>
    <w:rsid w:val="004F3509"/>
    <w:rsid w:val="004F35D5"/>
    <w:rsid w:val="004F3811"/>
    <w:rsid w:val="004F38B8"/>
    <w:rsid w:val="004F3952"/>
    <w:rsid w:val="004F39AB"/>
    <w:rsid w:val="004F3C75"/>
    <w:rsid w:val="004F3E31"/>
    <w:rsid w:val="004F3E41"/>
    <w:rsid w:val="004F3F8F"/>
    <w:rsid w:val="004F431F"/>
    <w:rsid w:val="004F4379"/>
    <w:rsid w:val="004F4461"/>
    <w:rsid w:val="004F480D"/>
    <w:rsid w:val="004F49A2"/>
    <w:rsid w:val="004F49AC"/>
    <w:rsid w:val="004F4B06"/>
    <w:rsid w:val="004F4FF0"/>
    <w:rsid w:val="004F5205"/>
    <w:rsid w:val="004F5361"/>
    <w:rsid w:val="004F542F"/>
    <w:rsid w:val="004F55F1"/>
    <w:rsid w:val="004F5A24"/>
    <w:rsid w:val="004F5BF5"/>
    <w:rsid w:val="004F60B4"/>
    <w:rsid w:val="004F60F1"/>
    <w:rsid w:val="004F60FA"/>
    <w:rsid w:val="004F6AB9"/>
    <w:rsid w:val="004F6B28"/>
    <w:rsid w:val="004F6C11"/>
    <w:rsid w:val="004F6D2D"/>
    <w:rsid w:val="004F6E56"/>
    <w:rsid w:val="004F70D9"/>
    <w:rsid w:val="004F7392"/>
    <w:rsid w:val="004F73FB"/>
    <w:rsid w:val="004F765E"/>
    <w:rsid w:val="004F79F0"/>
    <w:rsid w:val="004F7B05"/>
    <w:rsid w:val="004F7BC6"/>
    <w:rsid w:val="004F7F01"/>
    <w:rsid w:val="0050049B"/>
    <w:rsid w:val="005004FB"/>
    <w:rsid w:val="005005BD"/>
    <w:rsid w:val="005006E9"/>
    <w:rsid w:val="005006EB"/>
    <w:rsid w:val="00500761"/>
    <w:rsid w:val="00500BB3"/>
    <w:rsid w:val="00500BEB"/>
    <w:rsid w:val="00500C35"/>
    <w:rsid w:val="00500DB3"/>
    <w:rsid w:val="005010CA"/>
    <w:rsid w:val="0050164A"/>
    <w:rsid w:val="00501BB8"/>
    <w:rsid w:val="00501DBE"/>
    <w:rsid w:val="00502152"/>
    <w:rsid w:val="00502167"/>
    <w:rsid w:val="00502174"/>
    <w:rsid w:val="0050217A"/>
    <w:rsid w:val="005022B5"/>
    <w:rsid w:val="00502933"/>
    <w:rsid w:val="00502A77"/>
    <w:rsid w:val="00502F15"/>
    <w:rsid w:val="0050306A"/>
    <w:rsid w:val="0050314E"/>
    <w:rsid w:val="00503303"/>
    <w:rsid w:val="00503446"/>
    <w:rsid w:val="00503691"/>
    <w:rsid w:val="005036E6"/>
    <w:rsid w:val="0050384E"/>
    <w:rsid w:val="00503A07"/>
    <w:rsid w:val="00503ADF"/>
    <w:rsid w:val="00503D8B"/>
    <w:rsid w:val="00503FDC"/>
    <w:rsid w:val="00504232"/>
    <w:rsid w:val="005045D3"/>
    <w:rsid w:val="00504806"/>
    <w:rsid w:val="00504BDB"/>
    <w:rsid w:val="00504D14"/>
    <w:rsid w:val="00504E8D"/>
    <w:rsid w:val="00505265"/>
    <w:rsid w:val="0050527B"/>
    <w:rsid w:val="005052BF"/>
    <w:rsid w:val="00505355"/>
    <w:rsid w:val="00505555"/>
    <w:rsid w:val="00505675"/>
    <w:rsid w:val="0050584C"/>
    <w:rsid w:val="00505C77"/>
    <w:rsid w:val="00505D15"/>
    <w:rsid w:val="00505D96"/>
    <w:rsid w:val="00505F2B"/>
    <w:rsid w:val="00505F90"/>
    <w:rsid w:val="00505FA6"/>
    <w:rsid w:val="005063F0"/>
    <w:rsid w:val="0050650C"/>
    <w:rsid w:val="00506538"/>
    <w:rsid w:val="00506590"/>
    <w:rsid w:val="00506752"/>
    <w:rsid w:val="00506C59"/>
    <w:rsid w:val="00506FCB"/>
    <w:rsid w:val="00506FD6"/>
    <w:rsid w:val="00507033"/>
    <w:rsid w:val="005070B7"/>
    <w:rsid w:val="00507165"/>
    <w:rsid w:val="0050727E"/>
    <w:rsid w:val="005077AE"/>
    <w:rsid w:val="00507844"/>
    <w:rsid w:val="00507AE4"/>
    <w:rsid w:val="00507B2A"/>
    <w:rsid w:val="00507C38"/>
    <w:rsid w:val="00507F0D"/>
    <w:rsid w:val="00507F75"/>
    <w:rsid w:val="00510387"/>
    <w:rsid w:val="005103E9"/>
    <w:rsid w:val="00510688"/>
    <w:rsid w:val="00510857"/>
    <w:rsid w:val="00510C37"/>
    <w:rsid w:val="00511079"/>
    <w:rsid w:val="0051107D"/>
    <w:rsid w:val="005111BA"/>
    <w:rsid w:val="0051172E"/>
    <w:rsid w:val="00511B1A"/>
    <w:rsid w:val="00511D45"/>
    <w:rsid w:val="00512082"/>
    <w:rsid w:val="00512167"/>
    <w:rsid w:val="0051216B"/>
    <w:rsid w:val="0051227F"/>
    <w:rsid w:val="005123E3"/>
    <w:rsid w:val="005125BB"/>
    <w:rsid w:val="00512664"/>
    <w:rsid w:val="0051296B"/>
    <w:rsid w:val="00512A75"/>
    <w:rsid w:val="00512AA2"/>
    <w:rsid w:val="00512B55"/>
    <w:rsid w:val="00512DE4"/>
    <w:rsid w:val="00512E9F"/>
    <w:rsid w:val="00512FE0"/>
    <w:rsid w:val="00513044"/>
    <w:rsid w:val="00513258"/>
    <w:rsid w:val="0051352B"/>
    <w:rsid w:val="00513DD1"/>
    <w:rsid w:val="00513E0E"/>
    <w:rsid w:val="00513F26"/>
    <w:rsid w:val="00514112"/>
    <w:rsid w:val="0051413E"/>
    <w:rsid w:val="0051456A"/>
    <w:rsid w:val="005147EF"/>
    <w:rsid w:val="00514E48"/>
    <w:rsid w:val="0051501D"/>
    <w:rsid w:val="005150C2"/>
    <w:rsid w:val="0051533E"/>
    <w:rsid w:val="005153D7"/>
    <w:rsid w:val="005154FF"/>
    <w:rsid w:val="00515583"/>
    <w:rsid w:val="00515632"/>
    <w:rsid w:val="00515757"/>
    <w:rsid w:val="00515968"/>
    <w:rsid w:val="00515B1E"/>
    <w:rsid w:val="00515CC0"/>
    <w:rsid w:val="00515FE1"/>
    <w:rsid w:val="0051616A"/>
    <w:rsid w:val="0051628A"/>
    <w:rsid w:val="0051633D"/>
    <w:rsid w:val="0051651A"/>
    <w:rsid w:val="0051651E"/>
    <w:rsid w:val="005166C5"/>
    <w:rsid w:val="005168D8"/>
    <w:rsid w:val="00516B89"/>
    <w:rsid w:val="00516E62"/>
    <w:rsid w:val="00516E70"/>
    <w:rsid w:val="005179C5"/>
    <w:rsid w:val="00517A07"/>
    <w:rsid w:val="00517A12"/>
    <w:rsid w:val="00517AAD"/>
    <w:rsid w:val="00517D6B"/>
    <w:rsid w:val="005201CE"/>
    <w:rsid w:val="0052048F"/>
    <w:rsid w:val="0052062F"/>
    <w:rsid w:val="00520A12"/>
    <w:rsid w:val="00520AF7"/>
    <w:rsid w:val="00520E45"/>
    <w:rsid w:val="00520E65"/>
    <w:rsid w:val="00520FB5"/>
    <w:rsid w:val="00521153"/>
    <w:rsid w:val="005212E6"/>
    <w:rsid w:val="00521426"/>
    <w:rsid w:val="00521470"/>
    <w:rsid w:val="00521480"/>
    <w:rsid w:val="005214AF"/>
    <w:rsid w:val="00521627"/>
    <w:rsid w:val="00521813"/>
    <w:rsid w:val="005219D0"/>
    <w:rsid w:val="00521A64"/>
    <w:rsid w:val="00521AAE"/>
    <w:rsid w:val="005225BC"/>
    <w:rsid w:val="0052262F"/>
    <w:rsid w:val="00522AD3"/>
    <w:rsid w:val="00522B36"/>
    <w:rsid w:val="00522C11"/>
    <w:rsid w:val="00522EDB"/>
    <w:rsid w:val="00522F88"/>
    <w:rsid w:val="00523035"/>
    <w:rsid w:val="00523157"/>
    <w:rsid w:val="005233D0"/>
    <w:rsid w:val="00523479"/>
    <w:rsid w:val="00523572"/>
    <w:rsid w:val="0052379E"/>
    <w:rsid w:val="00523A54"/>
    <w:rsid w:val="00523B79"/>
    <w:rsid w:val="00523D0A"/>
    <w:rsid w:val="00523FF2"/>
    <w:rsid w:val="00524239"/>
    <w:rsid w:val="00524435"/>
    <w:rsid w:val="00524488"/>
    <w:rsid w:val="00524903"/>
    <w:rsid w:val="00524A10"/>
    <w:rsid w:val="00524DEF"/>
    <w:rsid w:val="00524DF4"/>
    <w:rsid w:val="00524E06"/>
    <w:rsid w:val="005253FA"/>
    <w:rsid w:val="005254BA"/>
    <w:rsid w:val="005254C4"/>
    <w:rsid w:val="00525554"/>
    <w:rsid w:val="0052573D"/>
    <w:rsid w:val="00525B87"/>
    <w:rsid w:val="00525BA1"/>
    <w:rsid w:val="00525BEB"/>
    <w:rsid w:val="00525E94"/>
    <w:rsid w:val="00525F51"/>
    <w:rsid w:val="00525FC2"/>
    <w:rsid w:val="00525FD3"/>
    <w:rsid w:val="00526619"/>
    <w:rsid w:val="005266A7"/>
    <w:rsid w:val="00526959"/>
    <w:rsid w:val="00526E9F"/>
    <w:rsid w:val="00526F07"/>
    <w:rsid w:val="00526F87"/>
    <w:rsid w:val="0052735C"/>
    <w:rsid w:val="005275AE"/>
    <w:rsid w:val="0052784E"/>
    <w:rsid w:val="00527C7B"/>
    <w:rsid w:val="00527C80"/>
    <w:rsid w:val="00527CEE"/>
    <w:rsid w:val="00527EBB"/>
    <w:rsid w:val="00527F23"/>
    <w:rsid w:val="00530042"/>
    <w:rsid w:val="005304D8"/>
    <w:rsid w:val="005309D6"/>
    <w:rsid w:val="00530DE5"/>
    <w:rsid w:val="00530F9B"/>
    <w:rsid w:val="00530FC0"/>
    <w:rsid w:val="0053123C"/>
    <w:rsid w:val="005316EA"/>
    <w:rsid w:val="005318C9"/>
    <w:rsid w:val="005318F1"/>
    <w:rsid w:val="00531AB6"/>
    <w:rsid w:val="00531ACD"/>
    <w:rsid w:val="00531B15"/>
    <w:rsid w:val="00531C8C"/>
    <w:rsid w:val="00531EA2"/>
    <w:rsid w:val="00531FDC"/>
    <w:rsid w:val="00532128"/>
    <w:rsid w:val="005323B8"/>
    <w:rsid w:val="0053243D"/>
    <w:rsid w:val="0053252F"/>
    <w:rsid w:val="0053254D"/>
    <w:rsid w:val="005327B5"/>
    <w:rsid w:val="005327EA"/>
    <w:rsid w:val="00532981"/>
    <w:rsid w:val="0053298B"/>
    <w:rsid w:val="00532D00"/>
    <w:rsid w:val="00532FC7"/>
    <w:rsid w:val="005330A9"/>
    <w:rsid w:val="00533119"/>
    <w:rsid w:val="005333E6"/>
    <w:rsid w:val="00533409"/>
    <w:rsid w:val="0053362E"/>
    <w:rsid w:val="005336D3"/>
    <w:rsid w:val="005338F5"/>
    <w:rsid w:val="005339A9"/>
    <w:rsid w:val="00533E1F"/>
    <w:rsid w:val="0053422A"/>
    <w:rsid w:val="005343EC"/>
    <w:rsid w:val="00534432"/>
    <w:rsid w:val="00534484"/>
    <w:rsid w:val="005345F9"/>
    <w:rsid w:val="0053463D"/>
    <w:rsid w:val="00534854"/>
    <w:rsid w:val="00534991"/>
    <w:rsid w:val="00534A88"/>
    <w:rsid w:val="00534F98"/>
    <w:rsid w:val="005350CF"/>
    <w:rsid w:val="005350D4"/>
    <w:rsid w:val="0053525D"/>
    <w:rsid w:val="0053527C"/>
    <w:rsid w:val="005352BF"/>
    <w:rsid w:val="00535376"/>
    <w:rsid w:val="005353C7"/>
    <w:rsid w:val="00535507"/>
    <w:rsid w:val="0053575F"/>
    <w:rsid w:val="00535A94"/>
    <w:rsid w:val="00535CFC"/>
    <w:rsid w:val="00535E37"/>
    <w:rsid w:val="00535FB5"/>
    <w:rsid w:val="00536047"/>
    <w:rsid w:val="00536165"/>
    <w:rsid w:val="0053636B"/>
    <w:rsid w:val="005364AB"/>
    <w:rsid w:val="00536622"/>
    <w:rsid w:val="00536627"/>
    <w:rsid w:val="005367D6"/>
    <w:rsid w:val="0053686C"/>
    <w:rsid w:val="0053693A"/>
    <w:rsid w:val="00536A53"/>
    <w:rsid w:val="00536A59"/>
    <w:rsid w:val="00536BF0"/>
    <w:rsid w:val="00537283"/>
    <w:rsid w:val="00537468"/>
    <w:rsid w:val="0053768B"/>
    <w:rsid w:val="00537938"/>
    <w:rsid w:val="00537B37"/>
    <w:rsid w:val="00537DF2"/>
    <w:rsid w:val="00537FC5"/>
    <w:rsid w:val="0054004F"/>
    <w:rsid w:val="0054036D"/>
    <w:rsid w:val="0054042A"/>
    <w:rsid w:val="005404E7"/>
    <w:rsid w:val="00540674"/>
    <w:rsid w:val="00540851"/>
    <w:rsid w:val="005408B5"/>
    <w:rsid w:val="005409C5"/>
    <w:rsid w:val="00540A31"/>
    <w:rsid w:val="00540A54"/>
    <w:rsid w:val="00540B92"/>
    <w:rsid w:val="00540C45"/>
    <w:rsid w:val="005414FD"/>
    <w:rsid w:val="0054168D"/>
    <w:rsid w:val="005417B7"/>
    <w:rsid w:val="0054193C"/>
    <w:rsid w:val="005419BF"/>
    <w:rsid w:val="00541C67"/>
    <w:rsid w:val="00541C8A"/>
    <w:rsid w:val="00541D73"/>
    <w:rsid w:val="00541DCD"/>
    <w:rsid w:val="00541ED7"/>
    <w:rsid w:val="00541F5C"/>
    <w:rsid w:val="00542376"/>
    <w:rsid w:val="0054239D"/>
    <w:rsid w:val="005425E7"/>
    <w:rsid w:val="00542A0E"/>
    <w:rsid w:val="00542BE6"/>
    <w:rsid w:val="00542C8E"/>
    <w:rsid w:val="00542D8F"/>
    <w:rsid w:val="00542E3A"/>
    <w:rsid w:val="00542F26"/>
    <w:rsid w:val="0054308A"/>
    <w:rsid w:val="005431CD"/>
    <w:rsid w:val="005431EA"/>
    <w:rsid w:val="00543273"/>
    <w:rsid w:val="005432DE"/>
    <w:rsid w:val="00543644"/>
    <w:rsid w:val="00543686"/>
    <w:rsid w:val="00543740"/>
    <w:rsid w:val="00543AB6"/>
    <w:rsid w:val="00543BEC"/>
    <w:rsid w:val="00543C1A"/>
    <w:rsid w:val="00543C49"/>
    <w:rsid w:val="00543DF1"/>
    <w:rsid w:val="00543E5F"/>
    <w:rsid w:val="00543E96"/>
    <w:rsid w:val="0054420E"/>
    <w:rsid w:val="005442BC"/>
    <w:rsid w:val="005445F0"/>
    <w:rsid w:val="00544B21"/>
    <w:rsid w:val="00544C31"/>
    <w:rsid w:val="00544C50"/>
    <w:rsid w:val="00544EA4"/>
    <w:rsid w:val="00544F97"/>
    <w:rsid w:val="0054537E"/>
    <w:rsid w:val="0054553D"/>
    <w:rsid w:val="00545697"/>
    <w:rsid w:val="00545943"/>
    <w:rsid w:val="0054596A"/>
    <w:rsid w:val="00545A51"/>
    <w:rsid w:val="00545B21"/>
    <w:rsid w:val="00545E9E"/>
    <w:rsid w:val="00546121"/>
    <w:rsid w:val="005464CE"/>
    <w:rsid w:val="0054672A"/>
    <w:rsid w:val="00546946"/>
    <w:rsid w:val="00546B8D"/>
    <w:rsid w:val="00546D36"/>
    <w:rsid w:val="00546D78"/>
    <w:rsid w:val="00546EC7"/>
    <w:rsid w:val="00546F08"/>
    <w:rsid w:val="00546F2F"/>
    <w:rsid w:val="00546F98"/>
    <w:rsid w:val="00546FEB"/>
    <w:rsid w:val="005473D7"/>
    <w:rsid w:val="00547438"/>
    <w:rsid w:val="0054747F"/>
    <w:rsid w:val="005474D8"/>
    <w:rsid w:val="0054756B"/>
    <w:rsid w:val="0054759F"/>
    <w:rsid w:val="0054781E"/>
    <w:rsid w:val="00547A06"/>
    <w:rsid w:val="00547A20"/>
    <w:rsid w:val="00547EF5"/>
    <w:rsid w:val="00547FCD"/>
    <w:rsid w:val="005503D4"/>
    <w:rsid w:val="005504AE"/>
    <w:rsid w:val="005506C1"/>
    <w:rsid w:val="00550777"/>
    <w:rsid w:val="00550A2F"/>
    <w:rsid w:val="00550ADE"/>
    <w:rsid w:val="00550DA4"/>
    <w:rsid w:val="00551072"/>
    <w:rsid w:val="0055119D"/>
    <w:rsid w:val="00551599"/>
    <w:rsid w:val="005516C3"/>
    <w:rsid w:val="005517A2"/>
    <w:rsid w:val="00551941"/>
    <w:rsid w:val="00551D33"/>
    <w:rsid w:val="00551E95"/>
    <w:rsid w:val="00551FAE"/>
    <w:rsid w:val="005522C8"/>
    <w:rsid w:val="00552462"/>
    <w:rsid w:val="005525D0"/>
    <w:rsid w:val="0055273F"/>
    <w:rsid w:val="00552A26"/>
    <w:rsid w:val="00552D02"/>
    <w:rsid w:val="00552DA5"/>
    <w:rsid w:val="00552E4B"/>
    <w:rsid w:val="005531B8"/>
    <w:rsid w:val="00553202"/>
    <w:rsid w:val="005533F0"/>
    <w:rsid w:val="005536C0"/>
    <w:rsid w:val="00553787"/>
    <w:rsid w:val="005537EB"/>
    <w:rsid w:val="00553A5F"/>
    <w:rsid w:val="00553AC6"/>
    <w:rsid w:val="00553F9A"/>
    <w:rsid w:val="005540DE"/>
    <w:rsid w:val="00554292"/>
    <w:rsid w:val="00554415"/>
    <w:rsid w:val="00554820"/>
    <w:rsid w:val="00554B86"/>
    <w:rsid w:val="00554D79"/>
    <w:rsid w:val="005550AF"/>
    <w:rsid w:val="005550F4"/>
    <w:rsid w:val="005558AA"/>
    <w:rsid w:val="00555A14"/>
    <w:rsid w:val="00555BE6"/>
    <w:rsid w:val="00555E26"/>
    <w:rsid w:val="00556391"/>
    <w:rsid w:val="0055639A"/>
    <w:rsid w:val="0055646C"/>
    <w:rsid w:val="0055666B"/>
    <w:rsid w:val="005567BB"/>
    <w:rsid w:val="0055689A"/>
    <w:rsid w:val="00556AA2"/>
    <w:rsid w:val="00556FA1"/>
    <w:rsid w:val="00557180"/>
    <w:rsid w:val="005572FB"/>
    <w:rsid w:val="0055751B"/>
    <w:rsid w:val="005575B8"/>
    <w:rsid w:val="0055785E"/>
    <w:rsid w:val="00557A79"/>
    <w:rsid w:val="00557A97"/>
    <w:rsid w:val="00557F39"/>
    <w:rsid w:val="00557FC8"/>
    <w:rsid w:val="00560234"/>
    <w:rsid w:val="005603B0"/>
    <w:rsid w:val="0056071E"/>
    <w:rsid w:val="00560916"/>
    <w:rsid w:val="00560B6E"/>
    <w:rsid w:val="005610F7"/>
    <w:rsid w:val="0056123F"/>
    <w:rsid w:val="005614BD"/>
    <w:rsid w:val="00561735"/>
    <w:rsid w:val="0056174F"/>
    <w:rsid w:val="005617ED"/>
    <w:rsid w:val="005618C8"/>
    <w:rsid w:val="00561BBC"/>
    <w:rsid w:val="00562152"/>
    <w:rsid w:val="00562389"/>
    <w:rsid w:val="00562831"/>
    <w:rsid w:val="00562920"/>
    <w:rsid w:val="005629FD"/>
    <w:rsid w:val="00562FC2"/>
    <w:rsid w:val="00562FF6"/>
    <w:rsid w:val="00563136"/>
    <w:rsid w:val="005636A8"/>
    <w:rsid w:val="0056379A"/>
    <w:rsid w:val="00563C3A"/>
    <w:rsid w:val="00563C67"/>
    <w:rsid w:val="00563E67"/>
    <w:rsid w:val="00563F45"/>
    <w:rsid w:val="005644B0"/>
    <w:rsid w:val="0056455C"/>
    <w:rsid w:val="005645DE"/>
    <w:rsid w:val="00564743"/>
    <w:rsid w:val="005647E4"/>
    <w:rsid w:val="0056488E"/>
    <w:rsid w:val="005648CD"/>
    <w:rsid w:val="00564956"/>
    <w:rsid w:val="00564AD8"/>
    <w:rsid w:val="00564C4F"/>
    <w:rsid w:val="00564E3A"/>
    <w:rsid w:val="00565095"/>
    <w:rsid w:val="00565A14"/>
    <w:rsid w:val="00565D91"/>
    <w:rsid w:val="00565E3D"/>
    <w:rsid w:val="00565F0F"/>
    <w:rsid w:val="0056606C"/>
    <w:rsid w:val="00566160"/>
    <w:rsid w:val="00566266"/>
    <w:rsid w:val="005662EC"/>
    <w:rsid w:val="0056664B"/>
    <w:rsid w:val="00566686"/>
    <w:rsid w:val="00566697"/>
    <w:rsid w:val="00566707"/>
    <w:rsid w:val="0056699D"/>
    <w:rsid w:val="00566AC7"/>
    <w:rsid w:val="00566B27"/>
    <w:rsid w:val="00566C0A"/>
    <w:rsid w:val="00566C16"/>
    <w:rsid w:val="00566CEC"/>
    <w:rsid w:val="00566E71"/>
    <w:rsid w:val="00566F9D"/>
    <w:rsid w:val="00567049"/>
    <w:rsid w:val="005670CB"/>
    <w:rsid w:val="00567171"/>
    <w:rsid w:val="00567477"/>
    <w:rsid w:val="005677E3"/>
    <w:rsid w:val="0056793A"/>
    <w:rsid w:val="00567B0E"/>
    <w:rsid w:val="00567E07"/>
    <w:rsid w:val="00570074"/>
    <w:rsid w:val="0057016D"/>
    <w:rsid w:val="0057020C"/>
    <w:rsid w:val="00570387"/>
    <w:rsid w:val="005704A9"/>
    <w:rsid w:val="005706B4"/>
    <w:rsid w:val="00570B98"/>
    <w:rsid w:val="00570C1D"/>
    <w:rsid w:val="00570CE8"/>
    <w:rsid w:val="0057115E"/>
    <w:rsid w:val="005712FB"/>
    <w:rsid w:val="0057144D"/>
    <w:rsid w:val="00571553"/>
    <w:rsid w:val="00571822"/>
    <w:rsid w:val="00571995"/>
    <w:rsid w:val="00571A93"/>
    <w:rsid w:val="00571ACA"/>
    <w:rsid w:val="00571C16"/>
    <w:rsid w:val="00571D40"/>
    <w:rsid w:val="00571ECF"/>
    <w:rsid w:val="00571F70"/>
    <w:rsid w:val="00572096"/>
    <w:rsid w:val="00572316"/>
    <w:rsid w:val="005723EE"/>
    <w:rsid w:val="00572401"/>
    <w:rsid w:val="00572538"/>
    <w:rsid w:val="00572D1D"/>
    <w:rsid w:val="00572EFD"/>
    <w:rsid w:val="005730C6"/>
    <w:rsid w:val="00573466"/>
    <w:rsid w:val="005734CD"/>
    <w:rsid w:val="00573618"/>
    <w:rsid w:val="00573C14"/>
    <w:rsid w:val="00573D4E"/>
    <w:rsid w:val="00573E2D"/>
    <w:rsid w:val="00574020"/>
    <w:rsid w:val="005740A2"/>
    <w:rsid w:val="0057412B"/>
    <w:rsid w:val="00574232"/>
    <w:rsid w:val="005745A6"/>
    <w:rsid w:val="0057462D"/>
    <w:rsid w:val="00574659"/>
    <w:rsid w:val="005746CC"/>
    <w:rsid w:val="00574827"/>
    <w:rsid w:val="0057485F"/>
    <w:rsid w:val="00574937"/>
    <w:rsid w:val="00574BF1"/>
    <w:rsid w:val="00574BFB"/>
    <w:rsid w:val="00575115"/>
    <w:rsid w:val="005751B8"/>
    <w:rsid w:val="005753DB"/>
    <w:rsid w:val="005754D6"/>
    <w:rsid w:val="0057560B"/>
    <w:rsid w:val="00575750"/>
    <w:rsid w:val="00575DBC"/>
    <w:rsid w:val="00575E9F"/>
    <w:rsid w:val="00576531"/>
    <w:rsid w:val="0057658E"/>
    <w:rsid w:val="005769E5"/>
    <w:rsid w:val="00576AAC"/>
    <w:rsid w:val="00576B2B"/>
    <w:rsid w:val="00576B4E"/>
    <w:rsid w:val="00576C88"/>
    <w:rsid w:val="005772AE"/>
    <w:rsid w:val="005773B1"/>
    <w:rsid w:val="005773DD"/>
    <w:rsid w:val="00577581"/>
    <w:rsid w:val="00577587"/>
    <w:rsid w:val="00577B19"/>
    <w:rsid w:val="0058022A"/>
    <w:rsid w:val="005803B5"/>
    <w:rsid w:val="0058073E"/>
    <w:rsid w:val="00580F2E"/>
    <w:rsid w:val="00580FD4"/>
    <w:rsid w:val="005810DF"/>
    <w:rsid w:val="005815A9"/>
    <w:rsid w:val="005815AF"/>
    <w:rsid w:val="00581784"/>
    <w:rsid w:val="00581812"/>
    <w:rsid w:val="0058197C"/>
    <w:rsid w:val="00581B42"/>
    <w:rsid w:val="00581C52"/>
    <w:rsid w:val="00581EF8"/>
    <w:rsid w:val="00581FAA"/>
    <w:rsid w:val="005823D7"/>
    <w:rsid w:val="00582414"/>
    <w:rsid w:val="0058255F"/>
    <w:rsid w:val="0058256C"/>
    <w:rsid w:val="005826E0"/>
    <w:rsid w:val="00582822"/>
    <w:rsid w:val="005828A3"/>
    <w:rsid w:val="00582A7E"/>
    <w:rsid w:val="00582B99"/>
    <w:rsid w:val="00582C43"/>
    <w:rsid w:val="00582C7A"/>
    <w:rsid w:val="0058331A"/>
    <w:rsid w:val="0058370F"/>
    <w:rsid w:val="0058374E"/>
    <w:rsid w:val="00583992"/>
    <w:rsid w:val="00583A81"/>
    <w:rsid w:val="00583B8A"/>
    <w:rsid w:val="00583BFE"/>
    <w:rsid w:val="00583C6A"/>
    <w:rsid w:val="00583C93"/>
    <w:rsid w:val="00583E6B"/>
    <w:rsid w:val="0058445A"/>
    <w:rsid w:val="005845A7"/>
    <w:rsid w:val="005845F5"/>
    <w:rsid w:val="005849F6"/>
    <w:rsid w:val="00584B34"/>
    <w:rsid w:val="00584BBF"/>
    <w:rsid w:val="00584C8C"/>
    <w:rsid w:val="00584D80"/>
    <w:rsid w:val="00584EC3"/>
    <w:rsid w:val="00585064"/>
    <w:rsid w:val="00585124"/>
    <w:rsid w:val="005851A3"/>
    <w:rsid w:val="0058544C"/>
    <w:rsid w:val="00585788"/>
    <w:rsid w:val="005857C5"/>
    <w:rsid w:val="005857E7"/>
    <w:rsid w:val="00585829"/>
    <w:rsid w:val="005859D2"/>
    <w:rsid w:val="00585A17"/>
    <w:rsid w:val="00585A72"/>
    <w:rsid w:val="00585AC1"/>
    <w:rsid w:val="00585EA7"/>
    <w:rsid w:val="00585EB9"/>
    <w:rsid w:val="00585F0B"/>
    <w:rsid w:val="00585FAC"/>
    <w:rsid w:val="00586071"/>
    <w:rsid w:val="005860A9"/>
    <w:rsid w:val="0058632E"/>
    <w:rsid w:val="005865FA"/>
    <w:rsid w:val="005868B5"/>
    <w:rsid w:val="00586E67"/>
    <w:rsid w:val="005871E8"/>
    <w:rsid w:val="005871FB"/>
    <w:rsid w:val="00587283"/>
    <w:rsid w:val="005872F3"/>
    <w:rsid w:val="005873AE"/>
    <w:rsid w:val="00587461"/>
    <w:rsid w:val="005874C5"/>
    <w:rsid w:val="00587549"/>
    <w:rsid w:val="00587676"/>
    <w:rsid w:val="00587892"/>
    <w:rsid w:val="0058798E"/>
    <w:rsid w:val="00587CDE"/>
    <w:rsid w:val="00590241"/>
    <w:rsid w:val="00590419"/>
    <w:rsid w:val="0059048B"/>
    <w:rsid w:val="005904F1"/>
    <w:rsid w:val="00590526"/>
    <w:rsid w:val="00590656"/>
    <w:rsid w:val="0059089E"/>
    <w:rsid w:val="00590A95"/>
    <w:rsid w:val="00590AAE"/>
    <w:rsid w:val="00590E10"/>
    <w:rsid w:val="00590FC8"/>
    <w:rsid w:val="005910A1"/>
    <w:rsid w:val="005910DA"/>
    <w:rsid w:val="00591133"/>
    <w:rsid w:val="005915FB"/>
    <w:rsid w:val="005917A4"/>
    <w:rsid w:val="005919DA"/>
    <w:rsid w:val="00591A72"/>
    <w:rsid w:val="00591C7D"/>
    <w:rsid w:val="00591DE7"/>
    <w:rsid w:val="00591F76"/>
    <w:rsid w:val="00592263"/>
    <w:rsid w:val="0059226F"/>
    <w:rsid w:val="005923B5"/>
    <w:rsid w:val="00592972"/>
    <w:rsid w:val="00592CA7"/>
    <w:rsid w:val="00592E1B"/>
    <w:rsid w:val="00592EAE"/>
    <w:rsid w:val="00592F1F"/>
    <w:rsid w:val="00592F34"/>
    <w:rsid w:val="00593804"/>
    <w:rsid w:val="00593805"/>
    <w:rsid w:val="00593984"/>
    <w:rsid w:val="00593B1C"/>
    <w:rsid w:val="00593DA1"/>
    <w:rsid w:val="00593E33"/>
    <w:rsid w:val="00594195"/>
    <w:rsid w:val="005942EB"/>
    <w:rsid w:val="005942FB"/>
    <w:rsid w:val="00594422"/>
    <w:rsid w:val="005945AC"/>
    <w:rsid w:val="005947EA"/>
    <w:rsid w:val="005951E5"/>
    <w:rsid w:val="00595280"/>
    <w:rsid w:val="005955C6"/>
    <w:rsid w:val="005956E2"/>
    <w:rsid w:val="005957E5"/>
    <w:rsid w:val="0059583E"/>
    <w:rsid w:val="00595857"/>
    <w:rsid w:val="005959CF"/>
    <w:rsid w:val="00595AB6"/>
    <w:rsid w:val="00595EA2"/>
    <w:rsid w:val="0059606B"/>
    <w:rsid w:val="005961BE"/>
    <w:rsid w:val="0059632A"/>
    <w:rsid w:val="00596350"/>
    <w:rsid w:val="00596356"/>
    <w:rsid w:val="00596446"/>
    <w:rsid w:val="00596585"/>
    <w:rsid w:val="0059659B"/>
    <w:rsid w:val="005965EE"/>
    <w:rsid w:val="00596726"/>
    <w:rsid w:val="0059677C"/>
    <w:rsid w:val="00596876"/>
    <w:rsid w:val="00596897"/>
    <w:rsid w:val="00596EC6"/>
    <w:rsid w:val="00596EEC"/>
    <w:rsid w:val="0059734C"/>
    <w:rsid w:val="005973BD"/>
    <w:rsid w:val="00597544"/>
    <w:rsid w:val="005975CF"/>
    <w:rsid w:val="00597667"/>
    <w:rsid w:val="00597950"/>
    <w:rsid w:val="00597A68"/>
    <w:rsid w:val="00597D22"/>
    <w:rsid w:val="00597E28"/>
    <w:rsid w:val="00597F54"/>
    <w:rsid w:val="005A081C"/>
    <w:rsid w:val="005A0AF1"/>
    <w:rsid w:val="005A0B83"/>
    <w:rsid w:val="005A0C45"/>
    <w:rsid w:val="005A0C81"/>
    <w:rsid w:val="005A0CDE"/>
    <w:rsid w:val="005A1023"/>
    <w:rsid w:val="005A10E5"/>
    <w:rsid w:val="005A13A4"/>
    <w:rsid w:val="005A1598"/>
    <w:rsid w:val="005A1661"/>
    <w:rsid w:val="005A1812"/>
    <w:rsid w:val="005A181B"/>
    <w:rsid w:val="005A1C2C"/>
    <w:rsid w:val="005A1E2F"/>
    <w:rsid w:val="005A1F3B"/>
    <w:rsid w:val="005A1FC2"/>
    <w:rsid w:val="005A2476"/>
    <w:rsid w:val="005A25A3"/>
    <w:rsid w:val="005A25E3"/>
    <w:rsid w:val="005A285C"/>
    <w:rsid w:val="005A28A7"/>
    <w:rsid w:val="005A28B1"/>
    <w:rsid w:val="005A290B"/>
    <w:rsid w:val="005A2BEC"/>
    <w:rsid w:val="005A2CFC"/>
    <w:rsid w:val="005A2F2A"/>
    <w:rsid w:val="005A306C"/>
    <w:rsid w:val="005A3138"/>
    <w:rsid w:val="005A347D"/>
    <w:rsid w:val="005A36F2"/>
    <w:rsid w:val="005A3845"/>
    <w:rsid w:val="005A3CB3"/>
    <w:rsid w:val="005A3EB5"/>
    <w:rsid w:val="005A3EFD"/>
    <w:rsid w:val="005A3FC4"/>
    <w:rsid w:val="005A41FC"/>
    <w:rsid w:val="005A4233"/>
    <w:rsid w:val="005A42B2"/>
    <w:rsid w:val="005A44AC"/>
    <w:rsid w:val="005A50E8"/>
    <w:rsid w:val="005A546C"/>
    <w:rsid w:val="005A580A"/>
    <w:rsid w:val="005A5BF5"/>
    <w:rsid w:val="005A5D0C"/>
    <w:rsid w:val="005A5D1E"/>
    <w:rsid w:val="005A5F61"/>
    <w:rsid w:val="005A66DF"/>
    <w:rsid w:val="005A6738"/>
    <w:rsid w:val="005A68E4"/>
    <w:rsid w:val="005A6AC7"/>
    <w:rsid w:val="005A6C46"/>
    <w:rsid w:val="005A6ECA"/>
    <w:rsid w:val="005A71BA"/>
    <w:rsid w:val="005A7283"/>
    <w:rsid w:val="005A74B1"/>
    <w:rsid w:val="005A7540"/>
    <w:rsid w:val="005A7B2B"/>
    <w:rsid w:val="005B0047"/>
    <w:rsid w:val="005B01BD"/>
    <w:rsid w:val="005B0222"/>
    <w:rsid w:val="005B03C2"/>
    <w:rsid w:val="005B048D"/>
    <w:rsid w:val="005B072C"/>
    <w:rsid w:val="005B073A"/>
    <w:rsid w:val="005B0C25"/>
    <w:rsid w:val="005B0E52"/>
    <w:rsid w:val="005B1094"/>
    <w:rsid w:val="005B13C6"/>
    <w:rsid w:val="005B1675"/>
    <w:rsid w:val="005B1711"/>
    <w:rsid w:val="005B19B1"/>
    <w:rsid w:val="005B1A57"/>
    <w:rsid w:val="005B1B88"/>
    <w:rsid w:val="005B2464"/>
    <w:rsid w:val="005B267E"/>
    <w:rsid w:val="005B2711"/>
    <w:rsid w:val="005B286A"/>
    <w:rsid w:val="005B2870"/>
    <w:rsid w:val="005B2B22"/>
    <w:rsid w:val="005B2B2C"/>
    <w:rsid w:val="005B3220"/>
    <w:rsid w:val="005B3515"/>
    <w:rsid w:val="005B3612"/>
    <w:rsid w:val="005B37EB"/>
    <w:rsid w:val="005B3A27"/>
    <w:rsid w:val="005B3B11"/>
    <w:rsid w:val="005B3C65"/>
    <w:rsid w:val="005B3C99"/>
    <w:rsid w:val="005B3E54"/>
    <w:rsid w:val="005B3F76"/>
    <w:rsid w:val="005B4221"/>
    <w:rsid w:val="005B4385"/>
    <w:rsid w:val="005B438B"/>
    <w:rsid w:val="005B46ED"/>
    <w:rsid w:val="005B4811"/>
    <w:rsid w:val="005B4B18"/>
    <w:rsid w:val="005B4B4B"/>
    <w:rsid w:val="005B4CB0"/>
    <w:rsid w:val="005B4CB4"/>
    <w:rsid w:val="005B4FCA"/>
    <w:rsid w:val="005B5110"/>
    <w:rsid w:val="005B5225"/>
    <w:rsid w:val="005B525C"/>
    <w:rsid w:val="005B525D"/>
    <w:rsid w:val="005B54B9"/>
    <w:rsid w:val="005B56E2"/>
    <w:rsid w:val="005B5799"/>
    <w:rsid w:val="005B5C02"/>
    <w:rsid w:val="005B5D97"/>
    <w:rsid w:val="005B5E32"/>
    <w:rsid w:val="005B5ECC"/>
    <w:rsid w:val="005B5F4D"/>
    <w:rsid w:val="005B5FD0"/>
    <w:rsid w:val="005B6393"/>
    <w:rsid w:val="005B64E7"/>
    <w:rsid w:val="005B6927"/>
    <w:rsid w:val="005B6987"/>
    <w:rsid w:val="005B6AF9"/>
    <w:rsid w:val="005B6D17"/>
    <w:rsid w:val="005B6D76"/>
    <w:rsid w:val="005B6DD8"/>
    <w:rsid w:val="005B7068"/>
    <w:rsid w:val="005B75DD"/>
    <w:rsid w:val="005B75EE"/>
    <w:rsid w:val="005B782A"/>
    <w:rsid w:val="005B7B45"/>
    <w:rsid w:val="005B7D4D"/>
    <w:rsid w:val="005B7D61"/>
    <w:rsid w:val="005B7D9F"/>
    <w:rsid w:val="005C021D"/>
    <w:rsid w:val="005C0553"/>
    <w:rsid w:val="005C05A9"/>
    <w:rsid w:val="005C06FD"/>
    <w:rsid w:val="005C0708"/>
    <w:rsid w:val="005C091D"/>
    <w:rsid w:val="005C0985"/>
    <w:rsid w:val="005C0B04"/>
    <w:rsid w:val="005C0FE7"/>
    <w:rsid w:val="005C1098"/>
    <w:rsid w:val="005C10C4"/>
    <w:rsid w:val="005C12B8"/>
    <w:rsid w:val="005C133F"/>
    <w:rsid w:val="005C1422"/>
    <w:rsid w:val="005C1473"/>
    <w:rsid w:val="005C1749"/>
    <w:rsid w:val="005C1993"/>
    <w:rsid w:val="005C1BF9"/>
    <w:rsid w:val="005C20DF"/>
    <w:rsid w:val="005C2891"/>
    <w:rsid w:val="005C2B22"/>
    <w:rsid w:val="005C2B6B"/>
    <w:rsid w:val="005C2BDE"/>
    <w:rsid w:val="005C2CA8"/>
    <w:rsid w:val="005C2DE0"/>
    <w:rsid w:val="005C3037"/>
    <w:rsid w:val="005C303F"/>
    <w:rsid w:val="005C30DA"/>
    <w:rsid w:val="005C33F2"/>
    <w:rsid w:val="005C33FF"/>
    <w:rsid w:val="005C376B"/>
    <w:rsid w:val="005C376F"/>
    <w:rsid w:val="005C3852"/>
    <w:rsid w:val="005C39C3"/>
    <w:rsid w:val="005C3B84"/>
    <w:rsid w:val="005C3C4C"/>
    <w:rsid w:val="005C3F3C"/>
    <w:rsid w:val="005C43FE"/>
    <w:rsid w:val="005C4408"/>
    <w:rsid w:val="005C4428"/>
    <w:rsid w:val="005C48CB"/>
    <w:rsid w:val="005C4A70"/>
    <w:rsid w:val="005C4B54"/>
    <w:rsid w:val="005C4BF0"/>
    <w:rsid w:val="005C4E1C"/>
    <w:rsid w:val="005C5252"/>
    <w:rsid w:val="005C53AE"/>
    <w:rsid w:val="005C5424"/>
    <w:rsid w:val="005C5899"/>
    <w:rsid w:val="005C5A10"/>
    <w:rsid w:val="005C5AE2"/>
    <w:rsid w:val="005C5BB6"/>
    <w:rsid w:val="005C5DAA"/>
    <w:rsid w:val="005C604D"/>
    <w:rsid w:val="005C611C"/>
    <w:rsid w:val="005C6213"/>
    <w:rsid w:val="005C62DA"/>
    <w:rsid w:val="005C6344"/>
    <w:rsid w:val="005C6552"/>
    <w:rsid w:val="005C65DA"/>
    <w:rsid w:val="005C66B2"/>
    <w:rsid w:val="005C69E4"/>
    <w:rsid w:val="005C69E5"/>
    <w:rsid w:val="005C6BD8"/>
    <w:rsid w:val="005C6C95"/>
    <w:rsid w:val="005C6D27"/>
    <w:rsid w:val="005C6DE1"/>
    <w:rsid w:val="005C70BF"/>
    <w:rsid w:val="005C7118"/>
    <w:rsid w:val="005C71DE"/>
    <w:rsid w:val="005C7237"/>
    <w:rsid w:val="005C7344"/>
    <w:rsid w:val="005C7792"/>
    <w:rsid w:val="005C7E10"/>
    <w:rsid w:val="005C7F94"/>
    <w:rsid w:val="005D0027"/>
    <w:rsid w:val="005D01BF"/>
    <w:rsid w:val="005D01D2"/>
    <w:rsid w:val="005D07E0"/>
    <w:rsid w:val="005D09EA"/>
    <w:rsid w:val="005D0DB2"/>
    <w:rsid w:val="005D0F25"/>
    <w:rsid w:val="005D11F7"/>
    <w:rsid w:val="005D1338"/>
    <w:rsid w:val="005D152A"/>
    <w:rsid w:val="005D163B"/>
    <w:rsid w:val="005D16CB"/>
    <w:rsid w:val="005D1773"/>
    <w:rsid w:val="005D17A0"/>
    <w:rsid w:val="005D1C14"/>
    <w:rsid w:val="005D2163"/>
    <w:rsid w:val="005D227F"/>
    <w:rsid w:val="005D22E9"/>
    <w:rsid w:val="005D23B5"/>
    <w:rsid w:val="005D2513"/>
    <w:rsid w:val="005D2B9C"/>
    <w:rsid w:val="005D2BA6"/>
    <w:rsid w:val="005D2C19"/>
    <w:rsid w:val="005D2C2A"/>
    <w:rsid w:val="005D2D58"/>
    <w:rsid w:val="005D2D71"/>
    <w:rsid w:val="005D2F63"/>
    <w:rsid w:val="005D2FC1"/>
    <w:rsid w:val="005D3152"/>
    <w:rsid w:val="005D318A"/>
    <w:rsid w:val="005D3828"/>
    <w:rsid w:val="005D38A7"/>
    <w:rsid w:val="005D3BD8"/>
    <w:rsid w:val="005D3E6F"/>
    <w:rsid w:val="005D3E8A"/>
    <w:rsid w:val="005D3ED7"/>
    <w:rsid w:val="005D3F02"/>
    <w:rsid w:val="005D41EB"/>
    <w:rsid w:val="005D427F"/>
    <w:rsid w:val="005D439B"/>
    <w:rsid w:val="005D43F6"/>
    <w:rsid w:val="005D4419"/>
    <w:rsid w:val="005D453E"/>
    <w:rsid w:val="005D459E"/>
    <w:rsid w:val="005D45C6"/>
    <w:rsid w:val="005D4B55"/>
    <w:rsid w:val="005D4DD2"/>
    <w:rsid w:val="005D4DF4"/>
    <w:rsid w:val="005D4E8A"/>
    <w:rsid w:val="005D531D"/>
    <w:rsid w:val="005D54FA"/>
    <w:rsid w:val="005D5511"/>
    <w:rsid w:val="005D571D"/>
    <w:rsid w:val="005D57E6"/>
    <w:rsid w:val="005D587F"/>
    <w:rsid w:val="005D5ED2"/>
    <w:rsid w:val="005D5F30"/>
    <w:rsid w:val="005D5FD3"/>
    <w:rsid w:val="005D6484"/>
    <w:rsid w:val="005D667C"/>
    <w:rsid w:val="005D6795"/>
    <w:rsid w:val="005D67C9"/>
    <w:rsid w:val="005D6990"/>
    <w:rsid w:val="005D69FA"/>
    <w:rsid w:val="005D6A28"/>
    <w:rsid w:val="005D6A3C"/>
    <w:rsid w:val="005D6AA6"/>
    <w:rsid w:val="005D6BDE"/>
    <w:rsid w:val="005D6E4E"/>
    <w:rsid w:val="005D6F7E"/>
    <w:rsid w:val="005D6FA1"/>
    <w:rsid w:val="005D7079"/>
    <w:rsid w:val="005D7214"/>
    <w:rsid w:val="005D74ED"/>
    <w:rsid w:val="005D7893"/>
    <w:rsid w:val="005D78F9"/>
    <w:rsid w:val="005D7987"/>
    <w:rsid w:val="005D7C3E"/>
    <w:rsid w:val="005E00A2"/>
    <w:rsid w:val="005E00EF"/>
    <w:rsid w:val="005E0266"/>
    <w:rsid w:val="005E02A3"/>
    <w:rsid w:val="005E0472"/>
    <w:rsid w:val="005E04C2"/>
    <w:rsid w:val="005E0773"/>
    <w:rsid w:val="005E0A2E"/>
    <w:rsid w:val="005E0A52"/>
    <w:rsid w:val="005E0A54"/>
    <w:rsid w:val="005E0B18"/>
    <w:rsid w:val="005E0EAD"/>
    <w:rsid w:val="005E1093"/>
    <w:rsid w:val="005E110F"/>
    <w:rsid w:val="005E1388"/>
    <w:rsid w:val="005E1600"/>
    <w:rsid w:val="005E163B"/>
    <w:rsid w:val="005E187C"/>
    <w:rsid w:val="005E1934"/>
    <w:rsid w:val="005E1C8F"/>
    <w:rsid w:val="005E1D3F"/>
    <w:rsid w:val="005E2179"/>
    <w:rsid w:val="005E2791"/>
    <w:rsid w:val="005E2A04"/>
    <w:rsid w:val="005E2D1C"/>
    <w:rsid w:val="005E2E64"/>
    <w:rsid w:val="005E2F91"/>
    <w:rsid w:val="005E31DB"/>
    <w:rsid w:val="005E3335"/>
    <w:rsid w:val="005E3379"/>
    <w:rsid w:val="005E36A3"/>
    <w:rsid w:val="005E36DE"/>
    <w:rsid w:val="005E3868"/>
    <w:rsid w:val="005E3924"/>
    <w:rsid w:val="005E3DF6"/>
    <w:rsid w:val="005E3F96"/>
    <w:rsid w:val="005E41D3"/>
    <w:rsid w:val="005E4626"/>
    <w:rsid w:val="005E4DD9"/>
    <w:rsid w:val="005E4E8C"/>
    <w:rsid w:val="005E4F7E"/>
    <w:rsid w:val="005E5393"/>
    <w:rsid w:val="005E53C7"/>
    <w:rsid w:val="005E59FE"/>
    <w:rsid w:val="005E5A1E"/>
    <w:rsid w:val="005E5B1E"/>
    <w:rsid w:val="005E5F93"/>
    <w:rsid w:val="005E6087"/>
    <w:rsid w:val="005E60DA"/>
    <w:rsid w:val="005E61F9"/>
    <w:rsid w:val="005E6363"/>
    <w:rsid w:val="005E6484"/>
    <w:rsid w:val="005E648A"/>
    <w:rsid w:val="005E66AD"/>
    <w:rsid w:val="005E6754"/>
    <w:rsid w:val="005E67DD"/>
    <w:rsid w:val="005E6997"/>
    <w:rsid w:val="005E6C2B"/>
    <w:rsid w:val="005E706A"/>
    <w:rsid w:val="005E720A"/>
    <w:rsid w:val="005E7310"/>
    <w:rsid w:val="005E79A7"/>
    <w:rsid w:val="005E7A42"/>
    <w:rsid w:val="005E7BF0"/>
    <w:rsid w:val="005E7CB7"/>
    <w:rsid w:val="005E7DF1"/>
    <w:rsid w:val="005E7EAB"/>
    <w:rsid w:val="005E7F82"/>
    <w:rsid w:val="005E7FBF"/>
    <w:rsid w:val="005F0051"/>
    <w:rsid w:val="005F0080"/>
    <w:rsid w:val="005F0314"/>
    <w:rsid w:val="005F0338"/>
    <w:rsid w:val="005F049F"/>
    <w:rsid w:val="005F04FA"/>
    <w:rsid w:val="005F0631"/>
    <w:rsid w:val="005F0ABC"/>
    <w:rsid w:val="005F0ABD"/>
    <w:rsid w:val="005F0E9A"/>
    <w:rsid w:val="005F0F37"/>
    <w:rsid w:val="005F0F44"/>
    <w:rsid w:val="005F0FDE"/>
    <w:rsid w:val="005F1298"/>
    <w:rsid w:val="005F12B3"/>
    <w:rsid w:val="005F1714"/>
    <w:rsid w:val="005F17E0"/>
    <w:rsid w:val="005F2183"/>
    <w:rsid w:val="005F27F9"/>
    <w:rsid w:val="005F2CAC"/>
    <w:rsid w:val="005F2E2B"/>
    <w:rsid w:val="005F2F71"/>
    <w:rsid w:val="005F32AE"/>
    <w:rsid w:val="005F32D3"/>
    <w:rsid w:val="005F32D7"/>
    <w:rsid w:val="005F32EC"/>
    <w:rsid w:val="005F368E"/>
    <w:rsid w:val="005F3862"/>
    <w:rsid w:val="005F3943"/>
    <w:rsid w:val="005F3A32"/>
    <w:rsid w:val="005F3AFE"/>
    <w:rsid w:val="005F3D25"/>
    <w:rsid w:val="005F3D97"/>
    <w:rsid w:val="005F40EB"/>
    <w:rsid w:val="005F46C3"/>
    <w:rsid w:val="005F46C5"/>
    <w:rsid w:val="005F4883"/>
    <w:rsid w:val="005F4AAE"/>
    <w:rsid w:val="005F4DAD"/>
    <w:rsid w:val="005F4F41"/>
    <w:rsid w:val="005F4FCC"/>
    <w:rsid w:val="005F4FD0"/>
    <w:rsid w:val="005F5021"/>
    <w:rsid w:val="005F5216"/>
    <w:rsid w:val="005F5245"/>
    <w:rsid w:val="005F52C0"/>
    <w:rsid w:val="005F52EA"/>
    <w:rsid w:val="005F5405"/>
    <w:rsid w:val="005F57B0"/>
    <w:rsid w:val="005F5858"/>
    <w:rsid w:val="005F5888"/>
    <w:rsid w:val="005F5AE5"/>
    <w:rsid w:val="005F5B06"/>
    <w:rsid w:val="005F5C5E"/>
    <w:rsid w:val="005F5D5A"/>
    <w:rsid w:val="005F6312"/>
    <w:rsid w:val="005F637E"/>
    <w:rsid w:val="005F66A6"/>
    <w:rsid w:val="005F67F0"/>
    <w:rsid w:val="005F6A6B"/>
    <w:rsid w:val="005F6CE5"/>
    <w:rsid w:val="005F6EDB"/>
    <w:rsid w:val="005F70FA"/>
    <w:rsid w:val="005F7134"/>
    <w:rsid w:val="005F7192"/>
    <w:rsid w:val="005F7517"/>
    <w:rsid w:val="005F7575"/>
    <w:rsid w:val="005F785D"/>
    <w:rsid w:val="005F789C"/>
    <w:rsid w:val="005F78C7"/>
    <w:rsid w:val="005F796A"/>
    <w:rsid w:val="005F79CB"/>
    <w:rsid w:val="005F7B5A"/>
    <w:rsid w:val="005F7BA8"/>
    <w:rsid w:val="005F7C31"/>
    <w:rsid w:val="005F7FAE"/>
    <w:rsid w:val="00600060"/>
    <w:rsid w:val="00600099"/>
    <w:rsid w:val="0060009C"/>
    <w:rsid w:val="006000B2"/>
    <w:rsid w:val="006000C5"/>
    <w:rsid w:val="0060067C"/>
    <w:rsid w:val="0060083D"/>
    <w:rsid w:val="0060087F"/>
    <w:rsid w:val="00600978"/>
    <w:rsid w:val="0060098D"/>
    <w:rsid w:val="00600A89"/>
    <w:rsid w:val="00600DF8"/>
    <w:rsid w:val="006013E0"/>
    <w:rsid w:val="006013E7"/>
    <w:rsid w:val="0060151F"/>
    <w:rsid w:val="006015B2"/>
    <w:rsid w:val="00601972"/>
    <w:rsid w:val="00601CB2"/>
    <w:rsid w:val="00601CE8"/>
    <w:rsid w:val="006021B8"/>
    <w:rsid w:val="00602369"/>
    <w:rsid w:val="00602432"/>
    <w:rsid w:val="0060258B"/>
    <w:rsid w:val="006025BA"/>
    <w:rsid w:val="00602733"/>
    <w:rsid w:val="00602776"/>
    <w:rsid w:val="00602AE1"/>
    <w:rsid w:val="00602B11"/>
    <w:rsid w:val="00602B4C"/>
    <w:rsid w:val="00602BB4"/>
    <w:rsid w:val="00602C57"/>
    <w:rsid w:val="00602C90"/>
    <w:rsid w:val="00602D4F"/>
    <w:rsid w:val="00602F8C"/>
    <w:rsid w:val="006030C7"/>
    <w:rsid w:val="006034A5"/>
    <w:rsid w:val="006034B1"/>
    <w:rsid w:val="006038D2"/>
    <w:rsid w:val="006039EF"/>
    <w:rsid w:val="006039FF"/>
    <w:rsid w:val="00603AE4"/>
    <w:rsid w:val="00603E21"/>
    <w:rsid w:val="00603F2C"/>
    <w:rsid w:val="006040CE"/>
    <w:rsid w:val="0060411E"/>
    <w:rsid w:val="00604169"/>
    <w:rsid w:val="0060426E"/>
    <w:rsid w:val="00604524"/>
    <w:rsid w:val="0060455C"/>
    <w:rsid w:val="00604571"/>
    <w:rsid w:val="00604AEB"/>
    <w:rsid w:val="00604B64"/>
    <w:rsid w:val="006050D0"/>
    <w:rsid w:val="006052BD"/>
    <w:rsid w:val="006057FF"/>
    <w:rsid w:val="00605821"/>
    <w:rsid w:val="00605896"/>
    <w:rsid w:val="00605991"/>
    <w:rsid w:val="00605F0B"/>
    <w:rsid w:val="00606351"/>
    <w:rsid w:val="006064C1"/>
    <w:rsid w:val="006064EA"/>
    <w:rsid w:val="00606743"/>
    <w:rsid w:val="0060684D"/>
    <w:rsid w:val="00606A30"/>
    <w:rsid w:val="00606BB5"/>
    <w:rsid w:val="00606D5C"/>
    <w:rsid w:val="00606DCC"/>
    <w:rsid w:val="00607048"/>
    <w:rsid w:val="00607440"/>
    <w:rsid w:val="006074B5"/>
    <w:rsid w:val="006074E2"/>
    <w:rsid w:val="00607D8D"/>
    <w:rsid w:val="00607E67"/>
    <w:rsid w:val="00607EEA"/>
    <w:rsid w:val="0061032C"/>
    <w:rsid w:val="00610354"/>
    <w:rsid w:val="0061046E"/>
    <w:rsid w:val="0061057B"/>
    <w:rsid w:val="00610688"/>
    <w:rsid w:val="006106C3"/>
    <w:rsid w:val="00610B8E"/>
    <w:rsid w:val="00610CF3"/>
    <w:rsid w:val="00611094"/>
    <w:rsid w:val="00611315"/>
    <w:rsid w:val="006116A6"/>
    <w:rsid w:val="006116A8"/>
    <w:rsid w:val="006118A5"/>
    <w:rsid w:val="00611B97"/>
    <w:rsid w:val="00611D51"/>
    <w:rsid w:val="00611F24"/>
    <w:rsid w:val="006121CD"/>
    <w:rsid w:val="00612204"/>
    <w:rsid w:val="006122E7"/>
    <w:rsid w:val="006123F1"/>
    <w:rsid w:val="006127C9"/>
    <w:rsid w:val="006129BD"/>
    <w:rsid w:val="006129C2"/>
    <w:rsid w:val="00612BDF"/>
    <w:rsid w:val="00612D4D"/>
    <w:rsid w:val="00612D7A"/>
    <w:rsid w:val="00612E79"/>
    <w:rsid w:val="00612F95"/>
    <w:rsid w:val="006130FF"/>
    <w:rsid w:val="006132CF"/>
    <w:rsid w:val="006133B3"/>
    <w:rsid w:val="006133EC"/>
    <w:rsid w:val="0061343C"/>
    <w:rsid w:val="0061367F"/>
    <w:rsid w:val="00613930"/>
    <w:rsid w:val="00613A23"/>
    <w:rsid w:val="00613E71"/>
    <w:rsid w:val="00613EE3"/>
    <w:rsid w:val="006141BC"/>
    <w:rsid w:val="0061431A"/>
    <w:rsid w:val="006143DE"/>
    <w:rsid w:val="00614559"/>
    <w:rsid w:val="006149A4"/>
    <w:rsid w:val="00614C8B"/>
    <w:rsid w:val="00614F58"/>
    <w:rsid w:val="00614FEB"/>
    <w:rsid w:val="0061506A"/>
    <w:rsid w:val="0061522D"/>
    <w:rsid w:val="00615570"/>
    <w:rsid w:val="00615880"/>
    <w:rsid w:val="00615C55"/>
    <w:rsid w:val="00615C97"/>
    <w:rsid w:val="00615F1D"/>
    <w:rsid w:val="00615FBA"/>
    <w:rsid w:val="00615FF1"/>
    <w:rsid w:val="0061609E"/>
    <w:rsid w:val="00616165"/>
    <w:rsid w:val="006167C4"/>
    <w:rsid w:val="006168B1"/>
    <w:rsid w:val="00616959"/>
    <w:rsid w:val="006169ED"/>
    <w:rsid w:val="00616B06"/>
    <w:rsid w:val="00616C64"/>
    <w:rsid w:val="00616CB6"/>
    <w:rsid w:val="00616DE0"/>
    <w:rsid w:val="00616F5C"/>
    <w:rsid w:val="0061744A"/>
    <w:rsid w:val="00617779"/>
    <w:rsid w:val="0061793A"/>
    <w:rsid w:val="00617984"/>
    <w:rsid w:val="00617BA0"/>
    <w:rsid w:val="00617BFE"/>
    <w:rsid w:val="00617C20"/>
    <w:rsid w:val="00617D89"/>
    <w:rsid w:val="00620084"/>
    <w:rsid w:val="0062027A"/>
    <w:rsid w:val="006202A1"/>
    <w:rsid w:val="006205FC"/>
    <w:rsid w:val="00620AB4"/>
    <w:rsid w:val="00620B63"/>
    <w:rsid w:val="00620C42"/>
    <w:rsid w:val="00620D70"/>
    <w:rsid w:val="00620E79"/>
    <w:rsid w:val="00620F26"/>
    <w:rsid w:val="006210C5"/>
    <w:rsid w:val="00621258"/>
    <w:rsid w:val="006214EC"/>
    <w:rsid w:val="00621882"/>
    <w:rsid w:val="00621A52"/>
    <w:rsid w:val="00621A75"/>
    <w:rsid w:val="00621AD9"/>
    <w:rsid w:val="00621B07"/>
    <w:rsid w:val="00621EDB"/>
    <w:rsid w:val="006221BF"/>
    <w:rsid w:val="006222F5"/>
    <w:rsid w:val="006222FF"/>
    <w:rsid w:val="0062243B"/>
    <w:rsid w:val="0062254E"/>
    <w:rsid w:val="0062275A"/>
    <w:rsid w:val="00622AF3"/>
    <w:rsid w:val="00623149"/>
    <w:rsid w:val="006231AC"/>
    <w:rsid w:val="0062327F"/>
    <w:rsid w:val="0062380D"/>
    <w:rsid w:val="00623B1F"/>
    <w:rsid w:val="00624586"/>
    <w:rsid w:val="006246DC"/>
    <w:rsid w:val="00624881"/>
    <w:rsid w:val="00624D2F"/>
    <w:rsid w:val="006250B0"/>
    <w:rsid w:val="006251BF"/>
    <w:rsid w:val="00625439"/>
    <w:rsid w:val="00625854"/>
    <w:rsid w:val="00625D3F"/>
    <w:rsid w:val="00625E47"/>
    <w:rsid w:val="00626041"/>
    <w:rsid w:val="006261A4"/>
    <w:rsid w:val="00626390"/>
    <w:rsid w:val="0062644A"/>
    <w:rsid w:val="006264C5"/>
    <w:rsid w:val="00626504"/>
    <w:rsid w:val="00626523"/>
    <w:rsid w:val="0062661D"/>
    <w:rsid w:val="006266BF"/>
    <w:rsid w:val="00626821"/>
    <w:rsid w:val="00626840"/>
    <w:rsid w:val="006268D8"/>
    <w:rsid w:val="0062690A"/>
    <w:rsid w:val="0062697A"/>
    <w:rsid w:val="006269AA"/>
    <w:rsid w:val="00626BBF"/>
    <w:rsid w:val="00626C5E"/>
    <w:rsid w:val="00626D36"/>
    <w:rsid w:val="00626E97"/>
    <w:rsid w:val="00627304"/>
    <w:rsid w:val="00627441"/>
    <w:rsid w:val="00627A66"/>
    <w:rsid w:val="00627A9E"/>
    <w:rsid w:val="0063032F"/>
    <w:rsid w:val="0063066A"/>
    <w:rsid w:val="0063081B"/>
    <w:rsid w:val="00630894"/>
    <w:rsid w:val="006308DC"/>
    <w:rsid w:val="00630A90"/>
    <w:rsid w:val="00630B70"/>
    <w:rsid w:val="00630C18"/>
    <w:rsid w:val="00630D13"/>
    <w:rsid w:val="00630E67"/>
    <w:rsid w:val="00630EC5"/>
    <w:rsid w:val="0063100C"/>
    <w:rsid w:val="0063114A"/>
    <w:rsid w:val="00631182"/>
    <w:rsid w:val="00631562"/>
    <w:rsid w:val="006315BF"/>
    <w:rsid w:val="006316F2"/>
    <w:rsid w:val="006318C1"/>
    <w:rsid w:val="006318E8"/>
    <w:rsid w:val="00631C77"/>
    <w:rsid w:val="00631E25"/>
    <w:rsid w:val="00631E32"/>
    <w:rsid w:val="00631EF0"/>
    <w:rsid w:val="00632174"/>
    <w:rsid w:val="00632217"/>
    <w:rsid w:val="0063278A"/>
    <w:rsid w:val="006328CC"/>
    <w:rsid w:val="00632B06"/>
    <w:rsid w:val="00632E2A"/>
    <w:rsid w:val="00633200"/>
    <w:rsid w:val="00633262"/>
    <w:rsid w:val="006334B0"/>
    <w:rsid w:val="00633599"/>
    <w:rsid w:val="006335AF"/>
    <w:rsid w:val="00633959"/>
    <w:rsid w:val="0063395B"/>
    <w:rsid w:val="00633981"/>
    <w:rsid w:val="00633CB8"/>
    <w:rsid w:val="00633D22"/>
    <w:rsid w:val="00633DA8"/>
    <w:rsid w:val="00633DC4"/>
    <w:rsid w:val="00633EBE"/>
    <w:rsid w:val="00634304"/>
    <w:rsid w:val="006343AA"/>
    <w:rsid w:val="0063478F"/>
    <w:rsid w:val="00634A8D"/>
    <w:rsid w:val="00634B8F"/>
    <w:rsid w:val="00634D69"/>
    <w:rsid w:val="00634D86"/>
    <w:rsid w:val="00634EF5"/>
    <w:rsid w:val="00634F8D"/>
    <w:rsid w:val="00635073"/>
    <w:rsid w:val="00635122"/>
    <w:rsid w:val="00635449"/>
    <w:rsid w:val="0063575E"/>
    <w:rsid w:val="00635A1A"/>
    <w:rsid w:val="00635A31"/>
    <w:rsid w:val="00635A8B"/>
    <w:rsid w:val="00635BA6"/>
    <w:rsid w:val="00635BB3"/>
    <w:rsid w:val="00635C06"/>
    <w:rsid w:val="00635EF2"/>
    <w:rsid w:val="00635FAD"/>
    <w:rsid w:val="00636559"/>
    <w:rsid w:val="006365DD"/>
    <w:rsid w:val="0063660E"/>
    <w:rsid w:val="00636F34"/>
    <w:rsid w:val="0063725D"/>
    <w:rsid w:val="00637288"/>
    <w:rsid w:val="00637334"/>
    <w:rsid w:val="00637550"/>
    <w:rsid w:val="006376F2"/>
    <w:rsid w:val="0063786D"/>
    <w:rsid w:val="00637982"/>
    <w:rsid w:val="00637AB2"/>
    <w:rsid w:val="00637ACD"/>
    <w:rsid w:val="00637C76"/>
    <w:rsid w:val="00637D3F"/>
    <w:rsid w:val="00640003"/>
    <w:rsid w:val="0064038A"/>
    <w:rsid w:val="00640435"/>
    <w:rsid w:val="006404B2"/>
    <w:rsid w:val="00640A2B"/>
    <w:rsid w:val="00640BD4"/>
    <w:rsid w:val="00641071"/>
    <w:rsid w:val="006410F3"/>
    <w:rsid w:val="00641107"/>
    <w:rsid w:val="0064111D"/>
    <w:rsid w:val="00641141"/>
    <w:rsid w:val="00641149"/>
    <w:rsid w:val="00641590"/>
    <w:rsid w:val="00641779"/>
    <w:rsid w:val="006418D1"/>
    <w:rsid w:val="0064197B"/>
    <w:rsid w:val="00641A57"/>
    <w:rsid w:val="00641A89"/>
    <w:rsid w:val="00641BB8"/>
    <w:rsid w:val="00641D6F"/>
    <w:rsid w:val="00641FED"/>
    <w:rsid w:val="00642245"/>
    <w:rsid w:val="006424CA"/>
    <w:rsid w:val="00642545"/>
    <w:rsid w:val="00642CAB"/>
    <w:rsid w:val="00642F47"/>
    <w:rsid w:val="00642FBB"/>
    <w:rsid w:val="0064319A"/>
    <w:rsid w:val="006432E6"/>
    <w:rsid w:val="006434BD"/>
    <w:rsid w:val="00643690"/>
    <w:rsid w:val="00643C38"/>
    <w:rsid w:val="00643C9B"/>
    <w:rsid w:val="00644198"/>
    <w:rsid w:val="0064421E"/>
    <w:rsid w:val="00644277"/>
    <w:rsid w:val="006442A2"/>
    <w:rsid w:val="00644321"/>
    <w:rsid w:val="0064445A"/>
    <w:rsid w:val="00644526"/>
    <w:rsid w:val="00644B43"/>
    <w:rsid w:val="00644D87"/>
    <w:rsid w:val="00644E98"/>
    <w:rsid w:val="00645142"/>
    <w:rsid w:val="0064524B"/>
    <w:rsid w:val="006452D0"/>
    <w:rsid w:val="006456C2"/>
    <w:rsid w:val="006460D5"/>
    <w:rsid w:val="00646104"/>
    <w:rsid w:val="00646177"/>
    <w:rsid w:val="00646218"/>
    <w:rsid w:val="00646287"/>
    <w:rsid w:val="0064663C"/>
    <w:rsid w:val="0064672E"/>
    <w:rsid w:val="00646796"/>
    <w:rsid w:val="006469D0"/>
    <w:rsid w:val="00646A11"/>
    <w:rsid w:val="00646B38"/>
    <w:rsid w:val="00646B88"/>
    <w:rsid w:val="00646C16"/>
    <w:rsid w:val="00646C75"/>
    <w:rsid w:val="0064716B"/>
    <w:rsid w:val="006472EE"/>
    <w:rsid w:val="00647393"/>
    <w:rsid w:val="006476D3"/>
    <w:rsid w:val="00647D90"/>
    <w:rsid w:val="00647E55"/>
    <w:rsid w:val="00647F86"/>
    <w:rsid w:val="00647FF1"/>
    <w:rsid w:val="00650059"/>
    <w:rsid w:val="00650244"/>
    <w:rsid w:val="00650263"/>
    <w:rsid w:val="006502B2"/>
    <w:rsid w:val="00650317"/>
    <w:rsid w:val="00650396"/>
    <w:rsid w:val="006504B1"/>
    <w:rsid w:val="006506E0"/>
    <w:rsid w:val="006507BE"/>
    <w:rsid w:val="00650B13"/>
    <w:rsid w:val="00650D25"/>
    <w:rsid w:val="00651222"/>
    <w:rsid w:val="0065138A"/>
    <w:rsid w:val="00651489"/>
    <w:rsid w:val="0065162B"/>
    <w:rsid w:val="006518E7"/>
    <w:rsid w:val="00651A87"/>
    <w:rsid w:val="00651B25"/>
    <w:rsid w:val="00651C81"/>
    <w:rsid w:val="00651CFC"/>
    <w:rsid w:val="00651D24"/>
    <w:rsid w:val="00651DC0"/>
    <w:rsid w:val="00651F4A"/>
    <w:rsid w:val="00651F6B"/>
    <w:rsid w:val="00651F73"/>
    <w:rsid w:val="00652009"/>
    <w:rsid w:val="006521FA"/>
    <w:rsid w:val="006522A4"/>
    <w:rsid w:val="0065248C"/>
    <w:rsid w:val="0065249A"/>
    <w:rsid w:val="0065258F"/>
    <w:rsid w:val="00652633"/>
    <w:rsid w:val="006526CE"/>
    <w:rsid w:val="0065288F"/>
    <w:rsid w:val="00652C4B"/>
    <w:rsid w:val="00652CF3"/>
    <w:rsid w:val="00652EBB"/>
    <w:rsid w:val="00652F5C"/>
    <w:rsid w:val="006533B7"/>
    <w:rsid w:val="006533D9"/>
    <w:rsid w:val="00653434"/>
    <w:rsid w:val="00653453"/>
    <w:rsid w:val="006536AB"/>
    <w:rsid w:val="00653766"/>
    <w:rsid w:val="006539B0"/>
    <w:rsid w:val="00653A63"/>
    <w:rsid w:val="00653ACA"/>
    <w:rsid w:val="00653C70"/>
    <w:rsid w:val="00653E0A"/>
    <w:rsid w:val="00653FCF"/>
    <w:rsid w:val="00653FDA"/>
    <w:rsid w:val="006545E8"/>
    <w:rsid w:val="0065467D"/>
    <w:rsid w:val="0065475C"/>
    <w:rsid w:val="006547FF"/>
    <w:rsid w:val="00654842"/>
    <w:rsid w:val="00654A40"/>
    <w:rsid w:val="00654C95"/>
    <w:rsid w:val="00654D87"/>
    <w:rsid w:val="006550F1"/>
    <w:rsid w:val="00655167"/>
    <w:rsid w:val="006551C9"/>
    <w:rsid w:val="0065523E"/>
    <w:rsid w:val="0065547A"/>
    <w:rsid w:val="006558F8"/>
    <w:rsid w:val="00655A91"/>
    <w:rsid w:val="00655AF5"/>
    <w:rsid w:val="00655B76"/>
    <w:rsid w:val="006561F7"/>
    <w:rsid w:val="00656205"/>
    <w:rsid w:val="00656252"/>
    <w:rsid w:val="00656469"/>
    <w:rsid w:val="0065669C"/>
    <w:rsid w:val="006566F7"/>
    <w:rsid w:val="00656849"/>
    <w:rsid w:val="00656893"/>
    <w:rsid w:val="00656A2E"/>
    <w:rsid w:val="00656F35"/>
    <w:rsid w:val="006573B4"/>
    <w:rsid w:val="006573FA"/>
    <w:rsid w:val="00657960"/>
    <w:rsid w:val="0065799B"/>
    <w:rsid w:val="00657E04"/>
    <w:rsid w:val="00657FA8"/>
    <w:rsid w:val="0066010A"/>
    <w:rsid w:val="0066032D"/>
    <w:rsid w:val="00660646"/>
    <w:rsid w:val="006608E5"/>
    <w:rsid w:val="00660A34"/>
    <w:rsid w:val="00660B25"/>
    <w:rsid w:val="00660BCB"/>
    <w:rsid w:val="00661572"/>
    <w:rsid w:val="00661809"/>
    <w:rsid w:val="00661822"/>
    <w:rsid w:val="00661A19"/>
    <w:rsid w:val="00661A33"/>
    <w:rsid w:val="00661DB2"/>
    <w:rsid w:val="00661F78"/>
    <w:rsid w:val="00662023"/>
    <w:rsid w:val="006621C8"/>
    <w:rsid w:val="0066221D"/>
    <w:rsid w:val="0066242A"/>
    <w:rsid w:val="006624DF"/>
    <w:rsid w:val="0066260B"/>
    <w:rsid w:val="006627CD"/>
    <w:rsid w:val="00662B83"/>
    <w:rsid w:val="00662BD0"/>
    <w:rsid w:val="006631AB"/>
    <w:rsid w:val="006632C8"/>
    <w:rsid w:val="006637C6"/>
    <w:rsid w:val="00663A61"/>
    <w:rsid w:val="00663AE6"/>
    <w:rsid w:val="00663B4D"/>
    <w:rsid w:val="00663D8D"/>
    <w:rsid w:val="00664169"/>
    <w:rsid w:val="006642C3"/>
    <w:rsid w:val="006648B0"/>
    <w:rsid w:val="00664B6E"/>
    <w:rsid w:val="00664C1F"/>
    <w:rsid w:val="00664C25"/>
    <w:rsid w:val="00664D95"/>
    <w:rsid w:val="00664E79"/>
    <w:rsid w:val="00664F6F"/>
    <w:rsid w:val="0066517A"/>
    <w:rsid w:val="00665260"/>
    <w:rsid w:val="0066527A"/>
    <w:rsid w:val="006653CB"/>
    <w:rsid w:val="0066554C"/>
    <w:rsid w:val="006657AA"/>
    <w:rsid w:val="0066583F"/>
    <w:rsid w:val="0066599E"/>
    <w:rsid w:val="00665C65"/>
    <w:rsid w:val="00666BE3"/>
    <w:rsid w:val="00666D75"/>
    <w:rsid w:val="00666DC2"/>
    <w:rsid w:val="00666E6D"/>
    <w:rsid w:val="0066730F"/>
    <w:rsid w:val="006676C1"/>
    <w:rsid w:val="00667ACC"/>
    <w:rsid w:val="00667B0B"/>
    <w:rsid w:val="00667DF2"/>
    <w:rsid w:val="00667F5A"/>
    <w:rsid w:val="00670105"/>
    <w:rsid w:val="00670124"/>
    <w:rsid w:val="0067013C"/>
    <w:rsid w:val="0067023B"/>
    <w:rsid w:val="0067083D"/>
    <w:rsid w:val="00670B16"/>
    <w:rsid w:val="00670C03"/>
    <w:rsid w:val="0067109F"/>
    <w:rsid w:val="006712D4"/>
    <w:rsid w:val="006713DA"/>
    <w:rsid w:val="006714FF"/>
    <w:rsid w:val="00671559"/>
    <w:rsid w:val="006715A2"/>
    <w:rsid w:val="006715B8"/>
    <w:rsid w:val="006716CA"/>
    <w:rsid w:val="006719C2"/>
    <w:rsid w:val="00671A22"/>
    <w:rsid w:val="00671A29"/>
    <w:rsid w:val="00671D14"/>
    <w:rsid w:val="00672016"/>
    <w:rsid w:val="006720F9"/>
    <w:rsid w:val="006724A6"/>
    <w:rsid w:val="0067250D"/>
    <w:rsid w:val="00672729"/>
    <w:rsid w:val="0067286B"/>
    <w:rsid w:val="00672A74"/>
    <w:rsid w:val="00672EF9"/>
    <w:rsid w:val="006731B8"/>
    <w:rsid w:val="0067347B"/>
    <w:rsid w:val="006734F8"/>
    <w:rsid w:val="00673531"/>
    <w:rsid w:val="00673603"/>
    <w:rsid w:val="00673823"/>
    <w:rsid w:val="006738DA"/>
    <w:rsid w:val="00673EBC"/>
    <w:rsid w:val="00673F82"/>
    <w:rsid w:val="00674153"/>
    <w:rsid w:val="00674187"/>
    <w:rsid w:val="00674259"/>
    <w:rsid w:val="00674539"/>
    <w:rsid w:val="006745A1"/>
    <w:rsid w:val="006746CF"/>
    <w:rsid w:val="00674841"/>
    <w:rsid w:val="00674953"/>
    <w:rsid w:val="00674A1E"/>
    <w:rsid w:val="00674A5C"/>
    <w:rsid w:val="00674F0F"/>
    <w:rsid w:val="0067508A"/>
    <w:rsid w:val="006753EC"/>
    <w:rsid w:val="00675574"/>
    <w:rsid w:val="00675788"/>
    <w:rsid w:val="006758B9"/>
    <w:rsid w:val="00675AF0"/>
    <w:rsid w:val="00675B24"/>
    <w:rsid w:val="00675B96"/>
    <w:rsid w:val="00675BFE"/>
    <w:rsid w:val="00675C1C"/>
    <w:rsid w:val="00675E3F"/>
    <w:rsid w:val="00675EA3"/>
    <w:rsid w:val="006760B8"/>
    <w:rsid w:val="00676175"/>
    <w:rsid w:val="00676283"/>
    <w:rsid w:val="0067649B"/>
    <w:rsid w:val="006764B5"/>
    <w:rsid w:val="0067688B"/>
    <w:rsid w:val="006769AC"/>
    <w:rsid w:val="00676C51"/>
    <w:rsid w:val="00676D37"/>
    <w:rsid w:val="00676E0C"/>
    <w:rsid w:val="006771BD"/>
    <w:rsid w:val="00677275"/>
    <w:rsid w:val="00677813"/>
    <w:rsid w:val="00677BB5"/>
    <w:rsid w:val="00677DEB"/>
    <w:rsid w:val="006800C3"/>
    <w:rsid w:val="0068023D"/>
    <w:rsid w:val="00680309"/>
    <w:rsid w:val="00680679"/>
    <w:rsid w:val="0068072B"/>
    <w:rsid w:val="0068087A"/>
    <w:rsid w:val="006808D7"/>
    <w:rsid w:val="00680F6A"/>
    <w:rsid w:val="00681003"/>
    <w:rsid w:val="006812EE"/>
    <w:rsid w:val="00681605"/>
    <w:rsid w:val="00681668"/>
    <w:rsid w:val="00681741"/>
    <w:rsid w:val="00681866"/>
    <w:rsid w:val="006819D5"/>
    <w:rsid w:val="006821CF"/>
    <w:rsid w:val="0068222E"/>
    <w:rsid w:val="0068227E"/>
    <w:rsid w:val="00682349"/>
    <w:rsid w:val="006824E5"/>
    <w:rsid w:val="0068259E"/>
    <w:rsid w:val="006826FA"/>
    <w:rsid w:val="006827F4"/>
    <w:rsid w:val="00682BA7"/>
    <w:rsid w:val="006830A2"/>
    <w:rsid w:val="006833E9"/>
    <w:rsid w:val="00683A4D"/>
    <w:rsid w:val="00683F7A"/>
    <w:rsid w:val="0068410F"/>
    <w:rsid w:val="0068424B"/>
    <w:rsid w:val="006843E4"/>
    <w:rsid w:val="00684518"/>
    <w:rsid w:val="00684631"/>
    <w:rsid w:val="006849AD"/>
    <w:rsid w:val="00684ABF"/>
    <w:rsid w:val="00684BE4"/>
    <w:rsid w:val="00684D1C"/>
    <w:rsid w:val="00684DD7"/>
    <w:rsid w:val="00685499"/>
    <w:rsid w:val="0068554C"/>
    <w:rsid w:val="006858A3"/>
    <w:rsid w:val="00685A38"/>
    <w:rsid w:val="00686257"/>
    <w:rsid w:val="006864CA"/>
    <w:rsid w:val="006866E7"/>
    <w:rsid w:val="00686CF9"/>
    <w:rsid w:val="00686DE1"/>
    <w:rsid w:val="00687088"/>
    <w:rsid w:val="006871C3"/>
    <w:rsid w:val="006871DB"/>
    <w:rsid w:val="006872C0"/>
    <w:rsid w:val="006876E6"/>
    <w:rsid w:val="00687943"/>
    <w:rsid w:val="00687A5A"/>
    <w:rsid w:val="00687A85"/>
    <w:rsid w:val="00687AF2"/>
    <w:rsid w:val="00687C74"/>
    <w:rsid w:val="00687E02"/>
    <w:rsid w:val="00687E46"/>
    <w:rsid w:val="00687E84"/>
    <w:rsid w:val="00687E9E"/>
    <w:rsid w:val="006900F2"/>
    <w:rsid w:val="00690243"/>
    <w:rsid w:val="00690353"/>
    <w:rsid w:val="0069059B"/>
    <w:rsid w:val="00690778"/>
    <w:rsid w:val="0069078F"/>
    <w:rsid w:val="00690A2D"/>
    <w:rsid w:val="00690AE4"/>
    <w:rsid w:val="00690E4F"/>
    <w:rsid w:val="00690E63"/>
    <w:rsid w:val="00690FC6"/>
    <w:rsid w:val="00691041"/>
    <w:rsid w:val="0069114D"/>
    <w:rsid w:val="006912B3"/>
    <w:rsid w:val="006914E7"/>
    <w:rsid w:val="0069154B"/>
    <w:rsid w:val="0069171D"/>
    <w:rsid w:val="006917D6"/>
    <w:rsid w:val="00691BD2"/>
    <w:rsid w:val="00691D8F"/>
    <w:rsid w:val="00692004"/>
    <w:rsid w:val="0069234E"/>
    <w:rsid w:val="006923B0"/>
    <w:rsid w:val="006923D4"/>
    <w:rsid w:val="00692467"/>
    <w:rsid w:val="006925F4"/>
    <w:rsid w:val="006928DB"/>
    <w:rsid w:val="0069291B"/>
    <w:rsid w:val="00692F9A"/>
    <w:rsid w:val="00693195"/>
    <w:rsid w:val="006933FF"/>
    <w:rsid w:val="006937C1"/>
    <w:rsid w:val="00693924"/>
    <w:rsid w:val="00693C3B"/>
    <w:rsid w:val="00693EB5"/>
    <w:rsid w:val="00693F23"/>
    <w:rsid w:val="00693FFE"/>
    <w:rsid w:val="0069420C"/>
    <w:rsid w:val="00694329"/>
    <w:rsid w:val="0069433E"/>
    <w:rsid w:val="006943EB"/>
    <w:rsid w:val="0069442A"/>
    <w:rsid w:val="0069451A"/>
    <w:rsid w:val="006946F4"/>
    <w:rsid w:val="006947AD"/>
    <w:rsid w:val="006947E4"/>
    <w:rsid w:val="006948EB"/>
    <w:rsid w:val="006949FF"/>
    <w:rsid w:val="00694B21"/>
    <w:rsid w:val="00694E61"/>
    <w:rsid w:val="00694FF8"/>
    <w:rsid w:val="00695153"/>
    <w:rsid w:val="0069552D"/>
    <w:rsid w:val="00695831"/>
    <w:rsid w:val="00695834"/>
    <w:rsid w:val="00695AFB"/>
    <w:rsid w:val="00695B7F"/>
    <w:rsid w:val="00695BDD"/>
    <w:rsid w:val="00695D10"/>
    <w:rsid w:val="00695DA5"/>
    <w:rsid w:val="00695E71"/>
    <w:rsid w:val="00695ED0"/>
    <w:rsid w:val="00696202"/>
    <w:rsid w:val="006962B6"/>
    <w:rsid w:val="00696326"/>
    <w:rsid w:val="006964C7"/>
    <w:rsid w:val="00696837"/>
    <w:rsid w:val="0069691B"/>
    <w:rsid w:val="00696B0B"/>
    <w:rsid w:val="00696B44"/>
    <w:rsid w:val="00696F51"/>
    <w:rsid w:val="00697798"/>
    <w:rsid w:val="00697AEB"/>
    <w:rsid w:val="006A0044"/>
    <w:rsid w:val="006A04F5"/>
    <w:rsid w:val="006A05E4"/>
    <w:rsid w:val="006A0A7B"/>
    <w:rsid w:val="006A0C09"/>
    <w:rsid w:val="006A1214"/>
    <w:rsid w:val="006A13B5"/>
    <w:rsid w:val="006A151B"/>
    <w:rsid w:val="006A1583"/>
    <w:rsid w:val="006A15D8"/>
    <w:rsid w:val="006A19CA"/>
    <w:rsid w:val="006A1A20"/>
    <w:rsid w:val="006A1FDB"/>
    <w:rsid w:val="006A202B"/>
    <w:rsid w:val="006A2212"/>
    <w:rsid w:val="006A238E"/>
    <w:rsid w:val="006A26FC"/>
    <w:rsid w:val="006A27A2"/>
    <w:rsid w:val="006A2927"/>
    <w:rsid w:val="006A2A8B"/>
    <w:rsid w:val="006A2B5A"/>
    <w:rsid w:val="006A2B5E"/>
    <w:rsid w:val="006A2C10"/>
    <w:rsid w:val="006A305E"/>
    <w:rsid w:val="006A312B"/>
    <w:rsid w:val="006A3364"/>
    <w:rsid w:val="006A34D6"/>
    <w:rsid w:val="006A38F0"/>
    <w:rsid w:val="006A3983"/>
    <w:rsid w:val="006A3996"/>
    <w:rsid w:val="006A3E59"/>
    <w:rsid w:val="006A3EFE"/>
    <w:rsid w:val="006A4002"/>
    <w:rsid w:val="006A407D"/>
    <w:rsid w:val="006A4696"/>
    <w:rsid w:val="006A47AF"/>
    <w:rsid w:val="006A4817"/>
    <w:rsid w:val="006A4866"/>
    <w:rsid w:val="006A4994"/>
    <w:rsid w:val="006A4ABA"/>
    <w:rsid w:val="006A4C83"/>
    <w:rsid w:val="006A4D54"/>
    <w:rsid w:val="006A4F11"/>
    <w:rsid w:val="006A50F4"/>
    <w:rsid w:val="006A52B3"/>
    <w:rsid w:val="006A52D7"/>
    <w:rsid w:val="006A5349"/>
    <w:rsid w:val="006A5491"/>
    <w:rsid w:val="006A57D6"/>
    <w:rsid w:val="006A5A2B"/>
    <w:rsid w:val="006A5DB1"/>
    <w:rsid w:val="006A5F66"/>
    <w:rsid w:val="006A60E4"/>
    <w:rsid w:val="006A61B7"/>
    <w:rsid w:val="006A654C"/>
    <w:rsid w:val="006A65B5"/>
    <w:rsid w:val="006A6885"/>
    <w:rsid w:val="006A6C76"/>
    <w:rsid w:val="006A6D17"/>
    <w:rsid w:val="006A705D"/>
    <w:rsid w:val="006A72BA"/>
    <w:rsid w:val="006A746E"/>
    <w:rsid w:val="006A76A8"/>
    <w:rsid w:val="006A7741"/>
    <w:rsid w:val="006A7EEF"/>
    <w:rsid w:val="006B03A1"/>
    <w:rsid w:val="006B04BC"/>
    <w:rsid w:val="006B04C3"/>
    <w:rsid w:val="006B058C"/>
    <w:rsid w:val="006B0FEC"/>
    <w:rsid w:val="006B1184"/>
    <w:rsid w:val="006B143F"/>
    <w:rsid w:val="006B14A2"/>
    <w:rsid w:val="006B172A"/>
    <w:rsid w:val="006B1CC5"/>
    <w:rsid w:val="006B1E61"/>
    <w:rsid w:val="006B201E"/>
    <w:rsid w:val="006B207A"/>
    <w:rsid w:val="006B20EA"/>
    <w:rsid w:val="006B2100"/>
    <w:rsid w:val="006B2291"/>
    <w:rsid w:val="006B2394"/>
    <w:rsid w:val="006B268E"/>
    <w:rsid w:val="006B26AF"/>
    <w:rsid w:val="006B2A2B"/>
    <w:rsid w:val="006B2BB0"/>
    <w:rsid w:val="006B2BE3"/>
    <w:rsid w:val="006B2E92"/>
    <w:rsid w:val="006B3044"/>
    <w:rsid w:val="006B317A"/>
    <w:rsid w:val="006B319C"/>
    <w:rsid w:val="006B345C"/>
    <w:rsid w:val="006B3856"/>
    <w:rsid w:val="006B3A9F"/>
    <w:rsid w:val="006B3AFC"/>
    <w:rsid w:val="006B3E0B"/>
    <w:rsid w:val="006B3EA1"/>
    <w:rsid w:val="006B3F26"/>
    <w:rsid w:val="006B4369"/>
    <w:rsid w:val="006B4393"/>
    <w:rsid w:val="006B43F8"/>
    <w:rsid w:val="006B444C"/>
    <w:rsid w:val="006B45B6"/>
    <w:rsid w:val="006B4653"/>
    <w:rsid w:val="006B46BB"/>
    <w:rsid w:val="006B4904"/>
    <w:rsid w:val="006B4962"/>
    <w:rsid w:val="006B4DB8"/>
    <w:rsid w:val="006B53AD"/>
    <w:rsid w:val="006B5567"/>
    <w:rsid w:val="006B55DE"/>
    <w:rsid w:val="006B5773"/>
    <w:rsid w:val="006B58FA"/>
    <w:rsid w:val="006B5D8D"/>
    <w:rsid w:val="006B5E1F"/>
    <w:rsid w:val="006B5FB7"/>
    <w:rsid w:val="006B6087"/>
    <w:rsid w:val="006B6211"/>
    <w:rsid w:val="006B62DF"/>
    <w:rsid w:val="006B6448"/>
    <w:rsid w:val="006B646A"/>
    <w:rsid w:val="006B6852"/>
    <w:rsid w:val="006B6B7F"/>
    <w:rsid w:val="006B6C9C"/>
    <w:rsid w:val="006B6CFA"/>
    <w:rsid w:val="006B6DC1"/>
    <w:rsid w:val="006B6DE7"/>
    <w:rsid w:val="006B6DF4"/>
    <w:rsid w:val="006B6F9D"/>
    <w:rsid w:val="006B7152"/>
    <w:rsid w:val="006B7192"/>
    <w:rsid w:val="006B759C"/>
    <w:rsid w:val="006B75A9"/>
    <w:rsid w:val="006B7728"/>
    <w:rsid w:val="006B773F"/>
    <w:rsid w:val="006B78B6"/>
    <w:rsid w:val="006B7A21"/>
    <w:rsid w:val="006B7AE4"/>
    <w:rsid w:val="006B7B2B"/>
    <w:rsid w:val="006B7CFB"/>
    <w:rsid w:val="006C05E6"/>
    <w:rsid w:val="006C08BF"/>
    <w:rsid w:val="006C0B06"/>
    <w:rsid w:val="006C0FEC"/>
    <w:rsid w:val="006C0FEF"/>
    <w:rsid w:val="006C1218"/>
    <w:rsid w:val="006C1289"/>
    <w:rsid w:val="006C12BE"/>
    <w:rsid w:val="006C1335"/>
    <w:rsid w:val="006C137C"/>
    <w:rsid w:val="006C1442"/>
    <w:rsid w:val="006C1559"/>
    <w:rsid w:val="006C1A69"/>
    <w:rsid w:val="006C1A7E"/>
    <w:rsid w:val="006C1A99"/>
    <w:rsid w:val="006C1D6E"/>
    <w:rsid w:val="006C1E3B"/>
    <w:rsid w:val="006C1E55"/>
    <w:rsid w:val="006C1EC3"/>
    <w:rsid w:val="006C25A7"/>
    <w:rsid w:val="006C2624"/>
    <w:rsid w:val="006C281B"/>
    <w:rsid w:val="006C2881"/>
    <w:rsid w:val="006C2DB2"/>
    <w:rsid w:val="006C2DF0"/>
    <w:rsid w:val="006C3483"/>
    <w:rsid w:val="006C3612"/>
    <w:rsid w:val="006C371E"/>
    <w:rsid w:val="006C3F78"/>
    <w:rsid w:val="006C42A0"/>
    <w:rsid w:val="006C44D6"/>
    <w:rsid w:val="006C4615"/>
    <w:rsid w:val="006C4775"/>
    <w:rsid w:val="006C4D0D"/>
    <w:rsid w:val="006C4D4D"/>
    <w:rsid w:val="006C4EA4"/>
    <w:rsid w:val="006C4F8C"/>
    <w:rsid w:val="006C4F92"/>
    <w:rsid w:val="006C5626"/>
    <w:rsid w:val="006C5692"/>
    <w:rsid w:val="006C592C"/>
    <w:rsid w:val="006C5A3F"/>
    <w:rsid w:val="006C5CEF"/>
    <w:rsid w:val="006C5DF1"/>
    <w:rsid w:val="006C6148"/>
    <w:rsid w:val="006C62D6"/>
    <w:rsid w:val="006C6503"/>
    <w:rsid w:val="006C67A5"/>
    <w:rsid w:val="006C6941"/>
    <w:rsid w:val="006C696B"/>
    <w:rsid w:val="006C6B19"/>
    <w:rsid w:val="006C6F7F"/>
    <w:rsid w:val="006C6FDC"/>
    <w:rsid w:val="006C7017"/>
    <w:rsid w:val="006C72A2"/>
    <w:rsid w:val="006C741B"/>
    <w:rsid w:val="006C7710"/>
    <w:rsid w:val="006C77D6"/>
    <w:rsid w:val="006C791B"/>
    <w:rsid w:val="006C792A"/>
    <w:rsid w:val="006C7B7B"/>
    <w:rsid w:val="006C7BC2"/>
    <w:rsid w:val="006C7C22"/>
    <w:rsid w:val="006C7EF8"/>
    <w:rsid w:val="006D03EB"/>
    <w:rsid w:val="006D0743"/>
    <w:rsid w:val="006D0B08"/>
    <w:rsid w:val="006D0E95"/>
    <w:rsid w:val="006D0EAE"/>
    <w:rsid w:val="006D0EC9"/>
    <w:rsid w:val="006D0F25"/>
    <w:rsid w:val="006D0F31"/>
    <w:rsid w:val="006D1237"/>
    <w:rsid w:val="006D1458"/>
    <w:rsid w:val="006D14AF"/>
    <w:rsid w:val="006D150D"/>
    <w:rsid w:val="006D186D"/>
    <w:rsid w:val="006D1A65"/>
    <w:rsid w:val="006D1BB1"/>
    <w:rsid w:val="006D2294"/>
    <w:rsid w:val="006D297A"/>
    <w:rsid w:val="006D2CA4"/>
    <w:rsid w:val="006D2D80"/>
    <w:rsid w:val="006D2F00"/>
    <w:rsid w:val="006D3110"/>
    <w:rsid w:val="006D34A8"/>
    <w:rsid w:val="006D34C0"/>
    <w:rsid w:val="006D3A80"/>
    <w:rsid w:val="006D3CB1"/>
    <w:rsid w:val="006D4090"/>
    <w:rsid w:val="006D40B9"/>
    <w:rsid w:val="006D4183"/>
    <w:rsid w:val="006D4682"/>
    <w:rsid w:val="006D488E"/>
    <w:rsid w:val="006D4F89"/>
    <w:rsid w:val="006D4F93"/>
    <w:rsid w:val="006D4FA7"/>
    <w:rsid w:val="006D5003"/>
    <w:rsid w:val="006D51DF"/>
    <w:rsid w:val="006D5280"/>
    <w:rsid w:val="006D54ED"/>
    <w:rsid w:val="006D5516"/>
    <w:rsid w:val="006D5A67"/>
    <w:rsid w:val="006D5BC4"/>
    <w:rsid w:val="006D5C0A"/>
    <w:rsid w:val="006D5CAF"/>
    <w:rsid w:val="006D5E03"/>
    <w:rsid w:val="006D5EE0"/>
    <w:rsid w:val="006D5F65"/>
    <w:rsid w:val="006D6280"/>
    <w:rsid w:val="006D6329"/>
    <w:rsid w:val="006D63CB"/>
    <w:rsid w:val="006D64DD"/>
    <w:rsid w:val="006D6515"/>
    <w:rsid w:val="006D6A81"/>
    <w:rsid w:val="006D6ABA"/>
    <w:rsid w:val="006D6DB0"/>
    <w:rsid w:val="006D6EBF"/>
    <w:rsid w:val="006D6FD6"/>
    <w:rsid w:val="006D6FDD"/>
    <w:rsid w:val="006D70F1"/>
    <w:rsid w:val="006D7187"/>
    <w:rsid w:val="006D749F"/>
    <w:rsid w:val="006D750A"/>
    <w:rsid w:val="006D77E4"/>
    <w:rsid w:val="006D7A43"/>
    <w:rsid w:val="006D7BB7"/>
    <w:rsid w:val="006D7CD4"/>
    <w:rsid w:val="006D7EC6"/>
    <w:rsid w:val="006E03C1"/>
    <w:rsid w:val="006E05D4"/>
    <w:rsid w:val="006E069F"/>
    <w:rsid w:val="006E0786"/>
    <w:rsid w:val="006E0849"/>
    <w:rsid w:val="006E0A9E"/>
    <w:rsid w:val="006E0B39"/>
    <w:rsid w:val="006E0B8B"/>
    <w:rsid w:val="006E0BF6"/>
    <w:rsid w:val="006E0D2D"/>
    <w:rsid w:val="006E0F2E"/>
    <w:rsid w:val="006E14D4"/>
    <w:rsid w:val="006E151F"/>
    <w:rsid w:val="006E18F1"/>
    <w:rsid w:val="006E1BA8"/>
    <w:rsid w:val="006E1BD2"/>
    <w:rsid w:val="006E1D45"/>
    <w:rsid w:val="006E2129"/>
    <w:rsid w:val="006E2C96"/>
    <w:rsid w:val="006E2F2E"/>
    <w:rsid w:val="006E31F0"/>
    <w:rsid w:val="006E32D3"/>
    <w:rsid w:val="006E336C"/>
    <w:rsid w:val="006E37FD"/>
    <w:rsid w:val="006E3855"/>
    <w:rsid w:val="006E38CD"/>
    <w:rsid w:val="006E39FF"/>
    <w:rsid w:val="006E3B1C"/>
    <w:rsid w:val="006E3B3D"/>
    <w:rsid w:val="006E3CB4"/>
    <w:rsid w:val="006E3E8A"/>
    <w:rsid w:val="006E3EFF"/>
    <w:rsid w:val="006E4058"/>
    <w:rsid w:val="006E40A8"/>
    <w:rsid w:val="006E46B4"/>
    <w:rsid w:val="006E476E"/>
    <w:rsid w:val="006E4CE2"/>
    <w:rsid w:val="006E513F"/>
    <w:rsid w:val="006E5225"/>
    <w:rsid w:val="006E5356"/>
    <w:rsid w:val="006E5436"/>
    <w:rsid w:val="006E552A"/>
    <w:rsid w:val="006E5767"/>
    <w:rsid w:val="006E595C"/>
    <w:rsid w:val="006E5E0E"/>
    <w:rsid w:val="006E5E80"/>
    <w:rsid w:val="006E605F"/>
    <w:rsid w:val="006E616D"/>
    <w:rsid w:val="006E61DA"/>
    <w:rsid w:val="006E61EF"/>
    <w:rsid w:val="006E654A"/>
    <w:rsid w:val="006E6557"/>
    <w:rsid w:val="006E65AA"/>
    <w:rsid w:val="006E6788"/>
    <w:rsid w:val="006E6CBD"/>
    <w:rsid w:val="006E6DD4"/>
    <w:rsid w:val="006E6EED"/>
    <w:rsid w:val="006E7030"/>
    <w:rsid w:val="006E70AE"/>
    <w:rsid w:val="006E7226"/>
    <w:rsid w:val="006E787F"/>
    <w:rsid w:val="006F0401"/>
    <w:rsid w:val="006F05BC"/>
    <w:rsid w:val="006F06BA"/>
    <w:rsid w:val="006F07DE"/>
    <w:rsid w:val="006F0CBB"/>
    <w:rsid w:val="006F0E79"/>
    <w:rsid w:val="006F0E7C"/>
    <w:rsid w:val="006F0F23"/>
    <w:rsid w:val="006F0F53"/>
    <w:rsid w:val="006F1099"/>
    <w:rsid w:val="006F135D"/>
    <w:rsid w:val="006F1554"/>
    <w:rsid w:val="006F1676"/>
    <w:rsid w:val="006F17B7"/>
    <w:rsid w:val="006F1C2A"/>
    <w:rsid w:val="006F1F67"/>
    <w:rsid w:val="006F1F81"/>
    <w:rsid w:val="006F2119"/>
    <w:rsid w:val="006F245E"/>
    <w:rsid w:val="006F24A3"/>
    <w:rsid w:val="006F2570"/>
    <w:rsid w:val="006F2589"/>
    <w:rsid w:val="006F280C"/>
    <w:rsid w:val="006F2858"/>
    <w:rsid w:val="006F2888"/>
    <w:rsid w:val="006F2B05"/>
    <w:rsid w:val="006F2FA9"/>
    <w:rsid w:val="006F32B5"/>
    <w:rsid w:val="006F36AC"/>
    <w:rsid w:val="006F37E1"/>
    <w:rsid w:val="006F3840"/>
    <w:rsid w:val="006F3C19"/>
    <w:rsid w:val="006F4196"/>
    <w:rsid w:val="006F439B"/>
    <w:rsid w:val="006F4530"/>
    <w:rsid w:val="006F454A"/>
    <w:rsid w:val="006F463A"/>
    <w:rsid w:val="006F4658"/>
    <w:rsid w:val="006F4690"/>
    <w:rsid w:val="006F46D3"/>
    <w:rsid w:val="006F46E7"/>
    <w:rsid w:val="006F483C"/>
    <w:rsid w:val="006F4942"/>
    <w:rsid w:val="006F4C59"/>
    <w:rsid w:val="006F52F1"/>
    <w:rsid w:val="006F537D"/>
    <w:rsid w:val="006F559D"/>
    <w:rsid w:val="006F55C0"/>
    <w:rsid w:val="006F5647"/>
    <w:rsid w:val="006F575F"/>
    <w:rsid w:val="006F57AA"/>
    <w:rsid w:val="006F5B3E"/>
    <w:rsid w:val="006F5DCA"/>
    <w:rsid w:val="006F5E45"/>
    <w:rsid w:val="006F5FCF"/>
    <w:rsid w:val="006F604F"/>
    <w:rsid w:val="006F61BE"/>
    <w:rsid w:val="006F641B"/>
    <w:rsid w:val="006F6479"/>
    <w:rsid w:val="006F66BC"/>
    <w:rsid w:val="006F6909"/>
    <w:rsid w:val="006F6945"/>
    <w:rsid w:val="006F69F7"/>
    <w:rsid w:val="006F6A23"/>
    <w:rsid w:val="006F6B14"/>
    <w:rsid w:val="006F6E86"/>
    <w:rsid w:val="006F6ED4"/>
    <w:rsid w:val="006F6FAE"/>
    <w:rsid w:val="006F70B3"/>
    <w:rsid w:val="006F70EE"/>
    <w:rsid w:val="006F7159"/>
    <w:rsid w:val="006F7189"/>
    <w:rsid w:val="006F719C"/>
    <w:rsid w:val="006F76E7"/>
    <w:rsid w:val="006F77A4"/>
    <w:rsid w:val="006F7929"/>
    <w:rsid w:val="006F79BC"/>
    <w:rsid w:val="006F7A61"/>
    <w:rsid w:val="006F7ADA"/>
    <w:rsid w:val="006F7CB8"/>
    <w:rsid w:val="006F7EE3"/>
    <w:rsid w:val="006F7F16"/>
    <w:rsid w:val="00700050"/>
    <w:rsid w:val="00700073"/>
    <w:rsid w:val="0070008B"/>
    <w:rsid w:val="00700140"/>
    <w:rsid w:val="00700177"/>
    <w:rsid w:val="007001BF"/>
    <w:rsid w:val="00700450"/>
    <w:rsid w:val="00700608"/>
    <w:rsid w:val="00700DAE"/>
    <w:rsid w:val="007011B0"/>
    <w:rsid w:val="007012B0"/>
    <w:rsid w:val="0070153B"/>
    <w:rsid w:val="007018CC"/>
    <w:rsid w:val="00701AE8"/>
    <w:rsid w:val="007022A9"/>
    <w:rsid w:val="0070233C"/>
    <w:rsid w:val="0070235C"/>
    <w:rsid w:val="007023D6"/>
    <w:rsid w:val="00702515"/>
    <w:rsid w:val="0070252D"/>
    <w:rsid w:val="007027CF"/>
    <w:rsid w:val="00702931"/>
    <w:rsid w:val="00702A54"/>
    <w:rsid w:val="00702B2C"/>
    <w:rsid w:val="00702B4D"/>
    <w:rsid w:val="00702BB4"/>
    <w:rsid w:val="0070317E"/>
    <w:rsid w:val="00703211"/>
    <w:rsid w:val="00703347"/>
    <w:rsid w:val="00703410"/>
    <w:rsid w:val="00703473"/>
    <w:rsid w:val="007036F2"/>
    <w:rsid w:val="00703718"/>
    <w:rsid w:val="00703908"/>
    <w:rsid w:val="007039AA"/>
    <w:rsid w:val="00703CB9"/>
    <w:rsid w:val="00703CE5"/>
    <w:rsid w:val="00704012"/>
    <w:rsid w:val="00704180"/>
    <w:rsid w:val="00704298"/>
    <w:rsid w:val="007042E9"/>
    <w:rsid w:val="007042FE"/>
    <w:rsid w:val="007043D3"/>
    <w:rsid w:val="007046F3"/>
    <w:rsid w:val="00704850"/>
    <w:rsid w:val="00704B6C"/>
    <w:rsid w:val="00704DBA"/>
    <w:rsid w:val="00704E47"/>
    <w:rsid w:val="00704EDE"/>
    <w:rsid w:val="00704F67"/>
    <w:rsid w:val="00704FF1"/>
    <w:rsid w:val="00705018"/>
    <w:rsid w:val="00705274"/>
    <w:rsid w:val="007052C7"/>
    <w:rsid w:val="0070558F"/>
    <w:rsid w:val="007055AD"/>
    <w:rsid w:val="00705F7F"/>
    <w:rsid w:val="00705FBB"/>
    <w:rsid w:val="0070603E"/>
    <w:rsid w:val="0070611A"/>
    <w:rsid w:val="0070632E"/>
    <w:rsid w:val="007064F1"/>
    <w:rsid w:val="007066D7"/>
    <w:rsid w:val="00706777"/>
    <w:rsid w:val="00706872"/>
    <w:rsid w:val="00706A98"/>
    <w:rsid w:val="00706C38"/>
    <w:rsid w:val="00706D27"/>
    <w:rsid w:val="00706DAD"/>
    <w:rsid w:val="0070709A"/>
    <w:rsid w:val="00707498"/>
    <w:rsid w:val="0070798D"/>
    <w:rsid w:val="00707AD1"/>
    <w:rsid w:val="00707B19"/>
    <w:rsid w:val="00707BD0"/>
    <w:rsid w:val="00707EC4"/>
    <w:rsid w:val="00707F05"/>
    <w:rsid w:val="007100E8"/>
    <w:rsid w:val="007102EA"/>
    <w:rsid w:val="00710320"/>
    <w:rsid w:val="0071039A"/>
    <w:rsid w:val="007105FD"/>
    <w:rsid w:val="00710633"/>
    <w:rsid w:val="007107B1"/>
    <w:rsid w:val="007108E4"/>
    <w:rsid w:val="00710A62"/>
    <w:rsid w:val="00710C0E"/>
    <w:rsid w:val="00710CDF"/>
    <w:rsid w:val="00710DBD"/>
    <w:rsid w:val="00710F49"/>
    <w:rsid w:val="00711221"/>
    <w:rsid w:val="00711457"/>
    <w:rsid w:val="00711918"/>
    <w:rsid w:val="00711942"/>
    <w:rsid w:val="00711A04"/>
    <w:rsid w:val="00711B97"/>
    <w:rsid w:val="00711D6D"/>
    <w:rsid w:val="00712024"/>
    <w:rsid w:val="0071207A"/>
    <w:rsid w:val="00712145"/>
    <w:rsid w:val="0071215F"/>
    <w:rsid w:val="0071235F"/>
    <w:rsid w:val="00712497"/>
    <w:rsid w:val="007124F1"/>
    <w:rsid w:val="00712649"/>
    <w:rsid w:val="0071296D"/>
    <w:rsid w:val="00712B9C"/>
    <w:rsid w:val="00712E9C"/>
    <w:rsid w:val="00712EC6"/>
    <w:rsid w:val="0071301A"/>
    <w:rsid w:val="00713044"/>
    <w:rsid w:val="0071305C"/>
    <w:rsid w:val="00713201"/>
    <w:rsid w:val="0071352D"/>
    <w:rsid w:val="007135CE"/>
    <w:rsid w:val="007136AE"/>
    <w:rsid w:val="007138A1"/>
    <w:rsid w:val="00713CB7"/>
    <w:rsid w:val="0071416A"/>
    <w:rsid w:val="0071439A"/>
    <w:rsid w:val="00714485"/>
    <w:rsid w:val="00714694"/>
    <w:rsid w:val="007146E6"/>
    <w:rsid w:val="007147E5"/>
    <w:rsid w:val="007147EC"/>
    <w:rsid w:val="00714A41"/>
    <w:rsid w:val="00714A87"/>
    <w:rsid w:val="00714CC6"/>
    <w:rsid w:val="00714D33"/>
    <w:rsid w:val="00714E8F"/>
    <w:rsid w:val="00715066"/>
    <w:rsid w:val="00715126"/>
    <w:rsid w:val="0071514C"/>
    <w:rsid w:val="007152E2"/>
    <w:rsid w:val="00715438"/>
    <w:rsid w:val="0071550A"/>
    <w:rsid w:val="00715690"/>
    <w:rsid w:val="00715818"/>
    <w:rsid w:val="00715855"/>
    <w:rsid w:val="0071588C"/>
    <w:rsid w:val="00715920"/>
    <w:rsid w:val="007159EE"/>
    <w:rsid w:val="00715E62"/>
    <w:rsid w:val="00715EA6"/>
    <w:rsid w:val="00715EF5"/>
    <w:rsid w:val="007163AF"/>
    <w:rsid w:val="00716C2A"/>
    <w:rsid w:val="0071732F"/>
    <w:rsid w:val="007174CC"/>
    <w:rsid w:val="00717528"/>
    <w:rsid w:val="00717544"/>
    <w:rsid w:val="00717552"/>
    <w:rsid w:val="00717979"/>
    <w:rsid w:val="00717C37"/>
    <w:rsid w:val="00720188"/>
    <w:rsid w:val="00720583"/>
    <w:rsid w:val="007208D0"/>
    <w:rsid w:val="00720D11"/>
    <w:rsid w:val="00720DD8"/>
    <w:rsid w:val="00720E38"/>
    <w:rsid w:val="007213B0"/>
    <w:rsid w:val="007214EE"/>
    <w:rsid w:val="00721559"/>
    <w:rsid w:val="00721CB2"/>
    <w:rsid w:val="00721DF8"/>
    <w:rsid w:val="00721E51"/>
    <w:rsid w:val="00721E5F"/>
    <w:rsid w:val="00721F78"/>
    <w:rsid w:val="007221BF"/>
    <w:rsid w:val="00722202"/>
    <w:rsid w:val="00722339"/>
    <w:rsid w:val="007223A8"/>
    <w:rsid w:val="007223B1"/>
    <w:rsid w:val="007225A1"/>
    <w:rsid w:val="00722814"/>
    <w:rsid w:val="00722901"/>
    <w:rsid w:val="00722E13"/>
    <w:rsid w:val="00722E55"/>
    <w:rsid w:val="00722E81"/>
    <w:rsid w:val="00722FC7"/>
    <w:rsid w:val="00723452"/>
    <w:rsid w:val="0072357C"/>
    <w:rsid w:val="00723B8C"/>
    <w:rsid w:val="00723BD1"/>
    <w:rsid w:val="00724304"/>
    <w:rsid w:val="007243B8"/>
    <w:rsid w:val="0072480B"/>
    <w:rsid w:val="00724A58"/>
    <w:rsid w:val="00724D77"/>
    <w:rsid w:val="00724F54"/>
    <w:rsid w:val="007252D3"/>
    <w:rsid w:val="00725341"/>
    <w:rsid w:val="00725483"/>
    <w:rsid w:val="00725987"/>
    <w:rsid w:val="00725B86"/>
    <w:rsid w:val="00725BC6"/>
    <w:rsid w:val="00725BE9"/>
    <w:rsid w:val="00725CD4"/>
    <w:rsid w:val="00725D09"/>
    <w:rsid w:val="007261D5"/>
    <w:rsid w:val="00726528"/>
    <w:rsid w:val="00726563"/>
    <w:rsid w:val="007266A5"/>
    <w:rsid w:val="00726873"/>
    <w:rsid w:val="00726969"/>
    <w:rsid w:val="00727140"/>
    <w:rsid w:val="007271C6"/>
    <w:rsid w:val="00727289"/>
    <w:rsid w:val="007276BB"/>
    <w:rsid w:val="00727822"/>
    <w:rsid w:val="007278D8"/>
    <w:rsid w:val="007278E3"/>
    <w:rsid w:val="00727AAE"/>
    <w:rsid w:val="00727AF8"/>
    <w:rsid w:val="00727CD8"/>
    <w:rsid w:val="0072995A"/>
    <w:rsid w:val="0073015D"/>
    <w:rsid w:val="00730167"/>
    <w:rsid w:val="007305D9"/>
    <w:rsid w:val="00730AFE"/>
    <w:rsid w:val="00731670"/>
    <w:rsid w:val="007316E2"/>
    <w:rsid w:val="00731DB1"/>
    <w:rsid w:val="007320DE"/>
    <w:rsid w:val="007325C9"/>
    <w:rsid w:val="00732635"/>
    <w:rsid w:val="0073264A"/>
    <w:rsid w:val="007327A9"/>
    <w:rsid w:val="007327C1"/>
    <w:rsid w:val="007328D6"/>
    <w:rsid w:val="00732B46"/>
    <w:rsid w:val="00732E7D"/>
    <w:rsid w:val="00733089"/>
    <w:rsid w:val="00733125"/>
    <w:rsid w:val="007333B0"/>
    <w:rsid w:val="00733481"/>
    <w:rsid w:val="007339A7"/>
    <w:rsid w:val="00733D35"/>
    <w:rsid w:val="00733E39"/>
    <w:rsid w:val="00733EF0"/>
    <w:rsid w:val="00734163"/>
    <w:rsid w:val="00734190"/>
    <w:rsid w:val="00734192"/>
    <w:rsid w:val="007343FE"/>
    <w:rsid w:val="007345CF"/>
    <w:rsid w:val="00734A86"/>
    <w:rsid w:val="00734A8C"/>
    <w:rsid w:val="00734C24"/>
    <w:rsid w:val="00734DE3"/>
    <w:rsid w:val="00734EC2"/>
    <w:rsid w:val="007350C5"/>
    <w:rsid w:val="007353D9"/>
    <w:rsid w:val="007354BB"/>
    <w:rsid w:val="007358F1"/>
    <w:rsid w:val="007359CC"/>
    <w:rsid w:val="00735B8D"/>
    <w:rsid w:val="007361FC"/>
    <w:rsid w:val="0073622A"/>
    <w:rsid w:val="007362B4"/>
    <w:rsid w:val="007369E8"/>
    <w:rsid w:val="00736A8B"/>
    <w:rsid w:val="00736B62"/>
    <w:rsid w:val="00736FAD"/>
    <w:rsid w:val="007370C5"/>
    <w:rsid w:val="007373DB"/>
    <w:rsid w:val="00737971"/>
    <w:rsid w:val="00737C41"/>
    <w:rsid w:val="00737C9D"/>
    <w:rsid w:val="0074020B"/>
    <w:rsid w:val="00740311"/>
    <w:rsid w:val="0074043A"/>
    <w:rsid w:val="0074059C"/>
    <w:rsid w:val="007406CE"/>
    <w:rsid w:val="00740737"/>
    <w:rsid w:val="00740936"/>
    <w:rsid w:val="0074098F"/>
    <w:rsid w:val="007409A3"/>
    <w:rsid w:val="00740E21"/>
    <w:rsid w:val="0074107C"/>
    <w:rsid w:val="00741249"/>
    <w:rsid w:val="00741345"/>
    <w:rsid w:val="00741454"/>
    <w:rsid w:val="00741D45"/>
    <w:rsid w:val="0074214F"/>
    <w:rsid w:val="007421F2"/>
    <w:rsid w:val="007425B0"/>
    <w:rsid w:val="007427AD"/>
    <w:rsid w:val="00742947"/>
    <w:rsid w:val="00742C29"/>
    <w:rsid w:val="00742C8E"/>
    <w:rsid w:val="00742EBF"/>
    <w:rsid w:val="007434A2"/>
    <w:rsid w:val="00743561"/>
    <w:rsid w:val="0074357A"/>
    <w:rsid w:val="0074360D"/>
    <w:rsid w:val="00743A95"/>
    <w:rsid w:val="00743FB0"/>
    <w:rsid w:val="00743FEF"/>
    <w:rsid w:val="007442B6"/>
    <w:rsid w:val="00744452"/>
    <w:rsid w:val="0074449F"/>
    <w:rsid w:val="007444E0"/>
    <w:rsid w:val="007445F8"/>
    <w:rsid w:val="00744643"/>
    <w:rsid w:val="00744696"/>
    <w:rsid w:val="0074494C"/>
    <w:rsid w:val="00744997"/>
    <w:rsid w:val="00744AF2"/>
    <w:rsid w:val="00744CFD"/>
    <w:rsid w:val="00744DB5"/>
    <w:rsid w:val="00744E44"/>
    <w:rsid w:val="00744FCF"/>
    <w:rsid w:val="0074528D"/>
    <w:rsid w:val="00745335"/>
    <w:rsid w:val="007455B4"/>
    <w:rsid w:val="00745638"/>
    <w:rsid w:val="00745832"/>
    <w:rsid w:val="00745858"/>
    <w:rsid w:val="00745907"/>
    <w:rsid w:val="00745B46"/>
    <w:rsid w:val="00745C0A"/>
    <w:rsid w:val="00745D07"/>
    <w:rsid w:val="007462D6"/>
    <w:rsid w:val="0074636C"/>
    <w:rsid w:val="00746479"/>
    <w:rsid w:val="00746982"/>
    <w:rsid w:val="00746E5E"/>
    <w:rsid w:val="0074702C"/>
    <w:rsid w:val="007470E7"/>
    <w:rsid w:val="007471ED"/>
    <w:rsid w:val="00747248"/>
    <w:rsid w:val="007473CF"/>
    <w:rsid w:val="007473FB"/>
    <w:rsid w:val="00747516"/>
    <w:rsid w:val="00747547"/>
    <w:rsid w:val="00747BB6"/>
    <w:rsid w:val="00747DE2"/>
    <w:rsid w:val="007500EB"/>
    <w:rsid w:val="007504E0"/>
    <w:rsid w:val="007504E4"/>
    <w:rsid w:val="00750A3D"/>
    <w:rsid w:val="00750C6E"/>
    <w:rsid w:val="00750C7A"/>
    <w:rsid w:val="00750DF7"/>
    <w:rsid w:val="00750E09"/>
    <w:rsid w:val="00750EF6"/>
    <w:rsid w:val="00750FFC"/>
    <w:rsid w:val="00751008"/>
    <w:rsid w:val="0075138B"/>
    <w:rsid w:val="00751547"/>
    <w:rsid w:val="0075162F"/>
    <w:rsid w:val="0075163D"/>
    <w:rsid w:val="007518B7"/>
    <w:rsid w:val="00751A1E"/>
    <w:rsid w:val="00751CBD"/>
    <w:rsid w:val="00751D36"/>
    <w:rsid w:val="00751DE3"/>
    <w:rsid w:val="0075207E"/>
    <w:rsid w:val="007522F3"/>
    <w:rsid w:val="00752527"/>
    <w:rsid w:val="00752674"/>
    <w:rsid w:val="007527D3"/>
    <w:rsid w:val="0075294A"/>
    <w:rsid w:val="00752D1B"/>
    <w:rsid w:val="0075361B"/>
    <w:rsid w:val="007537EC"/>
    <w:rsid w:val="00753903"/>
    <w:rsid w:val="0075391C"/>
    <w:rsid w:val="0075397F"/>
    <w:rsid w:val="00753C3E"/>
    <w:rsid w:val="00753CFC"/>
    <w:rsid w:val="00753D66"/>
    <w:rsid w:val="00753D79"/>
    <w:rsid w:val="00753EDC"/>
    <w:rsid w:val="00753F66"/>
    <w:rsid w:val="007540DA"/>
    <w:rsid w:val="0075412C"/>
    <w:rsid w:val="00754216"/>
    <w:rsid w:val="0075464C"/>
    <w:rsid w:val="00754AC8"/>
    <w:rsid w:val="00754AEB"/>
    <w:rsid w:val="00754D66"/>
    <w:rsid w:val="00754DAE"/>
    <w:rsid w:val="00754E3C"/>
    <w:rsid w:val="00754EC9"/>
    <w:rsid w:val="00754F52"/>
    <w:rsid w:val="0075504E"/>
    <w:rsid w:val="007552D1"/>
    <w:rsid w:val="0075540D"/>
    <w:rsid w:val="00755417"/>
    <w:rsid w:val="00755557"/>
    <w:rsid w:val="007556A7"/>
    <w:rsid w:val="007556C2"/>
    <w:rsid w:val="00755804"/>
    <w:rsid w:val="00755CB4"/>
    <w:rsid w:val="0075604E"/>
    <w:rsid w:val="00756172"/>
    <w:rsid w:val="0075628A"/>
    <w:rsid w:val="007562DB"/>
    <w:rsid w:val="007564D7"/>
    <w:rsid w:val="00756565"/>
    <w:rsid w:val="0075664D"/>
    <w:rsid w:val="00756693"/>
    <w:rsid w:val="0075676A"/>
    <w:rsid w:val="007567EA"/>
    <w:rsid w:val="007568C1"/>
    <w:rsid w:val="00756B31"/>
    <w:rsid w:val="00757193"/>
    <w:rsid w:val="0075728F"/>
    <w:rsid w:val="0075763F"/>
    <w:rsid w:val="0075767D"/>
    <w:rsid w:val="00757A26"/>
    <w:rsid w:val="00757AF0"/>
    <w:rsid w:val="00757B37"/>
    <w:rsid w:val="00757C2E"/>
    <w:rsid w:val="00760000"/>
    <w:rsid w:val="007601C3"/>
    <w:rsid w:val="007605E7"/>
    <w:rsid w:val="00760E2F"/>
    <w:rsid w:val="00760E3B"/>
    <w:rsid w:val="00760F81"/>
    <w:rsid w:val="0076157B"/>
    <w:rsid w:val="007615FB"/>
    <w:rsid w:val="00761841"/>
    <w:rsid w:val="00761A1D"/>
    <w:rsid w:val="00761A8B"/>
    <w:rsid w:val="00761A98"/>
    <w:rsid w:val="00761D9C"/>
    <w:rsid w:val="00762738"/>
    <w:rsid w:val="0076292E"/>
    <w:rsid w:val="00762A7F"/>
    <w:rsid w:val="007632EB"/>
    <w:rsid w:val="00763474"/>
    <w:rsid w:val="007636F0"/>
    <w:rsid w:val="00763D09"/>
    <w:rsid w:val="00763F81"/>
    <w:rsid w:val="00764035"/>
    <w:rsid w:val="0076415B"/>
    <w:rsid w:val="007642EC"/>
    <w:rsid w:val="0076456A"/>
    <w:rsid w:val="00764576"/>
    <w:rsid w:val="007646A8"/>
    <w:rsid w:val="007646D8"/>
    <w:rsid w:val="00764752"/>
    <w:rsid w:val="007647DD"/>
    <w:rsid w:val="00764811"/>
    <w:rsid w:val="00764AFE"/>
    <w:rsid w:val="00764B1E"/>
    <w:rsid w:val="00764F0E"/>
    <w:rsid w:val="00765220"/>
    <w:rsid w:val="007653C8"/>
    <w:rsid w:val="007654AB"/>
    <w:rsid w:val="007654BE"/>
    <w:rsid w:val="007655E9"/>
    <w:rsid w:val="007656EF"/>
    <w:rsid w:val="0076581C"/>
    <w:rsid w:val="007658F3"/>
    <w:rsid w:val="00765A27"/>
    <w:rsid w:val="00765A84"/>
    <w:rsid w:val="00765AE7"/>
    <w:rsid w:val="00765C65"/>
    <w:rsid w:val="00765F5E"/>
    <w:rsid w:val="00766137"/>
    <w:rsid w:val="0076624B"/>
    <w:rsid w:val="007663B5"/>
    <w:rsid w:val="00766587"/>
    <w:rsid w:val="0076696C"/>
    <w:rsid w:val="00766ABF"/>
    <w:rsid w:val="00766AE1"/>
    <w:rsid w:val="00766BF9"/>
    <w:rsid w:val="007671BE"/>
    <w:rsid w:val="00767591"/>
    <w:rsid w:val="00767682"/>
    <w:rsid w:val="007676F6"/>
    <w:rsid w:val="00767BF2"/>
    <w:rsid w:val="00767E19"/>
    <w:rsid w:val="0077064E"/>
    <w:rsid w:val="0077072A"/>
    <w:rsid w:val="0077086D"/>
    <w:rsid w:val="0077091B"/>
    <w:rsid w:val="00770A60"/>
    <w:rsid w:val="00770A6F"/>
    <w:rsid w:val="00770C65"/>
    <w:rsid w:val="00770ED2"/>
    <w:rsid w:val="00770FA4"/>
    <w:rsid w:val="00771132"/>
    <w:rsid w:val="0077117A"/>
    <w:rsid w:val="007711A0"/>
    <w:rsid w:val="00771283"/>
    <w:rsid w:val="007727D6"/>
    <w:rsid w:val="007729A9"/>
    <w:rsid w:val="00772A5E"/>
    <w:rsid w:val="00772A84"/>
    <w:rsid w:val="00772BCD"/>
    <w:rsid w:val="00772D15"/>
    <w:rsid w:val="00773009"/>
    <w:rsid w:val="00773117"/>
    <w:rsid w:val="00773181"/>
    <w:rsid w:val="007732A5"/>
    <w:rsid w:val="0077340F"/>
    <w:rsid w:val="00773674"/>
    <w:rsid w:val="00773756"/>
    <w:rsid w:val="00773C1C"/>
    <w:rsid w:val="00773C96"/>
    <w:rsid w:val="00773D4D"/>
    <w:rsid w:val="00773E80"/>
    <w:rsid w:val="00773E82"/>
    <w:rsid w:val="00774123"/>
    <w:rsid w:val="007741AF"/>
    <w:rsid w:val="007741D0"/>
    <w:rsid w:val="007741E8"/>
    <w:rsid w:val="007741F3"/>
    <w:rsid w:val="00774458"/>
    <w:rsid w:val="00774CF4"/>
    <w:rsid w:val="00774E98"/>
    <w:rsid w:val="00774EDF"/>
    <w:rsid w:val="00775270"/>
    <w:rsid w:val="0077533A"/>
    <w:rsid w:val="007754FC"/>
    <w:rsid w:val="00775590"/>
    <w:rsid w:val="00775707"/>
    <w:rsid w:val="00775BDF"/>
    <w:rsid w:val="00775C93"/>
    <w:rsid w:val="0077611C"/>
    <w:rsid w:val="007762EA"/>
    <w:rsid w:val="00776465"/>
    <w:rsid w:val="00776513"/>
    <w:rsid w:val="0077697B"/>
    <w:rsid w:val="00776B77"/>
    <w:rsid w:val="00776BF8"/>
    <w:rsid w:val="00776D60"/>
    <w:rsid w:val="00776DC2"/>
    <w:rsid w:val="00776DFF"/>
    <w:rsid w:val="00776E42"/>
    <w:rsid w:val="00776F12"/>
    <w:rsid w:val="00776F40"/>
    <w:rsid w:val="0077704E"/>
    <w:rsid w:val="0077713F"/>
    <w:rsid w:val="0077721C"/>
    <w:rsid w:val="00777440"/>
    <w:rsid w:val="0077779B"/>
    <w:rsid w:val="00777843"/>
    <w:rsid w:val="007778E2"/>
    <w:rsid w:val="00777BC2"/>
    <w:rsid w:val="00777CB2"/>
    <w:rsid w:val="00777E41"/>
    <w:rsid w:val="0077DA2F"/>
    <w:rsid w:val="00780076"/>
    <w:rsid w:val="007800AE"/>
    <w:rsid w:val="00780165"/>
    <w:rsid w:val="00780766"/>
    <w:rsid w:val="00780811"/>
    <w:rsid w:val="00780B2F"/>
    <w:rsid w:val="00780BB5"/>
    <w:rsid w:val="00780CC3"/>
    <w:rsid w:val="00780E1B"/>
    <w:rsid w:val="00780FEE"/>
    <w:rsid w:val="00781069"/>
    <w:rsid w:val="007810C0"/>
    <w:rsid w:val="00781443"/>
    <w:rsid w:val="007814C2"/>
    <w:rsid w:val="0078155C"/>
    <w:rsid w:val="0078155F"/>
    <w:rsid w:val="007817E6"/>
    <w:rsid w:val="00781892"/>
    <w:rsid w:val="0078209D"/>
    <w:rsid w:val="007824AF"/>
    <w:rsid w:val="00782548"/>
    <w:rsid w:val="007826E2"/>
    <w:rsid w:val="007827B6"/>
    <w:rsid w:val="00782AA4"/>
    <w:rsid w:val="00782B08"/>
    <w:rsid w:val="00783350"/>
    <w:rsid w:val="00783613"/>
    <w:rsid w:val="0078378A"/>
    <w:rsid w:val="0078378F"/>
    <w:rsid w:val="007837B3"/>
    <w:rsid w:val="00783869"/>
    <w:rsid w:val="0078395E"/>
    <w:rsid w:val="00783A06"/>
    <w:rsid w:val="00783AD2"/>
    <w:rsid w:val="00783BA3"/>
    <w:rsid w:val="00783E5D"/>
    <w:rsid w:val="00783F8D"/>
    <w:rsid w:val="00784199"/>
    <w:rsid w:val="007841BC"/>
    <w:rsid w:val="0078442E"/>
    <w:rsid w:val="00784590"/>
    <w:rsid w:val="0078462D"/>
    <w:rsid w:val="00784AAF"/>
    <w:rsid w:val="00784B13"/>
    <w:rsid w:val="00784BF4"/>
    <w:rsid w:val="00784D0A"/>
    <w:rsid w:val="00784F7B"/>
    <w:rsid w:val="007850F7"/>
    <w:rsid w:val="007852E6"/>
    <w:rsid w:val="0078533F"/>
    <w:rsid w:val="00785442"/>
    <w:rsid w:val="00785574"/>
    <w:rsid w:val="00785660"/>
    <w:rsid w:val="00785A07"/>
    <w:rsid w:val="00785BED"/>
    <w:rsid w:val="00785E3F"/>
    <w:rsid w:val="00785E55"/>
    <w:rsid w:val="00785F94"/>
    <w:rsid w:val="00786051"/>
    <w:rsid w:val="00786163"/>
    <w:rsid w:val="007861EC"/>
    <w:rsid w:val="0078671E"/>
    <w:rsid w:val="007871CE"/>
    <w:rsid w:val="007872E1"/>
    <w:rsid w:val="0078731C"/>
    <w:rsid w:val="007876CC"/>
    <w:rsid w:val="007877EB"/>
    <w:rsid w:val="00787A36"/>
    <w:rsid w:val="00787A84"/>
    <w:rsid w:val="00787B36"/>
    <w:rsid w:val="00787BAA"/>
    <w:rsid w:val="00787C16"/>
    <w:rsid w:val="00787CD9"/>
    <w:rsid w:val="00787E10"/>
    <w:rsid w:val="00787F7B"/>
    <w:rsid w:val="00787FAB"/>
    <w:rsid w:val="0079012D"/>
    <w:rsid w:val="0079068E"/>
    <w:rsid w:val="007908A6"/>
    <w:rsid w:val="00790935"/>
    <w:rsid w:val="00790AB6"/>
    <w:rsid w:val="00790C26"/>
    <w:rsid w:val="00790E89"/>
    <w:rsid w:val="0079117A"/>
    <w:rsid w:val="0079129F"/>
    <w:rsid w:val="007912D3"/>
    <w:rsid w:val="00791351"/>
    <w:rsid w:val="00791ADC"/>
    <w:rsid w:val="00792162"/>
    <w:rsid w:val="00792340"/>
    <w:rsid w:val="00792884"/>
    <w:rsid w:val="00792A01"/>
    <w:rsid w:val="00792B9E"/>
    <w:rsid w:val="00792F75"/>
    <w:rsid w:val="007931E8"/>
    <w:rsid w:val="00793209"/>
    <w:rsid w:val="007932EC"/>
    <w:rsid w:val="00793324"/>
    <w:rsid w:val="007934AC"/>
    <w:rsid w:val="007935D8"/>
    <w:rsid w:val="007935E7"/>
    <w:rsid w:val="007937A6"/>
    <w:rsid w:val="007937AF"/>
    <w:rsid w:val="00793D23"/>
    <w:rsid w:val="00793F2F"/>
    <w:rsid w:val="00793FE8"/>
    <w:rsid w:val="0079402F"/>
    <w:rsid w:val="00794160"/>
    <w:rsid w:val="00794168"/>
    <w:rsid w:val="007946E8"/>
    <w:rsid w:val="00794861"/>
    <w:rsid w:val="0079490C"/>
    <w:rsid w:val="00794C20"/>
    <w:rsid w:val="00795263"/>
    <w:rsid w:val="007952CA"/>
    <w:rsid w:val="007956F5"/>
    <w:rsid w:val="0079575B"/>
    <w:rsid w:val="007959C9"/>
    <w:rsid w:val="00795A65"/>
    <w:rsid w:val="00795D3E"/>
    <w:rsid w:val="00795F5C"/>
    <w:rsid w:val="00796061"/>
    <w:rsid w:val="007960AF"/>
    <w:rsid w:val="00796211"/>
    <w:rsid w:val="00796300"/>
    <w:rsid w:val="007964BD"/>
    <w:rsid w:val="0079650E"/>
    <w:rsid w:val="007967EE"/>
    <w:rsid w:val="00796DC0"/>
    <w:rsid w:val="00796E99"/>
    <w:rsid w:val="007972EE"/>
    <w:rsid w:val="007972EF"/>
    <w:rsid w:val="007975E0"/>
    <w:rsid w:val="0079770D"/>
    <w:rsid w:val="007979B4"/>
    <w:rsid w:val="00797BC7"/>
    <w:rsid w:val="00797DFB"/>
    <w:rsid w:val="007A000A"/>
    <w:rsid w:val="007A039A"/>
    <w:rsid w:val="007A045D"/>
    <w:rsid w:val="007A0650"/>
    <w:rsid w:val="007A085E"/>
    <w:rsid w:val="007A08F5"/>
    <w:rsid w:val="007A0AE0"/>
    <w:rsid w:val="007A0FF9"/>
    <w:rsid w:val="007A10F4"/>
    <w:rsid w:val="007A11B5"/>
    <w:rsid w:val="007A1462"/>
    <w:rsid w:val="007A15E8"/>
    <w:rsid w:val="007A183F"/>
    <w:rsid w:val="007A1A09"/>
    <w:rsid w:val="007A1D4B"/>
    <w:rsid w:val="007A1D5F"/>
    <w:rsid w:val="007A1E00"/>
    <w:rsid w:val="007A1F2D"/>
    <w:rsid w:val="007A2292"/>
    <w:rsid w:val="007A25A3"/>
    <w:rsid w:val="007A27C5"/>
    <w:rsid w:val="007A2850"/>
    <w:rsid w:val="007A289C"/>
    <w:rsid w:val="007A28C5"/>
    <w:rsid w:val="007A28EE"/>
    <w:rsid w:val="007A2943"/>
    <w:rsid w:val="007A29A1"/>
    <w:rsid w:val="007A2AD2"/>
    <w:rsid w:val="007A2B20"/>
    <w:rsid w:val="007A2E32"/>
    <w:rsid w:val="007A2E4A"/>
    <w:rsid w:val="007A2FF7"/>
    <w:rsid w:val="007A30B2"/>
    <w:rsid w:val="007A315B"/>
    <w:rsid w:val="007A319A"/>
    <w:rsid w:val="007A3477"/>
    <w:rsid w:val="007A396A"/>
    <w:rsid w:val="007A3B3E"/>
    <w:rsid w:val="007A422E"/>
    <w:rsid w:val="007A43FF"/>
    <w:rsid w:val="007A45EE"/>
    <w:rsid w:val="007A4624"/>
    <w:rsid w:val="007A4815"/>
    <w:rsid w:val="007A491C"/>
    <w:rsid w:val="007A4A1F"/>
    <w:rsid w:val="007A4B0E"/>
    <w:rsid w:val="007A4BEC"/>
    <w:rsid w:val="007A4E2B"/>
    <w:rsid w:val="007A4F77"/>
    <w:rsid w:val="007A501A"/>
    <w:rsid w:val="007A5211"/>
    <w:rsid w:val="007A52F9"/>
    <w:rsid w:val="007A538D"/>
    <w:rsid w:val="007A54E2"/>
    <w:rsid w:val="007A5666"/>
    <w:rsid w:val="007A567C"/>
    <w:rsid w:val="007A56C7"/>
    <w:rsid w:val="007A56FC"/>
    <w:rsid w:val="007A58B7"/>
    <w:rsid w:val="007A5A8C"/>
    <w:rsid w:val="007A5B42"/>
    <w:rsid w:val="007A5B56"/>
    <w:rsid w:val="007A5E49"/>
    <w:rsid w:val="007A5F87"/>
    <w:rsid w:val="007A6085"/>
    <w:rsid w:val="007A617A"/>
    <w:rsid w:val="007A6471"/>
    <w:rsid w:val="007A6886"/>
    <w:rsid w:val="007A68DA"/>
    <w:rsid w:val="007A6A18"/>
    <w:rsid w:val="007A6A8C"/>
    <w:rsid w:val="007A6BF5"/>
    <w:rsid w:val="007A6D67"/>
    <w:rsid w:val="007A6E6C"/>
    <w:rsid w:val="007A70BB"/>
    <w:rsid w:val="007A72BC"/>
    <w:rsid w:val="007A76B7"/>
    <w:rsid w:val="007A7979"/>
    <w:rsid w:val="007A79A5"/>
    <w:rsid w:val="007A7A57"/>
    <w:rsid w:val="007A7BE5"/>
    <w:rsid w:val="007A7C33"/>
    <w:rsid w:val="007A7D00"/>
    <w:rsid w:val="007B007E"/>
    <w:rsid w:val="007B0113"/>
    <w:rsid w:val="007B014B"/>
    <w:rsid w:val="007B02F8"/>
    <w:rsid w:val="007B037E"/>
    <w:rsid w:val="007B03EC"/>
    <w:rsid w:val="007B0694"/>
    <w:rsid w:val="007B069D"/>
    <w:rsid w:val="007B06D1"/>
    <w:rsid w:val="007B0985"/>
    <w:rsid w:val="007B0DE7"/>
    <w:rsid w:val="007B0F29"/>
    <w:rsid w:val="007B11E8"/>
    <w:rsid w:val="007B1209"/>
    <w:rsid w:val="007B151D"/>
    <w:rsid w:val="007B1617"/>
    <w:rsid w:val="007B182B"/>
    <w:rsid w:val="007B1913"/>
    <w:rsid w:val="007B1E90"/>
    <w:rsid w:val="007B1EE4"/>
    <w:rsid w:val="007B2464"/>
    <w:rsid w:val="007B2781"/>
    <w:rsid w:val="007B284C"/>
    <w:rsid w:val="007B28E5"/>
    <w:rsid w:val="007B2944"/>
    <w:rsid w:val="007B2A12"/>
    <w:rsid w:val="007B2A96"/>
    <w:rsid w:val="007B2C2D"/>
    <w:rsid w:val="007B2CEA"/>
    <w:rsid w:val="007B2FC7"/>
    <w:rsid w:val="007B3224"/>
    <w:rsid w:val="007B32D7"/>
    <w:rsid w:val="007B32E5"/>
    <w:rsid w:val="007B3419"/>
    <w:rsid w:val="007B3930"/>
    <w:rsid w:val="007B3931"/>
    <w:rsid w:val="007B3946"/>
    <w:rsid w:val="007B3988"/>
    <w:rsid w:val="007B3B7A"/>
    <w:rsid w:val="007B3EA2"/>
    <w:rsid w:val="007B3F62"/>
    <w:rsid w:val="007B4F7B"/>
    <w:rsid w:val="007B5031"/>
    <w:rsid w:val="007B52F4"/>
    <w:rsid w:val="007B5360"/>
    <w:rsid w:val="007B5769"/>
    <w:rsid w:val="007B5992"/>
    <w:rsid w:val="007B59A1"/>
    <w:rsid w:val="007B5B84"/>
    <w:rsid w:val="007B5C4B"/>
    <w:rsid w:val="007B6038"/>
    <w:rsid w:val="007B6127"/>
    <w:rsid w:val="007B61E5"/>
    <w:rsid w:val="007B6232"/>
    <w:rsid w:val="007B63C8"/>
    <w:rsid w:val="007B6505"/>
    <w:rsid w:val="007B6670"/>
    <w:rsid w:val="007B673C"/>
    <w:rsid w:val="007B7037"/>
    <w:rsid w:val="007B71C2"/>
    <w:rsid w:val="007B73FA"/>
    <w:rsid w:val="007B7503"/>
    <w:rsid w:val="007B7573"/>
    <w:rsid w:val="007B75E8"/>
    <w:rsid w:val="007B785A"/>
    <w:rsid w:val="007B79D8"/>
    <w:rsid w:val="007B7B8D"/>
    <w:rsid w:val="007B7BEB"/>
    <w:rsid w:val="007B7D97"/>
    <w:rsid w:val="007B7F10"/>
    <w:rsid w:val="007C0139"/>
    <w:rsid w:val="007C05A9"/>
    <w:rsid w:val="007C0E82"/>
    <w:rsid w:val="007C0FF3"/>
    <w:rsid w:val="007C10AB"/>
    <w:rsid w:val="007C1159"/>
    <w:rsid w:val="007C170A"/>
    <w:rsid w:val="007C19A4"/>
    <w:rsid w:val="007C1BEF"/>
    <w:rsid w:val="007C1C9C"/>
    <w:rsid w:val="007C1E44"/>
    <w:rsid w:val="007C1FD7"/>
    <w:rsid w:val="007C204D"/>
    <w:rsid w:val="007C315F"/>
    <w:rsid w:val="007C3495"/>
    <w:rsid w:val="007C34C0"/>
    <w:rsid w:val="007C3A77"/>
    <w:rsid w:val="007C3CBB"/>
    <w:rsid w:val="007C3DBE"/>
    <w:rsid w:val="007C3EC2"/>
    <w:rsid w:val="007C3F6B"/>
    <w:rsid w:val="007C404B"/>
    <w:rsid w:val="007C4154"/>
    <w:rsid w:val="007C42F0"/>
    <w:rsid w:val="007C45B2"/>
    <w:rsid w:val="007C4744"/>
    <w:rsid w:val="007C48BD"/>
    <w:rsid w:val="007C48EC"/>
    <w:rsid w:val="007C4C38"/>
    <w:rsid w:val="007C50CE"/>
    <w:rsid w:val="007C53CE"/>
    <w:rsid w:val="007C5424"/>
    <w:rsid w:val="007C542B"/>
    <w:rsid w:val="007C5440"/>
    <w:rsid w:val="007C54A9"/>
    <w:rsid w:val="007C55B7"/>
    <w:rsid w:val="007C563D"/>
    <w:rsid w:val="007C568B"/>
    <w:rsid w:val="007C579A"/>
    <w:rsid w:val="007C5824"/>
    <w:rsid w:val="007C5862"/>
    <w:rsid w:val="007C5A6C"/>
    <w:rsid w:val="007C5AF8"/>
    <w:rsid w:val="007C5C6A"/>
    <w:rsid w:val="007C5DFB"/>
    <w:rsid w:val="007C5EE7"/>
    <w:rsid w:val="007C629E"/>
    <w:rsid w:val="007C6313"/>
    <w:rsid w:val="007C64B4"/>
    <w:rsid w:val="007C66FB"/>
    <w:rsid w:val="007C6CE7"/>
    <w:rsid w:val="007C6DB1"/>
    <w:rsid w:val="007C6E8F"/>
    <w:rsid w:val="007C6F7A"/>
    <w:rsid w:val="007C6F89"/>
    <w:rsid w:val="007C7187"/>
    <w:rsid w:val="007C7292"/>
    <w:rsid w:val="007C731E"/>
    <w:rsid w:val="007C7404"/>
    <w:rsid w:val="007C7501"/>
    <w:rsid w:val="007C76BB"/>
    <w:rsid w:val="007C785E"/>
    <w:rsid w:val="007C78EB"/>
    <w:rsid w:val="007C7AC1"/>
    <w:rsid w:val="007C7B08"/>
    <w:rsid w:val="007C7B76"/>
    <w:rsid w:val="007D00AC"/>
    <w:rsid w:val="007D0195"/>
    <w:rsid w:val="007D01BF"/>
    <w:rsid w:val="007D03C4"/>
    <w:rsid w:val="007D07BB"/>
    <w:rsid w:val="007D07CF"/>
    <w:rsid w:val="007D0934"/>
    <w:rsid w:val="007D0AC5"/>
    <w:rsid w:val="007D18EE"/>
    <w:rsid w:val="007D190B"/>
    <w:rsid w:val="007D1EBA"/>
    <w:rsid w:val="007D1F8F"/>
    <w:rsid w:val="007D21E3"/>
    <w:rsid w:val="007D2273"/>
    <w:rsid w:val="007D22FB"/>
    <w:rsid w:val="007D230F"/>
    <w:rsid w:val="007D23CA"/>
    <w:rsid w:val="007D2690"/>
    <w:rsid w:val="007D2858"/>
    <w:rsid w:val="007D287C"/>
    <w:rsid w:val="007D2B33"/>
    <w:rsid w:val="007D2C35"/>
    <w:rsid w:val="007D2C49"/>
    <w:rsid w:val="007D2C76"/>
    <w:rsid w:val="007D2CA6"/>
    <w:rsid w:val="007D2F1C"/>
    <w:rsid w:val="007D2FFD"/>
    <w:rsid w:val="007D343B"/>
    <w:rsid w:val="007D34A9"/>
    <w:rsid w:val="007D3C07"/>
    <w:rsid w:val="007D3E18"/>
    <w:rsid w:val="007D3E6C"/>
    <w:rsid w:val="007D4023"/>
    <w:rsid w:val="007D418E"/>
    <w:rsid w:val="007D419A"/>
    <w:rsid w:val="007D44C2"/>
    <w:rsid w:val="007D48E0"/>
    <w:rsid w:val="007D49DD"/>
    <w:rsid w:val="007D4D26"/>
    <w:rsid w:val="007D4EAB"/>
    <w:rsid w:val="007D50DA"/>
    <w:rsid w:val="007D51E7"/>
    <w:rsid w:val="007D53AF"/>
    <w:rsid w:val="007D5500"/>
    <w:rsid w:val="007D5723"/>
    <w:rsid w:val="007D5AB2"/>
    <w:rsid w:val="007D5B0A"/>
    <w:rsid w:val="007D612B"/>
    <w:rsid w:val="007D62CF"/>
    <w:rsid w:val="007D62D9"/>
    <w:rsid w:val="007D63EE"/>
    <w:rsid w:val="007D652D"/>
    <w:rsid w:val="007D67BD"/>
    <w:rsid w:val="007D69C4"/>
    <w:rsid w:val="007D6FB3"/>
    <w:rsid w:val="007D7143"/>
    <w:rsid w:val="007D7216"/>
    <w:rsid w:val="007D749D"/>
    <w:rsid w:val="007D7638"/>
    <w:rsid w:val="007D769C"/>
    <w:rsid w:val="007D79C5"/>
    <w:rsid w:val="007D7B21"/>
    <w:rsid w:val="007D7BA4"/>
    <w:rsid w:val="007E01EB"/>
    <w:rsid w:val="007E056E"/>
    <w:rsid w:val="007E06A7"/>
    <w:rsid w:val="007E06AE"/>
    <w:rsid w:val="007E0742"/>
    <w:rsid w:val="007E07B4"/>
    <w:rsid w:val="007E0BA7"/>
    <w:rsid w:val="007E0CC5"/>
    <w:rsid w:val="007E1053"/>
    <w:rsid w:val="007E1119"/>
    <w:rsid w:val="007E14E6"/>
    <w:rsid w:val="007E17E1"/>
    <w:rsid w:val="007E19CC"/>
    <w:rsid w:val="007E1D04"/>
    <w:rsid w:val="007E1DDE"/>
    <w:rsid w:val="007E245F"/>
    <w:rsid w:val="007E248C"/>
    <w:rsid w:val="007E2519"/>
    <w:rsid w:val="007E259B"/>
    <w:rsid w:val="007E313D"/>
    <w:rsid w:val="007E320C"/>
    <w:rsid w:val="007E336F"/>
    <w:rsid w:val="007E3631"/>
    <w:rsid w:val="007E36B4"/>
    <w:rsid w:val="007E3B42"/>
    <w:rsid w:val="007E3D53"/>
    <w:rsid w:val="007E3DFC"/>
    <w:rsid w:val="007E3F14"/>
    <w:rsid w:val="007E41E5"/>
    <w:rsid w:val="007E4458"/>
    <w:rsid w:val="007E4547"/>
    <w:rsid w:val="007E4C5F"/>
    <w:rsid w:val="007E4CC3"/>
    <w:rsid w:val="007E5002"/>
    <w:rsid w:val="007E5156"/>
    <w:rsid w:val="007E5601"/>
    <w:rsid w:val="007E5901"/>
    <w:rsid w:val="007E59B7"/>
    <w:rsid w:val="007E5CEF"/>
    <w:rsid w:val="007E601F"/>
    <w:rsid w:val="007E6142"/>
    <w:rsid w:val="007E6302"/>
    <w:rsid w:val="007E6389"/>
    <w:rsid w:val="007E6885"/>
    <w:rsid w:val="007E6A0E"/>
    <w:rsid w:val="007E6C5B"/>
    <w:rsid w:val="007E6D10"/>
    <w:rsid w:val="007E6E0A"/>
    <w:rsid w:val="007E7356"/>
    <w:rsid w:val="007E7492"/>
    <w:rsid w:val="007E751D"/>
    <w:rsid w:val="007E765D"/>
    <w:rsid w:val="007E790A"/>
    <w:rsid w:val="007E7912"/>
    <w:rsid w:val="007E7C3A"/>
    <w:rsid w:val="007E7CE7"/>
    <w:rsid w:val="007E7D30"/>
    <w:rsid w:val="007F00BA"/>
    <w:rsid w:val="007F01BE"/>
    <w:rsid w:val="007F01E5"/>
    <w:rsid w:val="007F0270"/>
    <w:rsid w:val="007F0533"/>
    <w:rsid w:val="007F09F5"/>
    <w:rsid w:val="007F0AE1"/>
    <w:rsid w:val="007F0B19"/>
    <w:rsid w:val="007F0C58"/>
    <w:rsid w:val="007F0F48"/>
    <w:rsid w:val="007F0FEA"/>
    <w:rsid w:val="007F10A7"/>
    <w:rsid w:val="007F1249"/>
    <w:rsid w:val="007F1266"/>
    <w:rsid w:val="007F1295"/>
    <w:rsid w:val="007F1954"/>
    <w:rsid w:val="007F1984"/>
    <w:rsid w:val="007F1A01"/>
    <w:rsid w:val="007F1B74"/>
    <w:rsid w:val="007F1CD1"/>
    <w:rsid w:val="007F1D94"/>
    <w:rsid w:val="007F1F52"/>
    <w:rsid w:val="007F23A2"/>
    <w:rsid w:val="007F23DA"/>
    <w:rsid w:val="007F2677"/>
    <w:rsid w:val="007F279F"/>
    <w:rsid w:val="007F27E8"/>
    <w:rsid w:val="007F2C1C"/>
    <w:rsid w:val="007F3083"/>
    <w:rsid w:val="007F3230"/>
    <w:rsid w:val="007F3291"/>
    <w:rsid w:val="007F3374"/>
    <w:rsid w:val="007F33A9"/>
    <w:rsid w:val="007F3440"/>
    <w:rsid w:val="007F34E9"/>
    <w:rsid w:val="007F3669"/>
    <w:rsid w:val="007F3766"/>
    <w:rsid w:val="007F386A"/>
    <w:rsid w:val="007F3A19"/>
    <w:rsid w:val="007F3C5E"/>
    <w:rsid w:val="007F440F"/>
    <w:rsid w:val="007F481A"/>
    <w:rsid w:val="007F4E50"/>
    <w:rsid w:val="007F565A"/>
    <w:rsid w:val="007F5BC8"/>
    <w:rsid w:val="007F5D1B"/>
    <w:rsid w:val="007F5D45"/>
    <w:rsid w:val="007F5DAA"/>
    <w:rsid w:val="007F6156"/>
    <w:rsid w:val="007F6435"/>
    <w:rsid w:val="007F67A4"/>
    <w:rsid w:val="007F67B3"/>
    <w:rsid w:val="007F69B4"/>
    <w:rsid w:val="007F6B6A"/>
    <w:rsid w:val="007F6BBD"/>
    <w:rsid w:val="007F6E8A"/>
    <w:rsid w:val="007F6F31"/>
    <w:rsid w:val="007F6F83"/>
    <w:rsid w:val="007F6FD0"/>
    <w:rsid w:val="007F70D1"/>
    <w:rsid w:val="007F7273"/>
    <w:rsid w:val="007F72B8"/>
    <w:rsid w:val="007F7A4E"/>
    <w:rsid w:val="007F7A81"/>
    <w:rsid w:val="007F7B7D"/>
    <w:rsid w:val="007F7F82"/>
    <w:rsid w:val="007F7FD3"/>
    <w:rsid w:val="0080042F"/>
    <w:rsid w:val="008005F5"/>
    <w:rsid w:val="008006DB"/>
    <w:rsid w:val="008006EA"/>
    <w:rsid w:val="00800844"/>
    <w:rsid w:val="0080085E"/>
    <w:rsid w:val="00800C91"/>
    <w:rsid w:val="00800F17"/>
    <w:rsid w:val="00800F6C"/>
    <w:rsid w:val="00801032"/>
    <w:rsid w:val="0080140E"/>
    <w:rsid w:val="008019F2"/>
    <w:rsid w:val="00801BC1"/>
    <w:rsid w:val="00801CE5"/>
    <w:rsid w:val="00802600"/>
    <w:rsid w:val="008027BE"/>
    <w:rsid w:val="00802A83"/>
    <w:rsid w:val="00802D6E"/>
    <w:rsid w:val="00802FE9"/>
    <w:rsid w:val="008030A6"/>
    <w:rsid w:val="008031CC"/>
    <w:rsid w:val="00803308"/>
    <w:rsid w:val="00803428"/>
    <w:rsid w:val="008035AB"/>
    <w:rsid w:val="008036E4"/>
    <w:rsid w:val="00803D9D"/>
    <w:rsid w:val="00803ED1"/>
    <w:rsid w:val="00804015"/>
    <w:rsid w:val="008043B6"/>
    <w:rsid w:val="008043D7"/>
    <w:rsid w:val="0080479B"/>
    <w:rsid w:val="00804A84"/>
    <w:rsid w:val="00804BF3"/>
    <w:rsid w:val="00804E7D"/>
    <w:rsid w:val="00804E88"/>
    <w:rsid w:val="0080581C"/>
    <w:rsid w:val="00805957"/>
    <w:rsid w:val="00805BCD"/>
    <w:rsid w:val="00805E18"/>
    <w:rsid w:val="00805F8A"/>
    <w:rsid w:val="00805FC2"/>
    <w:rsid w:val="00806051"/>
    <w:rsid w:val="008060FE"/>
    <w:rsid w:val="008064EB"/>
    <w:rsid w:val="008064FA"/>
    <w:rsid w:val="00806794"/>
    <w:rsid w:val="00806845"/>
    <w:rsid w:val="00806897"/>
    <w:rsid w:val="00806962"/>
    <w:rsid w:val="008069EE"/>
    <w:rsid w:val="008069F4"/>
    <w:rsid w:val="00806BC4"/>
    <w:rsid w:val="00807207"/>
    <w:rsid w:val="00807235"/>
    <w:rsid w:val="008074C7"/>
    <w:rsid w:val="00807A96"/>
    <w:rsid w:val="00807B8D"/>
    <w:rsid w:val="00807DB0"/>
    <w:rsid w:val="00807EBB"/>
    <w:rsid w:val="00807ED2"/>
    <w:rsid w:val="00807FDD"/>
    <w:rsid w:val="00807FE6"/>
    <w:rsid w:val="00810108"/>
    <w:rsid w:val="00810402"/>
    <w:rsid w:val="0081048B"/>
    <w:rsid w:val="00810639"/>
    <w:rsid w:val="00810F2B"/>
    <w:rsid w:val="00810F62"/>
    <w:rsid w:val="0081161E"/>
    <w:rsid w:val="0081169B"/>
    <w:rsid w:val="008117D8"/>
    <w:rsid w:val="00811823"/>
    <w:rsid w:val="00811858"/>
    <w:rsid w:val="008119A2"/>
    <w:rsid w:val="00812329"/>
    <w:rsid w:val="008123C9"/>
    <w:rsid w:val="00812505"/>
    <w:rsid w:val="008128C7"/>
    <w:rsid w:val="00812AB9"/>
    <w:rsid w:val="00812CCE"/>
    <w:rsid w:val="00812E24"/>
    <w:rsid w:val="008132C4"/>
    <w:rsid w:val="00813487"/>
    <w:rsid w:val="00813723"/>
    <w:rsid w:val="00813787"/>
    <w:rsid w:val="00813800"/>
    <w:rsid w:val="00813C13"/>
    <w:rsid w:val="00813D69"/>
    <w:rsid w:val="00813E4D"/>
    <w:rsid w:val="00813E63"/>
    <w:rsid w:val="0081408D"/>
    <w:rsid w:val="008144D1"/>
    <w:rsid w:val="00814674"/>
    <w:rsid w:val="008147F5"/>
    <w:rsid w:val="00814A5E"/>
    <w:rsid w:val="00814ECE"/>
    <w:rsid w:val="00814F95"/>
    <w:rsid w:val="00814FCB"/>
    <w:rsid w:val="00814FEA"/>
    <w:rsid w:val="00815230"/>
    <w:rsid w:val="00815578"/>
    <w:rsid w:val="00815856"/>
    <w:rsid w:val="00815CB9"/>
    <w:rsid w:val="0081624A"/>
    <w:rsid w:val="00816282"/>
    <w:rsid w:val="00816515"/>
    <w:rsid w:val="0081653B"/>
    <w:rsid w:val="0081667D"/>
    <w:rsid w:val="0081683A"/>
    <w:rsid w:val="008168AE"/>
    <w:rsid w:val="0081691F"/>
    <w:rsid w:val="00816980"/>
    <w:rsid w:val="00816A04"/>
    <w:rsid w:val="00816A5E"/>
    <w:rsid w:val="00816BE1"/>
    <w:rsid w:val="00816CEB"/>
    <w:rsid w:val="00816FE4"/>
    <w:rsid w:val="00817076"/>
    <w:rsid w:val="00817166"/>
    <w:rsid w:val="0081723C"/>
    <w:rsid w:val="0081776A"/>
    <w:rsid w:val="0081799D"/>
    <w:rsid w:val="00817C1D"/>
    <w:rsid w:val="00820001"/>
    <w:rsid w:val="0082046F"/>
    <w:rsid w:val="008204A6"/>
    <w:rsid w:val="00820A27"/>
    <w:rsid w:val="00820D86"/>
    <w:rsid w:val="008210A0"/>
    <w:rsid w:val="00821114"/>
    <w:rsid w:val="008211D5"/>
    <w:rsid w:val="00821291"/>
    <w:rsid w:val="008212F1"/>
    <w:rsid w:val="0082131E"/>
    <w:rsid w:val="00821895"/>
    <w:rsid w:val="00821BF2"/>
    <w:rsid w:val="00821ED7"/>
    <w:rsid w:val="0082236F"/>
    <w:rsid w:val="0082238C"/>
    <w:rsid w:val="0082244E"/>
    <w:rsid w:val="008224D7"/>
    <w:rsid w:val="008228A8"/>
    <w:rsid w:val="00822974"/>
    <w:rsid w:val="008229E5"/>
    <w:rsid w:val="00822C93"/>
    <w:rsid w:val="00822EE2"/>
    <w:rsid w:val="00823286"/>
    <w:rsid w:val="00823723"/>
    <w:rsid w:val="0082376B"/>
    <w:rsid w:val="00824009"/>
    <w:rsid w:val="00824114"/>
    <w:rsid w:val="008241FE"/>
    <w:rsid w:val="008242B8"/>
    <w:rsid w:val="008243AE"/>
    <w:rsid w:val="0082451F"/>
    <w:rsid w:val="008245C3"/>
    <w:rsid w:val="008247E4"/>
    <w:rsid w:val="00824808"/>
    <w:rsid w:val="00824927"/>
    <w:rsid w:val="008249F8"/>
    <w:rsid w:val="00824DA1"/>
    <w:rsid w:val="00824DD0"/>
    <w:rsid w:val="00824F4A"/>
    <w:rsid w:val="00825285"/>
    <w:rsid w:val="00825587"/>
    <w:rsid w:val="00825830"/>
    <w:rsid w:val="00825C0A"/>
    <w:rsid w:val="00825C2B"/>
    <w:rsid w:val="00825E6C"/>
    <w:rsid w:val="00826044"/>
    <w:rsid w:val="00826503"/>
    <w:rsid w:val="008267A0"/>
    <w:rsid w:val="008268C7"/>
    <w:rsid w:val="00826981"/>
    <w:rsid w:val="00826A2F"/>
    <w:rsid w:val="00826A4F"/>
    <w:rsid w:val="00826CB9"/>
    <w:rsid w:val="00826F25"/>
    <w:rsid w:val="00827202"/>
    <w:rsid w:val="008272E7"/>
    <w:rsid w:val="0082737A"/>
    <w:rsid w:val="00827663"/>
    <w:rsid w:val="00827672"/>
    <w:rsid w:val="0082783F"/>
    <w:rsid w:val="00827885"/>
    <w:rsid w:val="0082789D"/>
    <w:rsid w:val="00827A07"/>
    <w:rsid w:val="00827AFA"/>
    <w:rsid w:val="00827B03"/>
    <w:rsid w:val="00827BCF"/>
    <w:rsid w:val="00827BF5"/>
    <w:rsid w:val="00827BFD"/>
    <w:rsid w:val="00827E31"/>
    <w:rsid w:val="00827F1E"/>
    <w:rsid w:val="00827F7F"/>
    <w:rsid w:val="00830202"/>
    <w:rsid w:val="00830292"/>
    <w:rsid w:val="00830403"/>
    <w:rsid w:val="0083043D"/>
    <w:rsid w:val="008304FA"/>
    <w:rsid w:val="008305F7"/>
    <w:rsid w:val="008308B9"/>
    <w:rsid w:val="00830B6B"/>
    <w:rsid w:val="00830CD1"/>
    <w:rsid w:val="00830D0C"/>
    <w:rsid w:val="00830FAB"/>
    <w:rsid w:val="0083130F"/>
    <w:rsid w:val="00831348"/>
    <w:rsid w:val="008313F1"/>
    <w:rsid w:val="00831529"/>
    <w:rsid w:val="00831634"/>
    <w:rsid w:val="008316CD"/>
    <w:rsid w:val="00831739"/>
    <w:rsid w:val="00831791"/>
    <w:rsid w:val="00831818"/>
    <w:rsid w:val="00831A6B"/>
    <w:rsid w:val="00831A98"/>
    <w:rsid w:val="00831B91"/>
    <w:rsid w:val="00831D73"/>
    <w:rsid w:val="00831E5F"/>
    <w:rsid w:val="00831E6E"/>
    <w:rsid w:val="00832066"/>
    <w:rsid w:val="00832220"/>
    <w:rsid w:val="008322DC"/>
    <w:rsid w:val="008324E3"/>
    <w:rsid w:val="0083269D"/>
    <w:rsid w:val="00832788"/>
    <w:rsid w:val="00832A66"/>
    <w:rsid w:val="00832ABC"/>
    <w:rsid w:val="00832EA6"/>
    <w:rsid w:val="008334BF"/>
    <w:rsid w:val="0083387E"/>
    <w:rsid w:val="00833AA0"/>
    <w:rsid w:val="00833AFE"/>
    <w:rsid w:val="00833C6D"/>
    <w:rsid w:val="00833D17"/>
    <w:rsid w:val="00834304"/>
    <w:rsid w:val="00834357"/>
    <w:rsid w:val="0083443D"/>
    <w:rsid w:val="00834472"/>
    <w:rsid w:val="00834528"/>
    <w:rsid w:val="00834570"/>
    <w:rsid w:val="008347FB"/>
    <w:rsid w:val="008348F1"/>
    <w:rsid w:val="00834FAF"/>
    <w:rsid w:val="00835151"/>
    <w:rsid w:val="008351DF"/>
    <w:rsid w:val="0083555A"/>
    <w:rsid w:val="0083583A"/>
    <w:rsid w:val="008358A6"/>
    <w:rsid w:val="00835A73"/>
    <w:rsid w:val="00835AFF"/>
    <w:rsid w:val="00835C26"/>
    <w:rsid w:val="0083621F"/>
    <w:rsid w:val="008365D0"/>
    <w:rsid w:val="00836781"/>
    <w:rsid w:val="00836971"/>
    <w:rsid w:val="00836977"/>
    <w:rsid w:val="00836E98"/>
    <w:rsid w:val="00836FAC"/>
    <w:rsid w:val="0083758C"/>
    <w:rsid w:val="008378F6"/>
    <w:rsid w:val="00837944"/>
    <w:rsid w:val="00837E48"/>
    <w:rsid w:val="00840244"/>
    <w:rsid w:val="00840814"/>
    <w:rsid w:val="008408A5"/>
    <w:rsid w:val="008408BD"/>
    <w:rsid w:val="00840978"/>
    <w:rsid w:val="00840A18"/>
    <w:rsid w:val="00840A1D"/>
    <w:rsid w:val="00840A5B"/>
    <w:rsid w:val="00840D72"/>
    <w:rsid w:val="00840F1F"/>
    <w:rsid w:val="00840FF6"/>
    <w:rsid w:val="00841069"/>
    <w:rsid w:val="00841075"/>
    <w:rsid w:val="008410A9"/>
    <w:rsid w:val="008410F6"/>
    <w:rsid w:val="00841252"/>
    <w:rsid w:val="008414CB"/>
    <w:rsid w:val="00841CC0"/>
    <w:rsid w:val="00841D65"/>
    <w:rsid w:val="00842032"/>
    <w:rsid w:val="0084223D"/>
    <w:rsid w:val="00842363"/>
    <w:rsid w:val="0084278F"/>
    <w:rsid w:val="008429D7"/>
    <w:rsid w:val="00842A1A"/>
    <w:rsid w:val="00842E7C"/>
    <w:rsid w:val="0084315E"/>
    <w:rsid w:val="0084317B"/>
    <w:rsid w:val="00843268"/>
    <w:rsid w:val="0084376B"/>
    <w:rsid w:val="00843A69"/>
    <w:rsid w:val="00843E31"/>
    <w:rsid w:val="008440C4"/>
    <w:rsid w:val="0084423B"/>
    <w:rsid w:val="008442F7"/>
    <w:rsid w:val="0084460E"/>
    <w:rsid w:val="00844AF3"/>
    <w:rsid w:val="00844BF5"/>
    <w:rsid w:val="00844E1B"/>
    <w:rsid w:val="00844F59"/>
    <w:rsid w:val="00845012"/>
    <w:rsid w:val="00845046"/>
    <w:rsid w:val="00845201"/>
    <w:rsid w:val="0084535E"/>
    <w:rsid w:val="008456DF"/>
    <w:rsid w:val="00845852"/>
    <w:rsid w:val="0084590F"/>
    <w:rsid w:val="00845A6D"/>
    <w:rsid w:val="00845FED"/>
    <w:rsid w:val="0084611B"/>
    <w:rsid w:val="008461B5"/>
    <w:rsid w:val="00846347"/>
    <w:rsid w:val="008467E2"/>
    <w:rsid w:val="00846A63"/>
    <w:rsid w:val="00846ABE"/>
    <w:rsid w:val="00846BDB"/>
    <w:rsid w:val="00846C8F"/>
    <w:rsid w:val="0084701E"/>
    <w:rsid w:val="00847362"/>
    <w:rsid w:val="00847422"/>
    <w:rsid w:val="008475F5"/>
    <w:rsid w:val="0084763B"/>
    <w:rsid w:val="008476E0"/>
    <w:rsid w:val="008477E2"/>
    <w:rsid w:val="008478AA"/>
    <w:rsid w:val="00847997"/>
    <w:rsid w:val="00847998"/>
    <w:rsid w:val="00847AEC"/>
    <w:rsid w:val="00847CFC"/>
    <w:rsid w:val="00847D8D"/>
    <w:rsid w:val="00847DD2"/>
    <w:rsid w:val="008500D3"/>
    <w:rsid w:val="0085017F"/>
    <w:rsid w:val="0085018C"/>
    <w:rsid w:val="0085019D"/>
    <w:rsid w:val="00850324"/>
    <w:rsid w:val="008506A3"/>
    <w:rsid w:val="00850C61"/>
    <w:rsid w:val="00850C9F"/>
    <w:rsid w:val="00850E36"/>
    <w:rsid w:val="00850F35"/>
    <w:rsid w:val="00850F68"/>
    <w:rsid w:val="008510F9"/>
    <w:rsid w:val="00851185"/>
    <w:rsid w:val="008511A5"/>
    <w:rsid w:val="008512B8"/>
    <w:rsid w:val="0085132E"/>
    <w:rsid w:val="00851373"/>
    <w:rsid w:val="008513E8"/>
    <w:rsid w:val="008513F0"/>
    <w:rsid w:val="0085163C"/>
    <w:rsid w:val="008516BD"/>
    <w:rsid w:val="00851707"/>
    <w:rsid w:val="0085173B"/>
    <w:rsid w:val="00851899"/>
    <w:rsid w:val="008519E4"/>
    <w:rsid w:val="00851B89"/>
    <w:rsid w:val="00851C17"/>
    <w:rsid w:val="00851CDE"/>
    <w:rsid w:val="00851E25"/>
    <w:rsid w:val="0085220B"/>
    <w:rsid w:val="0085254F"/>
    <w:rsid w:val="008526B0"/>
    <w:rsid w:val="00852A55"/>
    <w:rsid w:val="00852AA5"/>
    <w:rsid w:val="00852B8F"/>
    <w:rsid w:val="00852C41"/>
    <w:rsid w:val="00852CF0"/>
    <w:rsid w:val="00852DC9"/>
    <w:rsid w:val="00852DDE"/>
    <w:rsid w:val="00852E24"/>
    <w:rsid w:val="00852EBE"/>
    <w:rsid w:val="00853348"/>
    <w:rsid w:val="00853709"/>
    <w:rsid w:val="00853892"/>
    <w:rsid w:val="00853AFB"/>
    <w:rsid w:val="00853C99"/>
    <w:rsid w:val="00854255"/>
    <w:rsid w:val="008547F5"/>
    <w:rsid w:val="00854DB6"/>
    <w:rsid w:val="00854ECD"/>
    <w:rsid w:val="008551AC"/>
    <w:rsid w:val="008552BC"/>
    <w:rsid w:val="00855307"/>
    <w:rsid w:val="00855340"/>
    <w:rsid w:val="0085546D"/>
    <w:rsid w:val="008558E1"/>
    <w:rsid w:val="008559A5"/>
    <w:rsid w:val="008559F9"/>
    <w:rsid w:val="00855B06"/>
    <w:rsid w:val="00855BD6"/>
    <w:rsid w:val="00855C79"/>
    <w:rsid w:val="00855CAE"/>
    <w:rsid w:val="00855D95"/>
    <w:rsid w:val="008563C4"/>
    <w:rsid w:val="008565D6"/>
    <w:rsid w:val="008566D5"/>
    <w:rsid w:val="00856930"/>
    <w:rsid w:val="0085695D"/>
    <w:rsid w:val="00856D5A"/>
    <w:rsid w:val="00856F3E"/>
    <w:rsid w:val="0085726C"/>
    <w:rsid w:val="00857331"/>
    <w:rsid w:val="008579DB"/>
    <w:rsid w:val="00857B9E"/>
    <w:rsid w:val="0086001A"/>
    <w:rsid w:val="0086040A"/>
    <w:rsid w:val="00860489"/>
    <w:rsid w:val="008605E6"/>
    <w:rsid w:val="008605F2"/>
    <w:rsid w:val="0086066F"/>
    <w:rsid w:val="008608CD"/>
    <w:rsid w:val="00860B47"/>
    <w:rsid w:val="00860BD3"/>
    <w:rsid w:val="00860EA0"/>
    <w:rsid w:val="00860EE6"/>
    <w:rsid w:val="008610E5"/>
    <w:rsid w:val="0086144B"/>
    <w:rsid w:val="00861555"/>
    <w:rsid w:val="008616E3"/>
    <w:rsid w:val="00861993"/>
    <w:rsid w:val="00861FAC"/>
    <w:rsid w:val="00862051"/>
    <w:rsid w:val="008621B8"/>
    <w:rsid w:val="00862259"/>
    <w:rsid w:val="008624C3"/>
    <w:rsid w:val="00862525"/>
    <w:rsid w:val="0086262E"/>
    <w:rsid w:val="0086278A"/>
    <w:rsid w:val="0086292C"/>
    <w:rsid w:val="00862C21"/>
    <w:rsid w:val="00862F71"/>
    <w:rsid w:val="008630D2"/>
    <w:rsid w:val="008632C3"/>
    <w:rsid w:val="00863398"/>
    <w:rsid w:val="0086339E"/>
    <w:rsid w:val="00863675"/>
    <w:rsid w:val="0086368C"/>
    <w:rsid w:val="0086369F"/>
    <w:rsid w:val="0086396E"/>
    <w:rsid w:val="008639EC"/>
    <w:rsid w:val="00863B03"/>
    <w:rsid w:val="00863CE7"/>
    <w:rsid w:val="00863F6B"/>
    <w:rsid w:val="00863F71"/>
    <w:rsid w:val="00863F7F"/>
    <w:rsid w:val="00864061"/>
    <w:rsid w:val="00864317"/>
    <w:rsid w:val="00864401"/>
    <w:rsid w:val="008644A9"/>
    <w:rsid w:val="008644E3"/>
    <w:rsid w:val="00864606"/>
    <w:rsid w:val="008646E5"/>
    <w:rsid w:val="008648FC"/>
    <w:rsid w:val="00864BEE"/>
    <w:rsid w:val="00864C34"/>
    <w:rsid w:val="00864E30"/>
    <w:rsid w:val="00864F31"/>
    <w:rsid w:val="008651C9"/>
    <w:rsid w:val="0086522E"/>
    <w:rsid w:val="008656A4"/>
    <w:rsid w:val="00865955"/>
    <w:rsid w:val="008659D1"/>
    <w:rsid w:val="00865A3F"/>
    <w:rsid w:val="00865FB6"/>
    <w:rsid w:val="00865FD7"/>
    <w:rsid w:val="00866031"/>
    <w:rsid w:val="008660E7"/>
    <w:rsid w:val="008661D3"/>
    <w:rsid w:val="008669E1"/>
    <w:rsid w:val="00866B25"/>
    <w:rsid w:val="0086727C"/>
    <w:rsid w:val="0086736D"/>
    <w:rsid w:val="0086748F"/>
    <w:rsid w:val="008677C1"/>
    <w:rsid w:val="0086781D"/>
    <w:rsid w:val="00867A50"/>
    <w:rsid w:val="00867C30"/>
    <w:rsid w:val="00867DE3"/>
    <w:rsid w:val="00867E44"/>
    <w:rsid w:val="00867EA3"/>
    <w:rsid w:val="00867FB8"/>
    <w:rsid w:val="008700BE"/>
    <w:rsid w:val="00870498"/>
    <w:rsid w:val="008704A8"/>
    <w:rsid w:val="00870574"/>
    <w:rsid w:val="00870587"/>
    <w:rsid w:val="00870783"/>
    <w:rsid w:val="008707C7"/>
    <w:rsid w:val="0087084B"/>
    <w:rsid w:val="00870980"/>
    <w:rsid w:val="00870AF0"/>
    <w:rsid w:val="00870C85"/>
    <w:rsid w:val="00870CEF"/>
    <w:rsid w:val="00870D70"/>
    <w:rsid w:val="00870DD5"/>
    <w:rsid w:val="00871096"/>
    <w:rsid w:val="00871344"/>
    <w:rsid w:val="0087145E"/>
    <w:rsid w:val="00871EB5"/>
    <w:rsid w:val="00872178"/>
    <w:rsid w:val="00872676"/>
    <w:rsid w:val="00872CA4"/>
    <w:rsid w:val="00872CF4"/>
    <w:rsid w:val="008730AF"/>
    <w:rsid w:val="008730B9"/>
    <w:rsid w:val="008731BF"/>
    <w:rsid w:val="008732C7"/>
    <w:rsid w:val="008734AA"/>
    <w:rsid w:val="008734C1"/>
    <w:rsid w:val="008734D8"/>
    <w:rsid w:val="0087357A"/>
    <w:rsid w:val="00873799"/>
    <w:rsid w:val="008737F5"/>
    <w:rsid w:val="00873ADA"/>
    <w:rsid w:val="00873B40"/>
    <w:rsid w:val="00873B89"/>
    <w:rsid w:val="00873DB8"/>
    <w:rsid w:val="00873FBB"/>
    <w:rsid w:val="008741D3"/>
    <w:rsid w:val="0087422B"/>
    <w:rsid w:val="00874541"/>
    <w:rsid w:val="008745D3"/>
    <w:rsid w:val="00874B4C"/>
    <w:rsid w:val="00874F61"/>
    <w:rsid w:val="0087500F"/>
    <w:rsid w:val="00875250"/>
    <w:rsid w:val="00875591"/>
    <w:rsid w:val="008756E6"/>
    <w:rsid w:val="00875795"/>
    <w:rsid w:val="00875AF2"/>
    <w:rsid w:val="00875E02"/>
    <w:rsid w:val="00875F4D"/>
    <w:rsid w:val="00875F63"/>
    <w:rsid w:val="00875FCA"/>
    <w:rsid w:val="00876078"/>
    <w:rsid w:val="008761BF"/>
    <w:rsid w:val="008761FC"/>
    <w:rsid w:val="00876248"/>
    <w:rsid w:val="00876434"/>
    <w:rsid w:val="008764B0"/>
    <w:rsid w:val="008764B2"/>
    <w:rsid w:val="00876538"/>
    <w:rsid w:val="0087661C"/>
    <w:rsid w:val="00876B40"/>
    <w:rsid w:val="00876CB3"/>
    <w:rsid w:val="00876D47"/>
    <w:rsid w:val="00876EDC"/>
    <w:rsid w:val="008775BD"/>
    <w:rsid w:val="008779AF"/>
    <w:rsid w:val="00877AB7"/>
    <w:rsid w:val="00877C30"/>
    <w:rsid w:val="00877E48"/>
    <w:rsid w:val="008803D2"/>
    <w:rsid w:val="0088040C"/>
    <w:rsid w:val="008805A0"/>
    <w:rsid w:val="00880B3E"/>
    <w:rsid w:val="00880D0F"/>
    <w:rsid w:val="00880D78"/>
    <w:rsid w:val="008813D1"/>
    <w:rsid w:val="00881608"/>
    <w:rsid w:val="00881609"/>
    <w:rsid w:val="008817D5"/>
    <w:rsid w:val="00881A46"/>
    <w:rsid w:val="00881D87"/>
    <w:rsid w:val="0088219B"/>
    <w:rsid w:val="0088234E"/>
    <w:rsid w:val="0088259D"/>
    <w:rsid w:val="00882E54"/>
    <w:rsid w:val="00882E94"/>
    <w:rsid w:val="00882EA6"/>
    <w:rsid w:val="00882F19"/>
    <w:rsid w:val="0088321B"/>
    <w:rsid w:val="008834C9"/>
    <w:rsid w:val="008834CB"/>
    <w:rsid w:val="00883577"/>
    <w:rsid w:val="00883CF4"/>
    <w:rsid w:val="00883E27"/>
    <w:rsid w:val="008841D0"/>
    <w:rsid w:val="00884342"/>
    <w:rsid w:val="008843A2"/>
    <w:rsid w:val="00884571"/>
    <w:rsid w:val="00884597"/>
    <w:rsid w:val="0088480D"/>
    <w:rsid w:val="008849D8"/>
    <w:rsid w:val="00884B3F"/>
    <w:rsid w:val="00884C0F"/>
    <w:rsid w:val="00884FEA"/>
    <w:rsid w:val="0088513B"/>
    <w:rsid w:val="00885433"/>
    <w:rsid w:val="00885632"/>
    <w:rsid w:val="0088594A"/>
    <w:rsid w:val="00885A43"/>
    <w:rsid w:val="00885C51"/>
    <w:rsid w:val="00885FE3"/>
    <w:rsid w:val="0088658D"/>
    <w:rsid w:val="008869CE"/>
    <w:rsid w:val="00886CD8"/>
    <w:rsid w:val="008872A8"/>
    <w:rsid w:val="00887371"/>
    <w:rsid w:val="0088777B"/>
    <w:rsid w:val="0088791F"/>
    <w:rsid w:val="00887974"/>
    <w:rsid w:val="00887A24"/>
    <w:rsid w:val="00887B1B"/>
    <w:rsid w:val="0089004D"/>
    <w:rsid w:val="008902A2"/>
    <w:rsid w:val="00890448"/>
    <w:rsid w:val="0089062F"/>
    <w:rsid w:val="008907F0"/>
    <w:rsid w:val="00890FD6"/>
    <w:rsid w:val="0089109B"/>
    <w:rsid w:val="00891123"/>
    <w:rsid w:val="00891467"/>
    <w:rsid w:val="0089162C"/>
    <w:rsid w:val="0089171D"/>
    <w:rsid w:val="008917FF"/>
    <w:rsid w:val="00891E5D"/>
    <w:rsid w:val="00891F10"/>
    <w:rsid w:val="008921FA"/>
    <w:rsid w:val="00892628"/>
    <w:rsid w:val="008928F6"/>
    <w:rsid w:val="00892931"/>
    <w:rsid w:val="00892990"/>
    <w:rsid w:val="008929B6"/>
    <w:rsid w:val="00892A26"/>
    <w:rsid w:val="00892ADA"/>
    <w:rsid w:val="00892B9D"/>
    <w:rsid w:val="00892BBC"/>
    <w:rsid w:val="00892C32"/>
    <w:rsid w:val="00892D6C"/>
    <w:rsid w:val="00892D6F"/>
    <w:rsid w:val="00892E82"/>
    <w:rsid w:val="00892F7F"/>
    <w:rsid w:val="008932EC"/>
    <w:rsid w:val="00893310"/>
    <w:rsid w:val="00893483"/>
    <w:rsid w:val="0089350C"/>
    <w:rsid w:val="008935AE"/>
    <w:rsid w:val="0089368C"/>
    <w:rsid w:val="008936DA"/>
    <w:rsid w:val="00893861"/>
    <w:rsid w:val="00893A5A"/>
    <w:rsid w:val="00893DE2"/>
    <w:rsid w:val="008940A3"/>
    <w:rsid w:val="008942DB"/>
    <w:rsid w:val="0089464F"/>
    <w:rsid w:val="008949FB"/>
    <w:rsid w:val="00895149"/>
    <w:rsid w:val="008955E4"/>
    <w:rsid w:val="0089571C"/>
    <w:rsid w:val="0089574F"/>
    <w:rsid w:val="00895C28"/>
    <w:rsid w:val="008960DF"/>
    <w:rsid w:val="0089613A"/>
    <w:rsid w:val="00896333"/>
    <w:rsid w:val="00896628"/>
    <w:rsid w:val="00896894"/>
    <w:rsid w:val="00896978"/>
    <w:rsid w:val="00896F06"/>
    <w:rsid w:val="00897339"/>
    <w:rsid w:val="00897464"/>
    <w:rsid w:val="00897476"/>
    <w:rsid w:val="00897767"/>
    <w:rsid w:val="00897787"/>
    <w:rsid w:val="008977A3"/>
    <w:rsid w:val="00897964"/>
    <w:rsid w:val="00897A62"/>
    <w:rsid w:val="00897E32"/>
    <w:rsid w:val="008A00AC"/>
    <w:rsid w:val="008A0164"/>
    <w:rsid w:val="008A0289"/>
    <w:rsid w:val="008A043E"/>
    <w:rsid w:val="008A0486"/>
    <w:rsid w:val="008A0599"/>
    <w:rsid w:val="008A0914"/>
    <w:rsid w:val="008A0D44"/>
    <w:rsid w:val="008A0FDE"/>
    <w:rsid w:val="008A1161"/>
    <w:rsid w:val="008A14F0"/>
    <w:rsid w:val="008A1B71"/>
    <w:rsid w:val="008A1BE5"/>
    <w:rsid w:val="008A1FB3"/>
    <w:rsid w:val="008A2001"/>
    <w:rsid w:val="008A20A5"/>
    <w:rsid w:val="008A2239"/>
    <w:rsid w:val="008A2304"/>
    <w:rsid w:val="008A248C"/>
    <w:rsid w:val="008A255B"/>
    <w:rsid w:val="008A255C"/>
    <w:rsid w:val="008A2799"/>
    <w:rsid w:val="008A27C1"/>
    <w:rsid w:val="008A2C06"/>
    <w:rsid w:val="008A32EF"/>
    <w:rsid w:val="008A32FF"/>
    <w:rsid w:val="008A3733"/>
    <w:rsid w:val="008A37E9"/>
    <w:rsid w:val="008A393C"/>
    <w:rsid w:val="008A3A8B"/>
    <w:rsid w:val="008A3C9E"/>
    <w:rsid w:val="008A3C9F"/>
    <w:rsid w:val="008A3CA6"/>
    <w:rsid w:val="008A3D8D"/>
    <w:rsid w:val="008A3F5D"/>
    <w:rsid w:val="008A41F8"/>
    <w:rsid w:val="008A44C4"/>
    <w:rsid w:val="008A4836"/>
    <w:rsid w:val="008A4927"/>
    <w:rsid w:val="008A49F6"/>
    <w:rsid w:val="008A4B45"/>
    <w:rsid w:val="008A4F92"/>
    <w:rsid w:val="008A509D"/>
    <w:rsid w:val="008A5294"/>
    <w:rsid w:val="008A5378"/>
    <w:rsid w:val="008A5700"/>
    <w:rsid w:val="008A57B4"/>
    <w:rsid w:val="008A5902"/>
    <w:rsid w:val="008A5925"/>
    <w:rsid w:val="008A59FF"/>
    <w:rsid w:val="008A5AE0"/>
    <w:rsid w:val="008A5AFF"/>
    <w:rsid w:val="008A5B03"/>
    <w:rsid w:val="008A5E27"/>
    <w:rsid w:val="008A5FDB"/>
    <w:rsid w:val="008A60E5"/>
    <w:rsid w:val="008A6531"/>
    <w:rsid w:val="008A6576"/>
    <w:rsid w:val="008A6674"/>
    <w:rsid w:val="008A67C7"/>
    <w:rsid w:val="008A6ACE"/>
    <w:rsid w:val="008A76EA"/>
    <w:rsid w:val="008A7803"/>
    <w:rsid w:val="008A78BC"/>
    <w:rsid w:val="008A7BB3"/>
    <w:rsid w:val="008A7FB4"/>
    <w:rsid w:val="008B0743"/>
    <w:rsid w:val="008B0781"/>
    <w:rsid w:val="008B0786"/>
    <w:rsid w:val="008B093B"/>
    <w:rsid w:val="008B0D9D"/>
    <w:rsid w:val="008B0E6C"/>
    <w:rsid w:val="008B114C"/>
    <w:rsid w:val="008B12D7"/>
    <w:rsid w:val="008B1500"/>
    <w:rsid w:val="008B1772"/>
    <w:rsid w:val="008B1872"/>
    <w:rsid w:val="008B1B49"/>
    <w:rsid w:val="008B1D7E"/>
    <w:rsid w:val="008B1E6F"/>
    <w:rsid w:val="008B1EF3"/>
    <w:rsid w:val="008B2122"/>
    <w:rsid w:val="008B23E2"/>
    <w:rsid w:val="008B2516"/>
    <w:rsid w:val="008B2707"/>
    <w:rsid w:val="008B2B60"/>
    <w:rsid w:val="008B2D2E"/>
    <w:rsid w:val="008B2FCF"/>
    <w:rsid w:val="008B2FEC"/>
    <w:rsid w:val="008B31FB"/>
    <w:rsid w:val="008B35EE"/>
    <w:rsid w:val="008B3635"/>
    <w:rsid w:val="008B3766"/>
    <w:rsid w:val="008B3B3A"/>
    <w:rsid w:val="008B3B87"/>
    <w:rsid w:val="008B442C"/>
    <w:rsid w:val="008B4918"/>
    <w:rsid w:val="008B4B4D"/>
    <w:rsid w:val="008B4D25"/>
    <w:rsid w:val="008B4EBE"/>
    <w:rsid w:val="008B50B5"/>
    <w:rsid w:val="008B5121"/>
    <w:rsid w:val="008B52E4"/>
    <w:rsid w:val="008B54C5"/>
    <w:rsid w:val="008B556B"/>
    <w:rsid w:val="008B5647"/>
    <w:rsid w:val="008B56AA"/>
    <w:rsid w:val="008B5853"/>
    <w:rsid w:val="008B5A58"/>
    <w:rsid w:val="008B5D03"/>
    <w:rsid w:val="008B5F0B"/>
    <w:rsid w:val="008B5FF8"/>
    <w:rsid w:val="008B6109"/>
    <w:rsid w:val="008B62AD"/>
    <w:rsid w:val="008B6316"/>
    <w:rsid w:val="008B63A3"/>
    <w:rsid w:val="008B64EC"/>
    <w:rsid w:val="008B67D5"/>
    <w:rsid w:val="008B6821"/>
    <w:rsid w:val="008B6847"/>
    <w:rsid w:val="008B6905"/>
    <w:rsid w:val="008B6CB8"/>
    <w:rsid w:val="008B6D85"/>
    <w:rsid w:val="008B6E70"/>
    <w:rsid w:val="008B6F33"/>
    <w:rsid w:val="008B6F57"/>
    <w:rsid w:val="008B70B2"/>
    <w:rsid w:val="008B7173"/>
    <w:rsid w:val="008B7254"/>
    <w:rsid w:val="008B74B6"/>
    <w:rsid w:val="008B75C8"/>
    <w:rsid w:val="008B75F9"/>
    <w:rsid w:val="008B79BE"/>
    <w:rsid w:val="008B7B66"/>
    <w:rsid w:val="008B7BD8"/>
    <w:rsid w:val="008B7DB3"/>
    <w:rsid w:val="008B7F5A"/>
    <w:rsid w:val="008B7FF0"/>
    <w:rsid w:val="008C0031"/>
    <w:rsid w:val="008C04B5"/>
    <w:rsid w:val="008C04EC"/>
    <w:rsid w:val="008C0907"/>
    <w:rsid w:val="008C0B04"/>
    <w:rsid w:val="008C0EC3"/>
    <w:rsid w:val="008C1292"/>
    <w:rsid w:val="008C1585"/>
    <w:rsid w:val="008C15A4"/>
    <w:rsid w:val="008C1669"/>
    <w:rsid w:val="008C17E5"/>
    <w:rsid w:val="008C1C73"/>
    <w:rsid w:val="008C1D08"/>
    <w:rsid w:val="008C1D71"/>
    <w:rsid w:val="008C1E5D"/>
    <w:rsid w:val="008C1EA2"/>
    <w:rsid w:val="008C1ED9"/>
    <w:rsid w:val="008C2224"/>
    <w:rsid w:val="008C2236"/>
    <w:rsid w:val="008C2716"/>
    <w:rsid w:val="008C2948"/>
    <w:rsid w:val="008C2958"/>
    <w:rsid w:val="008C2A5A"/>
    <w:rsid w:val="008C2AAC"/>
    <w:rsid w:val="008C2B4D"/>
    <w:rsid w:val="008C2BE2"/>
    <w:rsid w:val="008C2D22"/>
    <w:rsid w:val="008C2E0A"/>
    <w:rsid w:val="008C31AB"/>
    <w:rsid w:val="008C3546"/>
    <w:rsid w:val="008C3876"/>
    <w:rsid w:val="008C424D"/>
    <w:rsid w:val="008C47D1"/>
    <w:rsid w:val="008C4CED"/>
    <w:rsid w:val="008C4D0E"/>
    <w:rsid w:val="008C51ED"/>
    <w:rsid w:val="008C56B9"/>
    <w:rsid w:val="008C5864"/>
    <w:rsid w:val="008C588E"/>
    <w:rsid w:val="008C5C52"/>
    <w:rsid w:val="008C5EB5"/>
    <w:rsid w:val="008C606F"/>
    <w:rsid w:val="008C60F1"/>
    <w:rsid w:val="008C63A2"/>
    <w:rsid w:val="008C6DE2"/>
    <w:rsid w:val="008C6E44"/>
    <w:rsid w:val="008C6F3E"/>
    <w:rsid w:val="008C711A"/>
    <w:rsid w:val="008C7441"/>
    <w:rsid w:val="008C760E"/>
    <w:rsid w:val="008C77C9"/>
    <w:rsid w:val="008C7A01"/>
    <w:rsid w:val="008C7AC8"/>
    <w:rsid w:val="008D0489"/>
    <w:rsid w:val="008D0537"/>
    <w:rsid w:val="008D094F"/>
    <w:rsid w:val="008D0BAC"/>
    <w:rsid w:val="008D0CB7"/>
    <w:rsid w:val="008D0E42"/>
    <w:rsid w:val="008D0E77"/>
    <w:rsid w:val="008D1085"/>
    <w:rsid w:val="008D10C0"/>
    <w:rsid w:val="008D11CD"/>
    <w:rsid w:val="008D15F7"/>
    <w:rsid w:val="008D1FBF"/>
    <w:rsid w:val="008D2153"/>
    <w:rsid w:val="008D26C1"/>
    <w:rsid w:val="008D27BA"/>
    <w:rsid w:val="008D2818"/>
    <w:rsid w:val="008D2923"/>
    <w:rsid w:val="008D2AE9"/>
    <w:rsid w:val="008D2C61"/>
    <w:rsid w:val="008D2D7C"/>
    <w:rsid w:val="008D2E76"/>
    <w:rsid w:val="008D2F75"/>
    <w:rsid w:val="008D3125"/>
    <w:rsid w:val="008D31DD"/>
    <w:rsid w:val="008D32BB"/>
    <w:rsid w:val="008D333F"/>
    <w:rsid w:val="008D350F"/>
    <w:rsid w:val="008D38C8"/>
    <w:rsid w:val="008D3A1D"/>
    <w:rsid w:val="008D3C37"/>
    <w:rsid w:val="008D3DC9"/>
    <w:rsid w:val="008D3E8E"/>
    <w:rsid w:val="008D4544"/>
    <w:rsid w:val="008D461C"/>
    <w:rsid w:val="008D46A7"/>
    <w:rsid w:val="008D4869"/>
    <w:rsid w:val="008D48C5"/>
    <w:rsid w:val="008D4A11"/>
    <w:rsid w:val="008D4A72"/>
    <w:rsid w:val="008D4BE8"/>
    <w:rsid w:val="008D4D3C"/>
    <w:rsid w:val="008D4DC6"/>
    <w:rsid w:val="008D4E39"/>
    <w:rsid w:val="008D5037"/>
    <w:rsid w:val="008D5055"/>
    <w:rsid w:val="008D55B0"/>
    <w:rsid w:val="008D5625"/>
    <w:rsid w:val="008D57A4"/>
    <w:rsid w:val="008D592A"/>
    <w:rsid w:val="008D5AA7"/>
    <w:rsid w:val="008D5C4A"/>
    <w:rsid w:val="008D5EB5"/>
    <w:rsid w:val="008D696B"/>
    <w:rsid w:val="008D69EE"/>
    <w:rsid w:val="008D6ACB"/>
    <w:rsid w:val="008D6E85"/>
    <w:rsid w:val="008D6F30"/>
    <w:rsid w:val="008D6F58"/>
    <w:rsid w:val="008D6FBD"/>
    <w:rsid w:val="008D710A"/>
    <w:rsid w:val="008D7436"/>
    <w:rsid w:val="008D755B"/>
    <w:rsid w:val="008D7722"/>
    <w:rsid w:val="008D794B"/>
    <w:rsid w:val="008D7B82"/>
    <w:rsid w:val="008D7CE6"/>
    <w:rsid w:val="008E025B"/>
    <w:rsid w:val="008E04E8"/>
    <w:rsid w:val="008E04F3"/>
    <w:rsid w:val="008E08FA"/>
    <w:rsid w:val="008E09EC"/>
    <w:rsid w:val="008E0AF3"/>
    <w:rsid w:val="008E0FB6"/>
    <w:rsid w:val="008E0FC2"/>
    <w:rsid w:val="008E1035"/>
    <w:rsid w:val="008E11B0"/>
    <w:rsid w:val="008E135D"/>
    <w:rsid w:val="008E17BA"/>
    <w:rsid w:val="008E1AF1"/>
    <w:rsid w:val="008E1BD0"/>
    <w:rsid w:val="008E1E47"/>
    <w:rsid w:val="008E2076"/>
    <w:rsid w:val="008E21C0"/>
    <w:rsid w:val="008E2664"/>
    <w:rsid w:val="008E285E"/>
    <w:rsid w:val="008E28AC"/>
    <w:rsid w:val="008E2BF8"/>
    <w:rsid w:val="008E2FDE"/>
    <w:rsid w:val="008E302A"/>
    <w:rsid w:val="008E3254"/>
    <w:rsid w:val="008E3336"/>
    <w:rsid w:val="008E33F2"/>
    <w:rsid w:val="008E34A8"/>
    <w:rsid w:val="008E374D"/>
    <w:rsid w:val="008E37D1"/>
    <w:rsid w:val="008E389C"/>
    <w:rsid w:val="008E38E2"/>
    <w:rsid w:val="008E3C5C"/>
    <w:rsid w:val="008E419F"/>
    <w:rsid w:val="008E45C1"/>
    <w:rsid w:val="008E48B8"/>
    <w:rsid w:val="008E4B98"/>
    <w:rsid w:val="008E4C2D"/>
    <w:rsid w:val="008E50A1"/>
    <w:rsid w:val="008E5366"/>
    <w:rsid w:val="008E546D"/>
    <w:rsid w:val="008E55FF"/>
    <w:rsid w:val="008E56BB"/>
    <w:rsid w:val="008E56CD"/>
    <w:rsid w:val="008E5831"/>
    <w:rsid w:val="008E5BA0"/>
    <w:rsid w:val="008E5C16"/>
    <w:rsid w:val="008E5DDF"/>
    <w:rsid w:val="008E5E75"/>
    <w:rsid w:val="008E603C"/>
    <w:rsid w:val="008E60B0"/>
    <w:rsid w:val="008E614B"/>
    <w:rsid w:val="008E65B6"/>
    <w:rsid w:val="008E6634"/>
    <w:rsid w:val="008E6702"/>
    <w:rsid w:val="008E6959"/>
    <w:rsid w:val="008E6B4E"/>
    <w:rsid w:val="008E6C75"/>
    <w:rsid w:val="008E6CFE"/>
    <w:rsid w:val="008E6E72"/>
    <w:rsid w:val="008E6F26"/>
    <w:rsid w:val="008E6FFE"/>
    <w:rsid w:val="008E7224"/>
    <w:rsid w:val="008E7331"/>
    <w:rsid w:val="008E75D8"/>
    <w:rsid w:val="008E76B8"/>
    <w:rsid w:val="008E771B"/>
    <w:rsid w:val="008E77DC"/>
    <w:rsid w:val="008E7A12"/>
    <w:rsid w:val="008E7AB1"/>
    <w:rsid w:val="008E7BC2"/>
    <w:rsid w:val="008E7D70"/>
    <w:rsid w:val="008E7DDC"/>
    <w:rsid w:val="008E7EB9"/>
    <w:rsid w:val="008F0298"/>
    <w:rsid w:val="008F02AD"/>
    <w:rsid w:val="008F033F"/>
    <w:rsid w:val="008F0354"/>
    <w:rsid w:val="008F0391"/>
    <w:rsid w:val="008F04A5"/>
    <w:rsid w:val="008F089B"/>
    <w:rsid w:val="008F09D2"/>
    <w:rsid w:val="008F0CBE"/>
    <w:rsid w:val="008F0E85"/>
    <w:rsid w:val="008F0E8A"/>
    <w:rsid w:val="008F0E8D"/>
    <w:rsid w:val="008F0EE9"/>
    <w:rsid w:val="008F0F2C"/>
    <w:rsid w:val="008F0F75"/>
    <w:rsid w:val="008F0F94"/>
    <w:rsid w:val="008F1153"/>
    <w:rsid w:val="008F13C6"/>
    <w:rsid w:val="008F14B1"/>
    <w:rsid w:val="008F17B1"/>
    <w:rsid w:val="008F19B6"/>
    <w:rsid w:val="008F19D4"/>
    <w:rsid w:val="008F1D0F"/>
    <w:rsid w:val="008F1DF1"/>
    <w:rsid w:val="008F1E02"/>
    <w:rsid w:val="008F1FA8"/>
    <w:rsid w:val="008F205B"/>
    <w:rsid w:val="008F25A8"/>
    <w:rsid w:val="008F2628"/>
    <w:rsid w:val="008F2833"/>
    <w:rsid w:val="008F291B"/>
    <w:rsid w:val="008F291C"/>
    <w:rsid w:val="008F29B4"/>
    <w:rsid w:val="008F2D80"/>
    <w:rsid w:val="008F30CD"/>
    <w:rsid w:val="008F3126"/>
    <w:rsid w:val="008F35DC"/>
    <w:rsid w:val="008F35E8"/>
    <w:rsid w:val="008F38E0"/>
    <w:rsid w:val="008F3E3A"/>
    <w:rsid w:val="008F3F5C"/>
    <w:rsid w:val="008F42A3"/>
    <w:rsid w:val="008F460F"/>
    <w:rsid w:val="008F4641"/>
    <w:rsid w:val="008F4863"/>
    <w:rsid w:val="008F4A58"/>
    <w:rsid w:val="008F4D99"/>
    <w:rsid w:val="008F4ECF"/>
    <w:rsid w:val="008F4FF6"/>
    <w:rsid w:val="008F5570"/>
    <w:rsid w:val="008F5655"/>
    <w:rsid w:val="008F573B"/>
    <w:rsid w:val="008F5DEC"/>
    <w:rsid w:val="008F5E0C"/>
    <w:rsid w:val="008F646E"/>
    <w:rsid w:val="008F647A"/>
    <w:rsid w:val="008F647F"/>
    <w:rsid w:val="008F64B0"/>
    <w:rsid w:val="008F65B6"/>
    <w:rsid w:val="008F6604"/>
    <w:rsid w:val="008F6631"/>
    <w:rsid w:val="008F68D2"/>
    <w:rsid w:val="008F6934"/>
    <w:rsid w:val="008F7136"/>
    <w:rsid w:val="008F73D6"/>
    <w:rsid w:val="008F7A4A"/>
    <w:rsid w:val="008F7BBE"/>
    <w:rsid w:val="008F7BFA"/>
    <w:rsid w:val="008F7C6A"/>
    <w:rsid w:val="008F7D23"/>
    <w:rsid w:val="008F7FEC"/>
    <w:rsid w:val="0090012E"/>
    <w:rsid w:val="009001FC"/>
    <w:rsid w:val="009004F8"/>
    <w:rsid w:val="00900AF6"/>
    <w:rsid w:val="00900C34"/>
    <w:rsid w:val="00900E6E"/>
    <w:rsid w:val="00900EB1"/>
    <w:rsid w:val="00900F00"/>
    <w:rsid w:val="009011A1"/>
    <w:rsid w:val="009014C6"/>
    <w:rsid w:val="0090159A"/>
    <w:rsid w:val="009015F9"/>
    <w:rsid w:val="009018B5"/>
    <w:rsid w:val="009018E1"/>
    <w:rsid w:val="0090194B"/>
    <w:rsid w:val="00901BB0"/>
    <w:rsid w:val="00901C81"/>
    <w:rsid w:val="00901F58"/>
    <w:rsid w:val="00902265"/>
    <w:rsid w:val="009022D3"/>
    <w:rsid w:val="009022F6"/>
    <w:rsid w:val="009026F9"/>
    <w:rsid w:val="00902710"/>
    <w:rsid w:val="00902820"/>
    <w:rsid w:val="0090292D"/>
    <w:rsid w:val="009029AF"/>
    <w:rsid w:val="00902AA6"/>
    <w:rsid w:val="00902C52"/>
    <w:rsid w:val="00902E14"/>
    <w:rsid w:val="0090308D"/>
    <w:rsid w:val="009030B7"/>
    <w:rsid w:val="00903170"/>
    <w:rsid w:val="00903182"/>
    <w:rsid w:val="009032EB"/>
    <w:rsid w:val="0090335F"/>
    <w:rsid w:val="00903601"/>
    <w:rsid w:val="009037E8"/>
    <w:rsid w:val="00903850"/>
    <w:rsid w:val="00903899"/>
    <w:rsid w:val="00903922"/>
    <w:rsid w:val="00903D7A"/>
    <w:rsid w:val="00903DF2"/>
    <w:rsid w:val="00903E64"/>
    <w:rsid w:val="00903F30"/>
    <w:rsid w:val="00904013"/>
    <w:rsid w:val="009040ED"/>
    <w:rsid w:val="00904357"/>
    <w:rsid w:val="00904624"/>
    <w:rsid w:val="00904A23"/>
    <w:rsid w:val="00904BED"/>
    <w:rsid w:val="00904C93"/>
    <w:rsid w:val="00904D84"/>
    <w:rsid w:val="00904F12"/>
    <w:rsid w:val="00904F23"/>
    <w:rsid w:val="00905280"/>
    <w:rsid w:val="009052EB"/>
    <w:rsid w:val="0090559A"/>
    <w:rsid w:val="009058F7"/>
    <w:rsid w:val="00905F35"/>
    <w:rsid w:val="00906038"/>
    <w:rsid w:val="0090604F"/>
    <w:rsid w:val="00906118"/>
    <w:rsid w:val="0090643C"/>
    <w:rsid w:val="00906572"/>
    <w:rsid w:val="0090662A"/>
    <w:rsid w:val="00906CB9"/>
    <w:rsid w:val="00906E94"/>
    <w:rsid w:val="009071E2"/>
    <w:rsid w:val="00907331"/>
    <w:rsid w:val="009077AF"/>
    <w:rsid w:val="00907A3C"/>
    <w:rsid w:val="00907A3F"/>
    <w:rsid w:val="00907B71"/>
    <w:rsid w:val="00907C2B"/>
    <w:rsid w:val="00907CBA"/>
    <w:rsid w:val="00907ED3"/>
    <w:rsid w:val="00910158"/>
    <w:rsid w:val="00910217"/>
    <w:rsid w:val="00910394"/>
    <w:rsid w:val="009105DA"/>
    <w:rsid w:val="00910780"/>
    <w:rsid w:val="0091097F"/>
    <w:rsid w:val="00910A06"/>
    <w:rsid w:val="00910B7A"/>
    <w:rsid w:val="00910BFD"/>
    <w:rsid w:val="00910C27"/>
    <w:rsid w:val="00910EBD"/>
    <w:rsid w:val="00910F31"/>
    <w:rsid w:val="00911161"/>
    <w:rsid w:val="00911272"/>
    <w:rsid w:val="00911310"/>
    <w:rsid w:val="00911538"/>
    <w:rsid w:val="00911814"/>
    <w:rsid w:val="00911BB1"/>
    <w:rsid w:val="00911DC8"/>
    <w:rsid w:val="00911E60"/>
    <w:rsid w:val="00911EA2"/>
    <w:rsid w:val="009122D9"/>
    <w:rsid w:val="0091230C"/>
    <w:rsid w:val="00912773"/>
    <w:rsid w:val="00912A3D"/>
    <w:rsid w:val="00912D12"/>
    <w:rsid w:val="00912D7A"/>
    <w:rsid w:val="0091345F"/>
    <w:rsid w:val="00913468"/>
    <w:rsid w:val="009138AA"/>
    <w:rsid w:val="00913A8F"/>
    <w:rsid w:val="00913A9E"/>
    <w:rsid w:val="00913E84"/>
    <w:rsid w:val="00913EDD"/>
    <w:rsid w:val="00914096"/>
    <w:rsid w:val="00914AE7"/>
    <w:rsid w:val="00914B7B"/>
    <w:rsid w:val="00914D55"/>
    <w:rsid w:val="00915009"/>
    <w:rsid w:val="009150F4"/>
    <w:rsid w:val="00915112"/>
    <w:rsid w:val="009151B3"/>
    <w:rsid w:val="00915205"/>
    <w:rsid w:val="00915207"/>
    <w:rsid w:val="009153BA"/>
    <w:rsid w:val="00915AC9"/>
    <w:rsid w:val="00915B77"/>
    <w:rsid w:val="00915EBF"/>
    <w:rsid w:val="0091625A"/>
    <w:rsid w:val="0091628C"/>
    <w:rsid w:val="0091638A"/>
    <w:rsid w:val="00916415"/>
    <w:rsid w:val="009168FA"/>
    <w:rsid w:val="0091692D"/>
    <w:rsid w:val="00916A72"/>
    <w:rsid w:val="00916B19"/>
    <w:rsid w:val="00916D32"/>
    <w:rsid w:val="00916F88"/>
    <w:rsid w:val="00916FB4"/>
    <w:rsid w:val="0091702B"/>
    <w:rsid w:val="0091724B"/>
    <w:rsid w:val="009172E7"/>
    <w:rsid w:val="00917383"/>
    <w:rsid w:val="00917474"/>
    <w:rsid w:val="0091759E"/>
    <w:rsid w:val="00917784"/>
    <w:rsid w:val="00917AAE"/>
    <w:rsid w:val="00917C87"/>
    <w:rsid w:val="00917CFC"/>
    <w:rsid w:val="00917CFE"/>
    <w:rsid w:val="00917FE6"/>
    <w:rsid w:val="009203CD"/>
    <w:rsid w:val="009204EC"/>
    <w:rsid w:val="0092061A"/>
    <w:rsid w:val="009206DF"/>
    <w:rsid w:val="009207DF"/>
    <w:rsid w:val="00920E13"/>
    <w:rsid w:val="00920F49"/>
    <w:rsid w:val="00920F73"/>
    <w:rsid w:val="009210BA"/>
    <w:rsid w:val="00921104"/>
    <w:rsid w:val="0092123D"/>
    <w:rsid w:val="00921250"/>
    <w:rsid w:val="009212FF"/>
    <w:rsid w:val="0092136E"/>
    <w:rsid w:val="00921408"/>
    <w:rsid w:val="00921546"/>
    <w:rsid w:val="009219FF"/>
    <w:rsid w:val="00921B58"/>
    <w:rsid w:val="00921BD7"/>
    <w:rsid w:val="00921C5C"/>
    <w:rsid w:val="00921F01"/>
    <w:rsid w:val="00921F85"/>
    <w:rsid w:val="009221E3"/>
    <w:rsid w:val="0092227D"/>
    <w:rsid w:val="00922707"/>
    <w:rsid w:val="0092283D"/>
    <w:rsid w:val="00922AC2"/>
    <w:rsid w:val="00922AFB"/>
    <w:rsid w:val="00922C2B"/>
    <w:rsid w:val="00922CA5"/>
    <w:rsid w:val="00923126"/>
    <w:rsid w:val="0092331D"/>
    <w:rsid w:val="009234CA"/>
    <w:rsid w:val="00923624"/>
    <w:rsid w:val="00923B52"/>
    <w:rsid w:val="00923F9F"/>
    <w:rsid w:val="00924511"/>
    <w:rsid w:val="009246CB"/>
    <w:rsid w:val="0092494B"/>
    <w:rsid w:val="00924A7A"/>
    <w:rsid w:val="00924CC7"/>
    <w:rsid w:val="00924D3F"/>
    <w:rsid w:val="00924F46"/>
    <w:rsid w:val="009252B1"/>
    <w:rsid w:val="00925421"/>
    <w:rsid w:val="009255C6"/>
    <w:rsid w:val="00925637"/>
    <w:rsid w:val="0092599E"/>
    <w:rsid w:val="00925DD0"/>
    <w:rsid w:val="009260C7"/>
    <w:rsid w:val="0092630F"/>
    <w:rsid w:val="00926452"/>
    <w:rsid w:val="00926AB1"/>
    <w:rsid w:val="00926B3F"/>
    <w:rsid w:val="00926D15"/>
    <w:rsid w:val="00926D33"/>
    <w:rsid w:val="00926D3D"/>
    <w:rsid w:val="00926E19"/>
    <w:rsid w:val="00926FA9"/>
    <w:rsid w:val="00927194"/>
    <w:rsid w:val="0092725E"/>
    <w:rsid w:val="0092738E"/>
    <w:rsid w:val="00927408"/>
    <w:rsid w:val="00927B14"/>
    <w:rsid w:val="00927B69"/>
    <w:rsid w:val="00927D61"/>
    <w:rsid w:val="0092B673"/>
    <w:rsid w:val="0093014D"/>
    <w:rsid w:val="009302C9"/>
    <w:rsid w:val="0093043B"/>
    <w:rsid w:val="0093044C"/>
    <w:rsid w:val="0093048A"/>
    <w:rsid w:val="009305A7"/>
    <w:rsid w:val="00930662"/>
    <w:rsid w:val="00930899"/>
    <w:rsid w:val="00930CBB"/>
    <w:rsid w:val="00930CE4"/>
    <w:rsid w:val="00930E60"/>
    <w:rsid w:val="00930FBC"/>
    <w:rsid w:val="00931031"/>
    <w:rsid w:val="009311D4"/>
    <w:rsid w:val="00931236"/>
    <w:rsid w:val="009312F7"/>
    <w:rsid w:val="009314A0"/>
    <w:rsid w:val="009314F0"/>
    <w:rsid w:val="0093157C"/>
    <w:rsid w:val="00931597"/>
    <w:rsid w:val="00931A7F"/>
    <w:rsid w:val="00931CAB"/>
    <w:rsid w:val="00931D3A"/>
    <w:rsid w:val="00931F44"/>
    <w:rsid w:val="00932282"/>
    <w:rsid w:val="009322E4"/>
    <w:rsid w:val="0093233B"/>
    <w:rsid w:val="0093249A"/>
    <w:rsid w:val="00932540"/>
    <w:rsid w:val="0093272E"/>
    <w:rsid w:val="009327C9"/>
    <w:rsid w:val="00932A75"/>
    <w:rsid w:val="00932AA8"/>
    <w:rsid w:val="00932CC8"/>
    <w:rsid w:val="00932E08"/>
    <w:rsid w:val="00932F34"/>
    <w:rsid w:val="00933167"/>
    <w:rsid w:val="009331E7"/>
    <w:rsid w:val="00933225"/>
    <w:rsid w:val="0093352F"/>
    <w:rsid w:val="00933726"/>
    <w:rsid w:val="0093385E"/>
    <w:rsid w:val="009338A2"/>
    <w:rsid w:val="0093391E"/>
    <w:rsid w:val="00933B0E"/>
    <w:rsid w:val="00933B2A"/>
    <w:rsid w:val="00933D03"/>
    <w:rsid w:val="00933D4B"/>
    <w:rsid w:val="00933D57"/>
    <w:rsid w:val="00933D8E"/>
    <w:rsid w:val="00933F8E"/>
    <w:rsid w:val="009343B8"/>
    <w:rsid w:val="00934480"/>
    <w:rsid w:val="009345A8"/>
    <w:rsid w:val="009345F0"/>
    <w:rsid w:val="00934780"/>
    <w:rsid w:val="00934882"/>
    <w:rsid w:val="00934A54"/>
    <w:rsid w:val="00934E48"/>
    <w:rsid w:val="00934F90"/>
    <w:rsid w:val="00935364"/>
    <w:rsid w:val="00935776"/>
    <w:rsid w:val="00935998"/>
    <w:rsid w:val="00935CDD"/>
    <w:rsid w:val="00935D48"/>
    <w:rsid w:val="00935D82"/>
    <w:rsid w:val="009360D3"/>
    <w:rsid w:val="0093649D"/>
    <w:rsid w:val="00936552"/>
    <w:rsid w:val="00936982"/>
    <w:rsid w:val="00936DB3"/>
    <w:rsid w:val="00936DCC"/>
    <w:rsid w:val="00936F38"/>
    <w:rsid w:val="00937000"/>
    <w:rsid w:val="0093731C"/>
    <w:rsid w:val="00937464"/>
    <w:rsid w:val="0093746C"/>
    <w:rsid w:val="00937953"/>
    <w:rsid w:val="00937969"/>
    <w:rsid w:val="00937A60"/>
    <w:rsid w:val="00937B21"/>
    <w:rsid w:val="00937D7D"/>
    <w:rsid w:val="0094024B"/>
    <w:rsid w:val="009404A9"/>
    <w:rsid w:val="0094099E"/>
    <w:rsid w:val="0094116A"/>
    <w:rsid w:val="009413FE"/>
    <w:rsid w:val="00941541"/>
    <w:rsid w:val="0094156C"/>
    <w:rsid w:val="009415F7"/>
    <w:rsid w:val="00941A15"/>
    <w:rsid w:val="00941A29"/>
    <w:rsid w:val="00942087"/>
    <w:rsid w:val="0094213D"/>
    <w:rsid w:val="009422C6"/>
    <w:rsid w:val="00942316"/>
    <w:rsid w:val="0094280A"/>
    <w:rsid w:val="009428BB"/>
    <w:rsid w:val="00942975"/>
    <w:rsid w:val="00942CDB"/>
    <w:rsid w:val="00942D43"/>
    <w:rsid w:val="0094303E"/>
    <w:rsid w:val="00943175"/>
    <w:rsid w:val="009431D2"/>
    <w:rsid w:val="00943454"/>
    <w:rsid w:val="00943519"/>
    <w:rsid w:val="0094368C"/>
    <w:rsid w:val="009436A5"/>
    <w:rsid w:val="009436D7"/>
    <w:rsid w:val="0094384B"/>
    <w:rsid w:val="0094397C"/>
    <w:rsid w:val="00943D34"/>
    <w:rsid w:val="00943F01"/>
    <w:rsid w:val="00944093"/>
    <w:rsid w:val="00944327"/>
    <w:rsid w:val="00944445"/>
    <w:rsid w:val="0094464D"/>
    <w:rsid w:val="00944726"/>
    <w:rsid w:val="00944AB3"/>
    <w:rsid w:val="00944D6A"/>
    <w:rsid w:val="00944EF2"/>
    <w:rsid w:val="0094532D"/>
    <w:rsid w:val="00945355"/>
    <w:rsid w:val="009453F2"/>
    <w:rsid w:val="0094575B"/>
    <w:rsid w:val="009457F9"/>
    <w:rsid w:val="00945AA4"/>
    <w:rsid w:val="00945DC1"/>
    <w:rsid w:val="00945EF8"/>
    <w:rsid w:val="00945FB4"/>
    <w:rsid w:val="0094614A"/>
    <w:rsid w:val="009461F7"/>
    <w:rsid w:val="0094631B"/>
    <w:rsid w:val="00946430"/>
    <w:rsid w:val="00946797"/>
    <w:rsid w:val="00946844"/>
    <w:rsid w:val="00946995"/>
    <w:rsid w:val="00946BFD"/>
    <w:rsid w:val="00946C19"/>
    <w:rsid w:val="00946C46"/>
    <w:rsid w:val="00946CC1"/>
    <w:rsid w:val="00946CDA"/>
    <w:rsid w:val="00947196"/>
    <w:rsid w:val="00947611"/>
    <w:rsid w:val="0094778B"/>
    <w:rsid w:val="009477DB"/>
    <w:rsid w:val="009478F9"/>
    <w:rsid w:val="0094792F"/>
    <w:rsid w:val="00950228"/>
    <w:rsid w:val="00950485"/>
    <w:rsid w:val="009509A4"/>
    <w:rsid w:val="00950AF7"/>
    <w:rsid w:val="00950B90"/>
    <w:rsid w:val="00951130"/>
    <w:rsid w:val="0095124C"/>
    <w:rsid w:val="009512F0"/>
    <w:rsid w:val="009521A1"/>
    <w:rsid w:val="009522FC"/>
    <w:rsid w:val="009523DE"/>
    <w:rsid w:val="0095244D"/>
    <w:rsid w:val="0095285E"/>
    <w:rsid w:val="00952A31"/>
    <w:rsid w:val="00952EF8"/>
    <w:rsid w:val="00952F38"/>
    <w:rsid w:val="00953173"/>
    <w:rsid w:val="00953365"/>
    <w:rsid w:val="009533CE"/>
    <w:rsid w:val="0095360A"/>
    <w:rsid w:val="00953999"/>
    <w:rsid w:val="00953A2A"/>
    <w:rsid w:val="00953CE5"/>
    <w:rsid w:val="00953EB7"/>
    <w:rsid w:val="00954011"/>
    <w:rsid w:val="00954017"/>
    <w:rsid w:val="00954102"/>
    <w:rsid w:val="00954406"/>
    <w:rsid w:val="009544AF"/>
    <w:rsid w:val="00954723"/>
    <w:rsid w:val="0095485B"/>
    <w:rsid w:val="00954912"/>
    <w:rsid w:val="00954F65"/>
    <w:rsid w:val="00954F93"/>
    <w:rsid w:val="009551C8"/>
    <w:rsid w:val="00955604"/>
    <w:rsid w:val="00955862"/>
    <w:rsid w:val="00955996"/>
    <w:rsid w:val="009559B5"/>
    <w:rsid w:val="00955CE2"/>
    <w:rsid w:val="00955D55"/>
    <w:rsid w:val="00956151"/>
    <w:rsid w:val="0095646B"/>
    <w:rsid w:val="009565C9"/>
    <w:rsid w:val="00956662"/>
    <w:rsid w:val="00956674"/>
    <w:rsid w:val="00956709"/>
    <w:rsid w:val="00956B93"/>
    <w:rsid w:val="0095703D"/>
    <w:rsid w:val="00957051"/>
    <w:rsid w:val="0095709C"/>
    <w:rsid w:val="0095714B"/>
    <w:rsid w:val="00957364"/>
    <w:rsid w:val="00957528"/>
    <w:rsid w:val="009578D7"/>
    <w:rsid w:val="00957DC0"/>
    <w:rsid w:val="00957DE6"/>
    <w:rsid w:val="009602E6"/>
    <w:rsid w:val="0096047C"/>
    <w:rsid w:val="009607C3"/>
    <w:rsid w:val="009608EB"/>
    <w:rsid w:val="00960AB5"/>
    <w:rsid w:val="00960AFC"/>
    <w:rsid w:val="00960FEF"/>
    <w:rsid w:val="0096100D"/>
    <w:rsid w:val="00961603"/>
    <w:rsid w:val="009616B4"/>
    <w:rsid w:val="00961C46"/>
    <w:rsid w:val="00961D2A"/>
    <w:rsid w:val="00961DD8"/>
    <w:rsid w:val="009620A3"/>
    <w:rsid w:val="00962230"/>
    <w:rsid w:val="0096232F"/>
    <w:rsid w:val="009623A9"/>
    <w:rsid w:val="00962435"/>
    <w:rsid w:val="00962548"/>
    <w:rsid w:val="0096261D"/>
    <w:rsid w:val="0096263C"/>
    <w:rsid w:val="00962877"/>
    <w:rsid w:val="0096292A"/>
    <w:rsid w:val="009629E8"/>
    <w:rsid w:val="00962B89"/>
    <w:rsid w:val="00962E8D"/>
    <w:rsid w:val="0096309E"/>
    <w:rsid w:val="009630CF"/>
    <w:rsid w:val="00963432"/>
    <w:rsid w:val="0096343E"/>
    <w:rsid w:val="00963770"/>
    <w:rsid w:val="00963784"/>
    <w:rsid w:val="00963998"/>
    <w:rsid w:val="00963C9D"/>
    <w:rsid w:val="009640A9"/>
    <w:rsid w:val="009640F5"/>
    <w:rsid w:val="00964297"/>
    <w:rsid w:val="009643C3"/>
    <w:rsid w:val="00964427"/>
    <w:rsid w:val="009645E9"/>
    <w:rsid w:val="009649C7"/>
    <w:rsid w:val="00964A17"/>
    <w:rsid w:val="00964A28"/>
    <w:rsid w:val="00964F47"/>
    <w:rsid w:val="00965077"/>
    <w:rsid w:val="009652E0"/>
    <w:rsid w:val="00965898"/>
    <w:rsid w:val="00965BFE"/>
    <w:rsid w:val="00965CAD"/>
    <w:rsid w:val="00965D44"/>
    <w:rsid w:val="00965FC2"/>
    <w:rsid w:val="00966040"/>
    <w:rsid w:val="009660A0"/>
    <w:rsid w:val="00966117"/>
    <w:rsid w:val="0096626F"/>
    <w:rsid w:val="0096641E"/>
    <w:rsid w:val="00966481"/>
    <w:rsid w:val="00966671"/>
    <w:rsid w:val="0096678B"/>
    <w:rsid w:val="00966901"/>
    <w:rsid w:val="009669BA"/>
    <w:rsid w:val="00966CEA"/>
    <w:rsid w:val="00966E4F"/>
    <w:rsid w:val="00967208"/>
    <w:rsid w:val="00967213"/>
    <w:rsid w:val="009672D3"/>
    <w:rsid w:val="009673C4"/>
    <w:rsid w:val="009673E5"/>
    <w:rsid w:val="009676D9"/>
    <w:rsid w:val="009677D6"/>
    <w:rsid w:val="00967BCA"/>
    <w:rsid w:val="00967D82"/>
    <w:rsid w:val="00967DB0"/>
    <w:rsid w:val="00967E4B"/>
    <w:rsid w:val="00967E63"/>
    <w:rsid w:val="00970C9E"/>
    <w:rsid w:val="00970CC8"/>
    <w:rsid w:val="009711AE"/>
    <w:rsid w:val="0097120F"/>
    <w:rsid w:val="00971276"/>
    <w:rsid w:val="00971641"/>
    <w:rsid w:val="00971743"/>
    <w:rsid w:val="009717B9"/>
    <w:rsid w:val="009719AE"/>
    <w:rsid w:val="00971BE6"/>
    <w:rsid w:val="00971C2F"/>
    <w:rsid w:val="00971CF9"/>
    <w:rsid w:val="00972584"/>
    <w:rsid w:val="00972719"/>
    <w:rsid w:val="00972851"/>
    <w:rsid w:val="00972945"/>
    <w:rsid w:val="009729AE"/>
    <w:rsid w:val="00972ACB"/>
    <w:rsid w:val="00973062"/>
    <w:rsid w:val="009730A0"/>
    <w:rsid w:val="009730F8"/>
    <w:rsid w:val="00973523"/>
    <w:rsid w:val="00973548"/>
    <w:rsid w:val="0097388E"/>
    <w:rsid w:val="00973CF5"/>
    <w:rsid w:val="00973E36"/>
    <w:rsid w:val="00973E9D"/>
    <w:rsid w:val="00973EFC"/>
    <w:rsid w:val="0097402F"/>
    <w:rsid w:val="0097405B"/>
    <w:rsid w:val="009741C3"/>
    <w:rsid w:val="009743CF"/>
    <w:rsid w:val="00974747"/>
    <w:rsid w:val="009747EF"/>
    <w:rsid w:val="00974840"/>
    <w:rsid w:val="00974D25"/>
    <w:rsid w:val="00974F6C"/>
    <w:rsid w:val="0097539E"/>
    <w:rsid w:val="009756E0"/>
    <w:rsid w:val="009756E3"/>
    <w:rsid w:val="009759C7"/>
    <w:rsid w:val="00975AA7"/>
    <w:rsid w:val="00975C42"/>
    <w:rsid w:val="00975D51"/>
    <w:rsid w:val="00975FEF"/>
    <w:rsid w:val="00976035"/>
    <w:rsid w:val="009760C9"/>
    <w:rsid w:val="0097618D"/>
    <w:rsid w:val="00976337"/>
    <w:rsid w:val="00976554"/>
    <w:rsid w:val="009767A6"/>
    <w:rsid w:val="00976BFA"/>
    <w:rsid w:val="00976CDB"/>
    <w:rsid w:val="0097704E"/>
    <w:rsid w:val="009771C7"/>
    <w:rsid w:val="0097733D"/>
    <w:rsid w:val="00977342"/>
    <w:rsid w:val="009773D6"/>
    <w:rsid w:val="0097749F"/>
    <w:rsid w:val="009775FB"/>
    <w:rsid w:val="0097766B"/>
    <w:rsid w:val="009778DC"/>
    <w:rsid w:val="00977D34"/>
    <w:rsid w:val="00977EE5"/>
    <w:rsid w:val="00977F80"/>
    <w:rsid w:val="00980074"/>
    <w:rsid w:val="00980146"/>
    <w:rsid w:val="00980462"/>
    <w:rsid w:val="009804AD"/>
    <w:rsid w:val="0098063E"/>
    <w:rsid w:val="009807BE"/>
    <w:rsid w:val="009807FF"/>
    <w:rsid w:val="00980883"/>
    <w:rsid w:val="009808E7"/>
    <w:rsid w:val="00980AAC"/>
    <w:rsid w:val="00980B3D"/>
    <w:rsid w:val="00980EDE"/>
    <w:rsid w:val="00981582"/>
    <w:rsid w:val="00981811"/>
    <w:rsid w:val="009818AA"/>
    <w:rsid w:val="00981945"/>
    <w:rsid w:val="009819DC"/>
    <w:rsid w:val="00981A72"/>
    <w:rsid w:val="00981BDC"/>
    <w:rsid w:val="00981CB4"/>
    <w:rsid w:val="00981CC4"/>
    <w:rsid w:val="00981F73"/>
    <w:rsid w:val="0098223E"/>
    <w:rsid w:val="0098227F"/>
    <w:rsid w:val="00982476"/>
    <w:rsid w:val="0098279C"/>
    <w:rsid w:val="0098286A"/>
    <w:rsid w:val="00982A18"/>
    <w:rsid w:val="00982A9E"/>
    <w:rsid w:val="00982AB9"/>
    <w:rsid w:val="00982B92"/>
    <w:rsid w:val="00982D0C"/>
    <w:rsid w:val="00982D5E"/>
    <w:rsid w:val="0098312E"/>
    <w:rsid w:val="009831A4"/>
    <w:rsid w:val="00983526"/>
    <w:rsid w:val="00983555"/>
    <w:rsid w:val="0098363A"/>
    <w:rsid w:val="00983DA7"/>
    <w:rsid w:val="00983DE2"/>
    <w:rsid w:val="00984125"/>
    <w:rsid w:val="0098451F"/>
    <w:rsid w:val="00984744"/>
    <w:rsid w:val="00984791"/>
    <w:rsid w:val="009847E6"/>
    <w:rsid w:val="0098499C"/>
    <w:rsid w:val="00984CB0"/>
    <w:rsid w:val="00984CD3"/>
    <w:rsid w:val="00984E77"/>
    <w:rsid w:val="00985018"/>
    <w:rsid w:val="00985077"/>
    <w:rsid w:val="00985164"/>
    <w:rsid w:val="00985383"/>
    <w:rsid w:val="00985391"/>
    <w:rsid w:val="00985636"/>
    <w:rsid w:val="00985669"/>
    <w:rsid w:val="0098575B"/>
    <w:rsid w:val="00985781"/>
    <w:rsid w:val="00985979"/>
    <w:rsid w:val="009859E4"/>
    <w:rsid w:val="00985B80"/>
    <w:rsid w:val="00985B88"/>
    <w:rsid w:val="00985DCC"/>
    <w:rsid w:val="0098608C"/>
    <w:rsid w:val="0098617B"/>
    <w:rsid w:val="0098634F"/>
    <w:rsid w:val="009863D9"/>
    <w:rsid w:val="00986433"/>
    <w:rsid w:val="0098643D"/>
    <w:rsid w:val="009865F2"/>
    <w:rsid w:val="00986C0F"/>
    <w:rsid w:val="00986C4D"/>
    <w:rsid w:val="00986DC1"/>
    <w:rsid w:val="00986E3D"/>
    <w:rsid w:val="00986E96"/>
    <w:rsid w:val="00987006"/>
    <w:rsid w:val="009870B4"/>
    <w:rsid w:val="009870E9"/>
    <w:rsid w:val="00987174"/>
    <w:rsid w:val="00987536"/>
    <w:rsid w:val="00987630"/>
    <w:rsid w:val="0098786E"/>
    <w:rsid w:val="00987947"/>
    <w:rsid w:val="009879C2"/>
    <w:rsid w:val="009879FF"/>
    <w:rsid w:val="00987A30"/>
    <w:rsid w:val="00987C08"/>
    <w:rsid w:val="00987EB3"/>
    <w:rsid w:val="00987FB5"/>
    <w:rsid w:val="0099018E"/>
    <w:rsid w:val="00990383"/>
    <w:rsid w:val="0099049E"/>
    <w:rsid w:val="00990581"/>
    <w:rsid w:val="009906B1"/>
    <w:rsid w:val="00990BCB"/>
    <w:rsid w:val="00990C6F"/>
    <w:rsid w:val="00990DB1"/>
    <w:rsid w:val="0099100B"/>
    <w:rsid w:val="0099104E"/>
    <w:rsid w:val="00991200"/>
    <w:rsid w:val="00991358"/>
    <w:rsid w:val="009913DA"/>
    <w:rsid w:val="00991677"/>
    <w:rsid w:val="00991902"/>
    <w:rsid w:val="00991A7B"/>
    <w:rsid w:val="00991AD3"/>
    <w:rsid w:val="00991BBC"/>
    <w:rsid w:val="00991BDF"/>
    <w:rsid w:val="00991D47"/>
    <w:rsid w:val="00991D68"/>
    <w:rsid w:val="00991E80"/>
    <w:rsid w:val="00991F9B"/>
    <w:rsid w:val="00991FE7"/>
    <w:rsid w:val="009920C4"/>
    <w:rsid w:val="00992119"/>
    <w:rsid w:val="0099238C"/>
    <w:rsid w:val="0099251A"/>
    <w:rsid w:val="00992ADD"/>
    <w:rsid w:val="00992CC6"/>
    <w:rsid w:val="00992E48"/>
    <w:rsid w:val="00992EFF"/>
    <w:rsid w:val="0099334E"/>
    <w:rsid w:val="009934D6"/>
    <w:rsid w:val="00993508"/>
    <w:rsid w:val="009936A9"/>
    <w:rsid w:val="00993F5A"/>
    <w:rsid w:val="00994163"/>
    <w:rsid w:val="00994272"/>
    <w:rsid w:val="00994396"/>
    <w:rsid w:val="0099460C"/>
    <w:rsid w:val="00994B8D"/>
    <w:rsid w:val="00994B97"/>
    <w:rsid w:val="00994F21"/>
    <w:rsid w:val="00994F8B"/>
    <w:rsid w:val="00994FE6"/>
    <w:rsid w:val="009950BF"/>
    <w:rsid w:val="00995145"/>
    <w:rsid w:val="0099535C"/>
    <w:rsid w:val="00995396"/>
    <w:rsid w:val="009953D1"/>
    <w:rsid w:val="0099546C"/>
    <w:rsid w:val="009956DE"/>
    <w:rsid w:val="0099571F"/>
    <w:rsid w:val="0099579A"/>
    <w:rsid w:val="0099580D"/>
    <w:rsid w:val="009958A8"/>
    <w:rsid w:val="009959C3"/>
    <w:rsid w:val="00995B33"/>
    <w:rsid w:val="00996128"/>
    <w:rsid w:val="009966BF"/>
    <w:rsid w:val="00996751"/>
    <w:rsid w:val="0099687C"/>
    <w:rsid w:val="00996A4F"/>
    <w:rsid w:val="00996A96"/>
    <w:rsid w:val="00996C5F"/>
    <w:rsid w:val="00996D53"/>
    <w:rsid w:val="00996F13"/>
    <w:rsid w:val="00997242"/>
    <w:rsid w:val="009972AB"/>
    <w:rsid w:val="00997835"/>
    <w:rsid w:val="00997853"/>
    <w:rsid w:val="00997B0D"/>
    <w:rsid w:val="0099A29D"/>
    <w:rsid w:val="009A0032"/>
    <w:rsid w:val="009A03B2"/>
    <w:rsid w:val="009A03F6"/>
    <w:rsid w:val="009A0511"/>
    <w:rsid w:val="009A066F"/>
    <w:rsid w:val="009A0837"/>
    <w:rsid w:val="009A0B5F"/>
    <w:rsid w:val="009A0E9C"/>
    <w:rsid w:val="009A1778"/>
    <w:rsid w:val="009A1A89"/>
    <w:rsid w:val="009A1C1A"/>
    <w:rsid w:val="009A1F32"/>
    <w:rsid w:val="009A2034"/>
    <w:rsid w:val="009A20F8"/>
    <w:rsid w:val="009A2335"/>
    <w:rsid w:val="009A2382"/>
    <w:rsid w:val="009A2430"/>
    <w:rsid w:val="009A2547"/>
    <w:rsid w:val="009A2933"/>
    <w:rsid w:val="009A2A65"/>
    <w:rsid w:val="009A2B7D"/>
    <w:rsid w:val="009A2C23"/>
    <w:rsid w:val="009A3177"/>
    <w:rsid w:val="009A31E4"/>
    <w:rsid w:val="009A3398"/>
    <w:rsid w:val="009A346D"/>
    <w:rsid w:val="009A34C3"/>
    <w:rsid w:val="009A39D5"/>
    <w:rsid w:val="009A3A2E"/>
    <w:rsid w:val="009A3B87"/>
    <w:rsid w:val="009A3DB7"/>
    <w:rsid w:val="009A435C"/>
    <w:rsid w:val="009A448D"/>
    <w:rsid w:val="009A48BA"/>
    <w:rsid w:val="009A48DD"/>
    <w:rsid w:val="009A4930"/>
    <w:rsid w:val="009A4960"/>
    <w:rsid w:val="009A4B2D"/>
    <w:rsid w:val="009A4C7E"/>
    <w:rsid w:val="009A4E40"/>
    <w:rsid w:val="009A4E6A"/>
    <w:rsid w:val="009A4E78"/>
    <w:rsid w:val="009A4EDA"/>
    <w:rsid w:val="009A5130"/>
    <w:rsid w:val="009A51A6"/>
    <w:rsid w:val="009A58EC"/>
    <w:rsid w:val="009A5952"/>
    <w:rsid w:val="009A5A66"/>
    <w:rsid w:val="009A5DDB"/>
    <w:rsid w:val="009A5FF9"/>
    <w:rsid w:val="009A60DF"/>
    <w:rsid w:val="009A6138"/>
    <w:rsid w:val="009A64D1"/>
    <w:rsid w:val="009A6599"/>
    <w:rsid w:val="009A6656"/>
    <w:rsid w:val="009A6F2B"/>
    <w:rsid w:val="009A70BA"/>
    <w:rsid w:val="009A7279"/>
    <w:rsid w:val="009A76D4"/>
    <w:rsid w:val="009A7932"/>
    <w:rsid w:val="009A7B0F"/>
    <w:rsid w:val="009A7C2C"/>
    <w:rsid w:val="009A7DF9"/>
    <w:rsid w:val="009A7F6B"/>
    <w:rsid w:val="009B0088"/>
    <w:rsid w:val="009B059B"/>
    <w:rsid w:val="009B05E4"/>
    <w:rsid w:val="009B061B"/>
    <w:rsid w:val="009B073B"/>
    <w:rsid w:val="009B0795"/>
    <w:rsid w:val="009B0A8D"/>
    <w:rsid w:val="009B0AF5"/>
    <w:rsid w:val="009B0B08"/>
    <w:rsid w:val="009B0B40"/>
    <w:rsid w:val="009B102D"/>
    <w:rsid w:val="009B1034"/>
    <w:rsid w:val="009B146E"/>
    <w:rsid w:val="009B1716"/>
    <w:rsid w:val="009B23EA"/>
    <w:rsid w:val="009B25DB"/>
    <w:rsid w:val="009B2C3C"/>
    <w:rsid w:val="009B2E79"/>
    <w:rsid w:val="009B3023"/>
    <w:rsid w:val="009B3339"/>
    <w:rsid w:val="009B34A5"/>
    <w:rsid w:val="009B38F3"/>
    <w:rsid w:val="009B3A0D"/>
    <w:rsid w:val="009B3B64"/>
    <w:rsid w:val="009B3C28"/>
    <w:rsid w:val="009B3CE3"/>
    <w:rsid w:val="009B3D4B"/>
    <w:rsid w:val="009B3E74"/>
    <w:rsid w:val="009B3ED8"/>
    <w:rsid w:val="009B3FBD"/>
    <w:rsid w:val="009B4049"/>
    <w:rsid w:val="009B40BA"/>
    <w:rsid w:val="009B4161"/>
    <w:rsid w:val="009B470F"/>
    <w:rsid w:val="009B496D"/>
    <w:rsid w:val="009B4B3F"/>
    <w:rsid w:val="009B4B55"/>
    <w:rsid w:val="009B4B66"/>
    <w:rsid w:val="009B4FD6"/>
    <w:rsid w:val="009B5265"/>
    <w:rsid w:val="009B527F"/>
    <w:rsid w:val="009B5684"/>
    <w:rsid w:val="009B5775"/>
    <w:rsid w:val="009B58A4"/>
    <w:rsid w:val="009B58EB"/>
    <w:rsid w:val="009B5A28"/>
    <w:rsid w:val="009B5B9D"/>
    <w:rsid w:val="009B5C64"/>
    <w:rsid w:val="009B5E64"/>
    <w:rsid w:val="009B5EA9"/>
    <w:rsid w:val="009B6027"/>
    <w:rsid w:val="009B6127"/>
    <w:rsid w:val="009B644F"/>
    <w:rsid w:val="009B64A5"/>
    <w:rsid w:val="009B64A6"/>
    <w:rsid w:val="009B652F"/>
    <w:rsid w:val="009B6786"/>
    <w:rsid w:val="009B68E9"/>
    <w:rsid w:val="009B6969"/>
    <w:rsid w:val="009B6AA7"/>
    <w:rsid w:val="009B6C0D"/>
    <w:rsid w:val="009B6D8B"/>
    <w:rsid w:val="009B73CA"/>
    <w:rsid w:val="009B766D"/>
    <w:rsid w:val="009B79D3"/>
    <w:rsid w:val="009B7BD8"/>
    <w:rsid w:val="009B7C0E"/>
    <w:rsid w:val="009B7C4B"/>
    <w:rsid w:val="009B7E0A"/>
    <w:rsid w:val="009B7E67"/>
    <w:rsid w:val="009B7F36"/>
    <w:rsid w:val="009C032E"/>
    <w:rsid w:val="009C03C2"/>
    <w:rsid w:val="009C05AA"/>
    <w:rsid w:val="009C07AC"/>
    <w:rsid w:val="009C0E26"/>
    <w:rsid w:val="009C0FC4"/>
    <w:rsid w:val="009C0FE6"/>
    <w:rsid w:val="009C143E"/>
    <w:rsid w:val="009C1533"/>
    <w:rsid w:val="009C1A8A"/>
    <w:rsid w:val="009C1BE9"/>
    <w:rsid w:val="009C241D"/>
    <w:rsid w:val="009C2431"/>
    <w:rsid w:val="009C291C"/>
    <w:rsid w:val="009C2B39"/>
    <w:rsid w:val="009C2BC2"/>
    <w:rsid w:val="009C2E3C"/>
    <w:rsid w:val="009C323C"/>
    <w:rsid w:val="009C32CF"/>
    <w:rsid w:val="009C32E4"/>
    <w:rsid w:val="009C361A"/>
    <w:rsid w:val="009C3786"/>
    <w:rsid w:val="009C3AB9"/>
    <w:rsid w:val="009C3BC9"/>
    <w:rsid w:val="009C3CCB"/>
    <w:rsid w:val="009C3DCC"/>
    <w:rsid w:val="009C421A"/>
    <w:rsid w:val="009C432A"/>
    <w:rsid w:val="009C4409"/>
    <w:rsid w:val="009C4538"/>
    <w:rsid w:val="009C45C4"/>
    <w:rsid w:val="009C4601"/>
    <w:rsid w:val="009C4674"/>
    <w:rsid w:val="009C4839"/>
    <w:rsid w:val="009C483C"/>
    <w:rsid w:val="009C48CD"/>
    <w:rsid w:val="009C48DF"/>
    <w:rsid w:val="009C4A2C"/>
    <w:rsid w:val="009C4C40"/>
    <w:rsid w:val="009C4C41"/>
    <w:rsid w:val="009C4E34"/>
    <w:rsid w:val="009C4FA4"/>
    <w:rsid w:val="009C5014"/>
    <w:rsid w:val="009C5064"/>
    <w:rsid w:val="009C508E"/>
    <w:rsid w:val="009C50BF"/>
    <w:rsid w:val="009C512B"/>
    <w:rsid w:val="009C5336"/>
    <w:rsid w:val="009C53DF"/>
    <w:rsid w:val="009C5626"/>
    <w:rsid w:val="009C5A73"/>
    <w:rsid w:val="009C5A9F"/>
    <w:rsid w:val="009C5C3F"/>
    <w:rsid w:val="009C5CDD"/>
    <w:rsid w:val="009C5CE9"/>
    <w:rsid w:val="009C5F27"/>
    <w:rsid w:val="009C63CF"/>
    <w:rsid w:val="009C699F"/>
    <w:rsid w:val="009C6D22"/>
    <w:rsid w:val="009C6E8F"/>
    <w:rsid w:val="009C70D6"/>
    <w:rsid w:val="009C725D"/>
    <w:rsid w:val="009C72DB"/>
    <w:rsid w:val="009C732D"/>
    <w:rsid w:val="009C7556"/>
    <w:rsid w:val="009C75A6"/>
    <w:rsid w:val="009C75D6"/>
    <w:rsid w:val="009C7849"/>
    <w:rsid w:val="009C7917"/>
    <w:rsid w:val="009C7D4E"/>
    <w:rsid w:val="009C7EFE"/>
    <w:rsid w:val="009D0175"/>
    <w:rsid w:val="009D0312"/>
    <w:rsid w:val="009D03EB"/>
    <w:rsid w:val="009D0406"/>
    <w:rsid w:val="009D08A7"/>
    <w:rsid w:val="009D09FD"/>
    <w:rsid w:val="009D0ACC"/>
    <w:rsid w:val="009D0C42"/>
    <w:rsid w:val="009D0E5D"/>
    <w:rsid w:val="009D0F46"/>
    <w:rsid w:val="009D0FED"/>
    <w:rsid w:val="009D100F"/>
    <w:rsid w:val="009D1166"/>
    <w:rsid w:val="009D13DE"/>
    <w:rsid w:val="009D1666"/>
    <w:rsid w:val="009D1942"/>
    <w:rsid w:val="009D1B27"/>
    <w:rsid w:val="009D1C89"/>
    <w:rsid w:val="009D1FA5"/>
    <w:rsid w:val="009D1FA8"/>
    <w:rsid w:val="009D26A1"/>
    <w:rsid w:val="009D2BD5"/>
    <w:rsid w:val="009D2D5A"/>
    <w:rsid w:val="009D2DCE"/>
    <w:rsid w:val="009D3010"/>
    <w:rsid w:val="009D3327"/>
    <w:rsid w:val="009D3508"/>
    <w:rsid w:val="009D3765"/>
    <w:rsid w:val="009D3775"/>
    <w:rsid w:val="009D3876"/>
    <w:rsid w:val="009D3940"/>
    <w:rsid w:val="009D3BA1"/>
    <w:rsid w:val="009D3F8F"/>
    <w:rsid w:val="009D3FCB"/>
    <w:rsid w:val="009D4115"/>
    <w:rsid w:val="009D46E0"/>
    <w:rsid w:val="009D48DF"/>
    <w:rsid w:val="009D49DE"/>
    <w:rsid w:val="009D4B37"/>
    <w:rsid w:val="009D4FD4"/>
    <w:rsid w:val="009D50A1"/>
    <w:rsid w:val="009D5106"/>
    <w:rsid w:val="009D5291"/>
    <w:rsid w:val="009D52D4"/>
    <w:rsid w:val="009D533B"/>
    <w:rsid w:val="009D5457"/>
    <w:rsid w:val="009D5524"/>
    <w:rsid w:val="009D57C7"/>
    <w:rsid w:val="009D5BE1"/>
    <w:rsid w:val="009D5CCE"/>
    <w:rsid w:val="009D5D11"/>
    <w:rsid w:val="009D5FB5"/>
    <w:rsid w:val="009D6030"/>
    <w:rsid w:val="009D6344"/>
    <w:rsid w:val="009D6363"/>
    <w:rsid w:val="009D6561"/>
    <w:rsid w:val="009D65DA"/>
    <w:rsid w:val="009D664F"/>
    <w:rsid w:val="009D6749"/>
    <w:rsid w:val="009D6A67"/>
    <w:rsid w:val="009D6B60"/>
    <w:rsid w:val="009D6DF1"/>
    <w:rsid w:val="009D6E4B"/>
    <w:rsid w:val="009D6E60"/>
    <w:rsid w:val="009D6FDD"/>
    <w:rsid w:val="009D7026"/>
    <w:rsid w:val="009D7526"/>
    <w:rsid w:val="009D75D7"/>
    <w:rsid w:val="009D773D"/>
    <w:rsid w:val="009D77F5"/>
    <w:rsid w:val="009D7E52"/>
    <w:rsid w:val="009D7FFB"/>
    <w:rsid w:val="009E0026"/>
    <w:rsid w:val="009E03F0"/>
    <w:rsid w:val="009E0597"/>
    <w:rsid w:val="009E074A"/>
    <w:rsid w:val="009E0CD6"/>
    <w:rsid w:val="009E0FFF"/>
    <w:rsid w:val="009E12C7"/>
    <w:rsid w:val="009E14FD"/>
    <w:rsid w:val="009E15D2"/>
    <w:rsid w:val="009E1636"/>
    <w:rsid w:val="009E174F"/>
    <w:rsid w:val="009E197C"/>
    <w:rsid w:val="009E19F3"/>
    <w:rsid w:val="009E1CFF"/>
    <w:rsid w:val="009E1DC3"/>
    <w:rsid w:val="009E1EE5"/>
    <w:rsid w:val="009E2038"/>
    <w:rsid w:val="009E2227"/>
    <w:rsid w:val="009E26AE"/>
    <w:rsid w:val="009E2D20"/>
    <w:rsid w:val="009E3052"/>
    <w:rsid w:val="009E30DA"/>
    <w:rsid w:val="009E312D"/>
    <w:rsid w:val="009E3303"/>
    <w:rsid w:val="009E339E"/>
    <w:rsid w:val="009E349B"/>
    <w:rsid w:val="009E357F"/>
    <w:rsid w:val="009E363B"/>
    <w:rsid w:val="009E38FD"/>
    <w:rsid w:val="009E39CA"/>
    <w:rsid w:val="009E3C8A"/>
    <w:rsid w:val="009E3D75"/>
    <w:rsid w:val="009E3F0A"/>
    <w:rsid w:val="009E4021"/>
    <w:rsid w:val="009E4121"/>
    <w:rsid w:val="009E42A6"/>
    <w:rsid w:val="009E42B6"/>
    <w:rsid w:val="009E42D7"/>
    <w:rsid w:val="009E46B0"/>
    <w:rsid w:val="009E4760"/>
    <w:rsid w:val="009E47B5"/>
    <w:rsid w:val="009E494C"/>
    <w:rsid w:val="009E4ACC"/>
    <w:rsid w:val="009E4B4B"/>
    <w:rsid w:val="009E50B0"/>
    <w:rsid w:val="009E50DF"/>
    <w:rsid w:val="009E5713"/>
    <w:rsid w:val="009E5B8D"/>
    <w:rsid w:val="009E5BC5"/>
    <w:rsid w:val="009E5F22"/>
    <w:rsid w:val="009E646A"/>
    <w:rsid w:val="009E651E"/>
    <w:rsid w:val="009E65EE"/>
    <w:rsid w:val="009E6B4C"/>
    <w:rsid w:val="009E6C1B"/>
    <w:rsid w:val="009E7155"/>
    <w:rsid w:val="009E7292"/>
    <w:rsid w:val="009E72B6"/>
    <w:rsid w:val="009E73D7"/>
    <w:rsid w:val="009E74A9"/>
    <w:rsid w:val="009E74B4"/>
    <w:rsid w:val="009E75AC"/>
    <w:rsid w:val="009E7A80"/>
    <w:rsid w:val="009E7B95"/>
    <w:rsid w:val="009E7E6E"/>
    <w:rsid w:val="009E7F07"/>
    <w:rsid w:val="009E7F10"/>
    <w:rsid w:val="009F03CC"/>
    <w:rsid w:val="009F049C"/>
    <w:rsid w:val="009F04A3"/>
    <w:rsid w:val="009F0537"/>
    <w:rsid w:val="009F05FF"/>
    <w:rsid w:val="009F080D"/>
    <w:rsid w:val="009F0D81"/>
    <w:rsid w:val="009F0EA8"/>
    <w:rsid w:val="009F0F20"/>
    <w:rsid w:val="009F1238"/>
    <w:rsid w:val="009F125D"/>
    <w:rsid w:val="009F1737"/>
    <w:rsid w:val="009F18DF"/>
    <w:rsid w:val="009F1972"/>
    <w:rsid w:val="009F1A65"/>
    <w:rsid w:val="009F1CFF"/>
    <w:rsid w:val="009F1EE6"/>
    <w:rsid w:val="009F20B3"/>
    <w:rsid w:val="009F2367"/>
    <w:rsid w:val="009F2A27"/>
    <w:rsid w:val="009F2A83"/>
    <w:rsid w:val="009F2ACD"/>
    <w:rsid w:val="009F2D00"/>
    <w:rsid w:val="009F2F22"/>
    <w:rsid w:val="009F3158"/>
    <w:rsid w:val="009F3282"/>
    <w:rsid w:val="009F3671"/>
    <w:rsid w:val="009F40BE"/>
    <w:rsid w:val="009F410A"/>
    <w:rsid w:val="009F4467"/>
    <w:rsid w:val="009F44DD"/>
    <w:rsid w:val="009F4525"/>
    <w:rsid w:val="009F46B5"/>
    <w:rsid w:val="009F4AE8"/>
    <w:rsid w:val="009F4BB8"/>
    <w:rsid w:val="009F53B3"/>
    <w:rsid w:val="009F568A"/>
    <w:rsid w:val="009F5C37"/>
    <w:rsid w:val="009F5D97"/>
    <w:rsid w:val="009F5E4F"/>
    <w:rsid w:val="009F5E57"/>
    <w:rsid w:val="009F5E87"/>
    <w:rsid w:val="009F616D"/>
    <w:rsid w:val="009F6386"/>
    <w:rsid w:val="009F63EA"/>
    <w:rsid w:val="009F64B8"/>
    <w:rsid w:val="009F67D4"/>
    <w:rsid w:val="009F67E3"/>
    <w:rsid w:val="009F6AC2"/>
    <w:rsid w:val="009F6E94"/>
    <w:rsid w:val="009F6F60"/>
    <w:rsid w:val="009F7495"/>
    <w:rsid w:val="009F74D3"/>
    <w:rsid w:val="009F7659"/>
    <w:rsid w:val="009F77D9"/>
    <w:rsid w:val="009F7CB8"/>
    <w:rsid w:val="009F7E0A"/>
    <w:rsid w:val="009F7EE3"/>
    <w:rsid w:val="00A0039B"/>
    <w:rsid w:val="00A0039D"/>
    <w:rsid w:val="00A008D0"/>
    <w:rsid w:val="00A009DD"/>
    <w:rsid w:val="00A00DB9"/>
    <w:rsid w:val="00A00F45"/>
    <w:rsid w:val="00A01042"/>
    <w:rsid w:val="00A0104D"/>
    <w:rsid w:val="00A01327"/>
    <w:rsid w:val="00A01386"/>
    <w:rsid w:val="00A017C4"/>
    <w:rsid w:val="00A019FF"/>
    <w:rsid w:val="00A01BC6"/>
    <w:rsid w:val="00A01CBC"/>
    <w:rsid w:val="00A01DD6"/>
    <w:rsid w:val="00A01E8C"/>
    <w:rsid w:val="00A020EC"/>
    <w:rsid w:val="00A0217D"/>
    <w:rsid w:val="00A0222F"/>
    <w:rsid w:val="00A02422"/>
    <w:rsid w:val="00A02544"/>
    <w:rsid w:val="00A02779"/>
    <w:rsid w:val="00A0282F"/>
    <w:rsid w:val="00A029A2"/>
    <w:rsid w:val="00A02B2A"/>
    <w:rsid w:val="00A02B3F"/>
    <w:rsid w:val="00A02C4A"/>
    <w:rsid w:val="00A02FCE"/>
    <w:rsid w:val="00A03127"/>
    <w:rsid w:val="00A0355D"/>
    <w:rsid w:val="00A0364B"/>
    <w:rsid w:val="00A03BFD"/>
    <w:rsid w:val="00A03EDC"/>
    <w:rsid w:val="00A04209"/>
    <w:rsid w:val="00A04279"/>
    <w:rsid w:val="00A04337"/>
    <w:rsid w:val="00A044E5"/>
    <w:rsid w:val="00A046F2"/>
    <w:rsid w:val="00A0490B"/>
    <w:rsid w:val="00A04BC3"/>
    <w:rsid w:val="00A04D34"/>
    <w:rsid w:val="00A04D4D"/>
    <w:rsid w:val="00A04F2A"/>
    <w:rsid w:val="00A04F66"/>
    <w:rsid w:val="00A05143"/>
    <w:rsid w:val="00A05152"/>
    <w:rsid w:val="00A0548A"/>
    <w:rsid w:val="00A05616"/>
    <w:rsid w:val="00A056F8"/>
    <w:rsid w:val="00A05B72"/>
    <w:rsid w:val="00A05C1A"/>
    <w:rsid w:val="00A05C36"/>
    <w:rsid w:val="00A05F8E"/>
    <w:rsid w:val="00A06055"/>
    <w:rsid w:val="00A0659D"/>
    <w:rsid w:val="00A06717"/>
    <w:rsid w:val="00A0682A"/>
    <w:rsid w:val="00A06924"/>
    <w:rsid w:val="00A06B97"/>
    <w:rsid w:val="00A07221"/>
    <w:rsid w:val="00A07321"/>
    <w:rsid w:val="00A073B8"/>
    <w:rsid w:val="00A07572"/>
    <w:rsid w:val="00A077C1"/>
    <w:rsid w:val="00A07883"/>
    <w:rsid w:val="00A07D96"/>
    <w:rsid w:val="00A10137"/>
    <w:rsid w:val="00A10219"/>
    <w:rsid w:val="00A1033A"/>
    <w:rsid w:val="00A1047E"/>
    <w:rsid w:val="00A1068C"/>
    <w:rsid w:val="00A10BD6"/>
    <w:rsid w:val="00A10E0E"/>
    <w:rsid w:val="00A10EDD"/>
    <w:rsid w:val="00A10FED"/>
    <w:rsid w:val="00A110C1"/>
    <w:rsid w:val="00A11171"/>
    <w:rsid w:val="00A111C3"/>
    <w:rsid w:val="00A111D9"/>
    <w:rsid w:val="00A11213"/>
    <w:rsid w:val="00A11444"/>
    <w:rsid w:val="00A1160D"/>
    <w:rsid w:val="00A117CE"/>
    <w:rsid w:val="00A11DA6"/>
    <w:rsid w:val="00A1213F"/>
    <w:rsid w:val="00A12157"/>
    <w:rsid w:val="00A123BE"/>
    <w:rsid w:val="00A12413"/>
    <w:rsid w:val="00A12705"/>
    <w:rsid w:val="00A12902"/>
    <w:rsid w:val="00A12932"/>
    <w:rsid w:val="00A12C1F"/>
    <w:rsid w:val="00A12C71"/>
    <w:rsid w:val="00A12CDB"/>
    <w:rsid w:val="00A12D3D"/>
    <w:rsid w:val="00A12ED4"/>
    <w:rsid w:val="00A13107"/>
    <w:rsid w:val="00A1315D"/>
    <w:rsid w:val="00A13253"/>
    <w:rsid w:val="00A13407"/>
    <w:rsid w:val="00A1347E"/>
    <w:rsid w:val="00A1381A"/>
    <w:rsid w:val="00A13D90"/>
    <w:rsid w:val="00A13E29"/>
    <w:rsid w:val="00A13E39"/>
    <w:rsid w:val="00A13E3C"/>
    <w:rsid w:val="00A14318"/>
    <w:rsid w:val="00A143EA"/>
    <w:rsid w:val="00A144C2"/>
    <w:rsid w:val="00A1461F"/>
    <w:rsid w:val="00A147FE"/>
    <w:rsid w:val="00A148D6"/>
    <w:rsid w:val="00A148F6"/>
    <w:rsid w:val="00A14981"/>
    <w:rsid w:val="00A14AC7"/>
    <w:rsid w:val="00A14D4C"/>
    <w:rsid w:val="00A14F70"/>
    <w:rsid w:val="00A1533B"/>
    <w:rsid w:val="00A1546D"/>
    <w:rsid w:val="00A15745"/>
    <w:rsid w:val="00A158D1"/>
    <w:rsid w:val="00A15C67"/>
    <w:rsid w:val="00A162C8"/>
    <w:rsid w:val="00A16364"/>
    <w:rsid w:val="00A1658E"/>
    <w:rsid w:val="00A1679A"/>
    <w:rsid w:val="00A167F6"/>
    <w:rsid w:val="00A16833"/>
    <w:rsid w:val="00A1687B"/>
    <w:rsid w:val="00A16D6D"/>
    <w:rsid w:val="00A16DCA"/>
    <w:rsid w:val="00A16ECF"/>
    <w:rsid w:val="00A17030"/>
    <w:rsid w:val="00A17073"/>
    <w:rsid w:val="00A17166"/>
    <w:rsid w:val="00A172DD"/>
    <w:rsid w:val="00A17477"/>
    <w:rsid w:val="00A17A03"/>
    <w:rsid w:val="00A17C2D"/>
    <w:rsid w:val="00A17D7C"/>
    <w:rsid w:val="00A17EEC"/>
    <w:rsid w:val="00A20067"/>
    <w:rsid w:val="00A2007C"/>
    <w:rsid w:val="00A203B2"/>
    <w:rsid w:val="00A20595"/>
    <w:rsid w:val="00A20847"/>
    <w:rsid w:val="00A2089C"/>
    <w:rsid w:val="00A20C34"/>
    <w:rsid w:val="00A20C4E"/>
    <w:rsid w:val="00A21113"/>
    <w:rsid w:val="00A21120"/>
    <w:rsid w:val="00A2140A"/>
    <w:rsid w:val="00A21688"/>
    <w:rsid w:val="00A218B7"/>
    <w:rsid w:val="00A21C4D"/>
    <w:rsid w:val="00A21DD5"/>
    <w:rsid w:val="00A22324"/>
    <w:rsid w:val="00A2244F"/>
    <w:rsid w:val="00A22899"/>
    <w:rsid w:val="00A228A5"/>
    <w:rsid w:val="00A22E77"/>
    <w:rsid w:val="00A22E9E"/>
    <w:rsid w:val="00A2322A"/>
    <w:rsid w:val="00A23900"/>
    <w:rsid w:val="00A2393F"/>
    <w:rsid w:val="00A23A50"/>
    <w:rsid w:val="00A23E4C"/>
    <w:rsid w:val="00A23F71"/>
    <w:rsid w:val="00A2416B"/>
    <w:rsid w:val="00A24281"/>
    <w:rsid w:val="00A2432F"/>
    <w:rsid w:val="00A243E1"/>
    <w:rsid w:val="00A243ED"/>
    <w:rsid w:val="00A24438"/>
    <w:rsid w:val="00A24524"/>
    <w:rsid w:val="00A24795"/>
    <w:rsid w:val="00A249E6"/>
    <w:rsid w:val="00A2528D"/>
    <w:rsid w:val="00A253FE"/>
    <w:rsid w:val="00A25609"/>
    <w:rsid w:val="00A258BE"/>
    <w:rsid w:val="00A25B2A"/>
    <w:rsid w:val="00A25F1F"/>
    <w:rsid w:val="00A25F31"/>
    <w:rsid w:val="00A25F87"/>
    <w:rsid w:val="00A25FB5"/>
    <w:rsid w:val="00A2615E"/>
    <w:rsid w:val="00A2631C"/>
    <w:rsid w:val="00A26486"/>
    <w:rsid w:val="00A26611"/>
    <w:rsid w:val="00A26700"/>
    <w:rsid w:val="00A26738"/>
    <w:rsid w:val="00A267AF"/>
    <w:rsid w:val="00A2692A"/>
    <w:rsid w:val="00A26DFF"/>
    <w:rsid w:val="00A26F2D"/>
    <w:rsid w:val="00A26FF0"/>
    <w:rsid w:val="00A2720A"/>
    <w:rsid w:val="00A2730E"/>
    <w:rsid w:val="00A2737F"/>
    <w:rsid w:val="00A27602"/>
    <w:rsid w:val="00A276D2"/>
    <w:rsid w:val="00A27848"/>
    <w:rsid w:val="00A279BB"/>
    <w:rsid w:val="00A27AAC"/>
    <w:rsid w:val="00A27DCF"/>
    <w:rsid w:val="00A30107"/>
    <w:rsid w:val="00A301DF"/>
    <w:rsid w:val="00A305A9"/>
    <w:rsid w:val="00A306A3"/>
    <w:rsid w:val="00A307ED"/>
    <w:rsid w:val="00A308B5"/>
    <w:rsid w:val="00A308D5"/>
    <w:rsid w:val="00A30924"/>
    <w:rsid w:val="00A309D0"/>
    <w:rsid w:val="00A30A2B"/>
    <w:rsid w:val="00A30C69"/>
    <w:rsid w:val="00A30EE4"/>
    <w:rsid w:val="00A31372"/>
    <w:rsid w:val="00A31409"/>
    <w:rsid w:val="00A31923"/>
    <w:rsid w:val="00A31978"/>
    <w:rsid w:val="00A31A86"/>
    <w:rsid w:val="00A31AB4"/>
    <w:rsid w:val="00A31D27"/>
    <w:rsid w:val="00A32068"/>
    <w:rsid w:val="00A32141"/>
    <w:rsid w:val="00A324CE"/>
    <w:rsid w:val="00A32557"/>
    <w:rsid w:val="00A32821"/>
    <w:rsid w:val="00A3284A"/>
    <w:rsid w:val="00A32873"/>
    <w:rsid w:val="00A328F9"/>
    <w:rsid w:val="00A3291F"/>
    <w:rsid w:val="00A329ED"/>
    <w:rsid w:val="00A32A28"/>
    <w:rsid w:val="00A32A97"/>
    <w:rsid w:val="00A32B6F"/>
    <w:rsid w:val="00A32C8A"/>
    <w:rsid w:val="00A32DA8"/>
    <w:rsid w:val="00A32F17"/>
    <w:rsid w:val="00A33068"/>
    <w:rsid w:val="00A33073"/>
    <w:rsid w:val="00A3310D"/>
    <w:rsid w:val="00A33587"/>
    <w:rsid w:val="00A335A8"/>
    <w:rsid w:val="00A33622"/>
    <w:rsid w:val="00A33658"/>
    <w:rsid w:val="00A33862"/>
    <w:rsid w:val="00A339EC"/>
    <w:rsid w:val="00A33A9C"/>
    <w:rsid w:val="00A33C10"/>
    <w:rsid w:val="00A33D27"/>
    <w:rsid w:val="00A33DA1"/>
    <w:rsid w:val="00A33FC1"/>
    <w:rsid w:val="00A34285"/>
    <w:rsid w:val="00A3452C"/>
    <w:rsid w:val="00A346AD"/>
    <w:rsid w:val="00A349D0"/>
    <w:rsid w:val="00A35022"/>
    <w:rsid w:val="00A35038"/>
    <w:rsid w:val="00A3506B"/>
    <w:rsid w:val="00A350A6"/>
    <w:rsid w:val="00A35319"/>
    <w:rsid w:val="00A353F2"/>
    <w:rsid w:val="00A35402"/>
    <w:rsid w:val="00A35621"/>
    <w:rsid w:val="00A35C64"/>
    <w:rsid w:val="00A35D0D"/>
    <w:rsid w:val="00A35DC2"/>
    <w:rsid w:val="00A3616A"/>
    <w:rsid w:val="00A368FC"/>
    <w:rsid w:val="00A36972"/>
    <w:rsid w:val="00A36DB2"/>
    <w:rsid w:val="00A36E25"/>
    <w:rsid w:val="00A3701D"/>
    <w:rsid w:val="00A37195"/>
    <w:rsid w:val="00A37673"/>
    <w:rsid w:val="00A377FE"/>
    <w:rsid w:val="00A379F0"/>
    <w:rsid w:val="00A40017"/>
    <w:rsid w:val="00A40025"/>
    <w:rsid w:val="00A408B8"/>
    <w:rsid w:val="00A40C9B"/>
    <w:rsid w:val="00A40D55"/>
    <w:rsid w:val="00A40EBD"/>
    <w:rsid w:val="00A41211"/>
    <w:rsid w:val="00A4125C"/>
    <w:rsid w:val="00A4139A"/>
    <w:rsid w:val="00A413EE"/>
    <w:rsid w:val="00A414BB"/>
    <w:rsid w:val="00A414E4"/>
    <w:rsid w:val="00A41555"/>
    <w:rsid w:val="00A41A0B"/>
    <w:rsid w:val="00A41BAD"/>
    <w:rsid w:val="00A41E72"/>
    <w:rsid w:val="00A42034"/>
    <w:rsid w:val="00A421DB"/>
    <w:rsid w:val="00A421F1"/>
    <w:rsid w:val="00A4225B"/>
    <w:rsid w:val="00A422C9"/>
    <w:rsid w:val="00A42371"/>
    <w:rsid w:val="00A42574"/>
    <w:rsid w:val="00A42981"/>
    <w:rsid w:val="00A42DE0"/>
    <w:rsid w:val="00A4375B"/>
    <w:rsid w:val="00A43780"/>
    <w:rsid w:val="00A437BE"/>
    <w:rsid w:val="00A43AF4"/>
    <w:rsid w:val="00A44091"/>
    <w:rsid w:val="00A4420C"/>
    <w:rsid w:val="00A44658"/>
    <w:rsid w:val="00A4466E"/>
    <w:rsid w:val="00A44690"/>
    <w:rsid w:val="00A44943"/>
    <w:rsid w:val="00A44B86"/>
    <w:rsid w:val="00A44C87"/>
    <w:rsid w:val="00A44EDB"/>
    <w:rsid w:val="00A45028"/>
    <w:rsid w:val="00A450D5"/>
    <w:rsid w:val="00A45403"/>
    <w:rsid w:val="00A454A3"/>
    <w:rsid w:val="00A4559F"/>
    <w:rsid w:val="00A45836"/>
    <w:rsid w:val="00A45A36"/>
    <w:rsid w:val="00A45B8E"/>
    <w:rsid w:val="00A45C45"/>
    <w:rsid w:val="00A45DE8"/>
    <w:rsid w:val="00A45EA1"/>
    <w:rsid w:val="00A45EE7"/>
    <w:rsid w:val="00A46670"/>
    <w:rsid w:val="00A46789"/>
    <w:rsid w:val="00A46B89"/>
    <w:rsid w:val="00A46BB7"/>
    <w:rsid w:val="00A46C0E"/>
    <w:rsid w:val="00A46C61"/>
    <w:rsid w:val="00A46D35"/>
    <w:rsid w:val="00A46E4F"/>
    <w:rsid w:val="00A46E5F"/>
    <w:rsid w:val="00A46EA5"/>
    <w:rsid w:val="00A47334"/>
    <w:rsid w:val="00A473F9"/>
    <w:rsid w:val="00A47791"/>
    <w:rsid w:val="00A47838"/>
    <w:rsid w:val="00A47903"/>
    <w:rsid w:val="00A47AAC"/>
    <w:rsid w:val="00A47D0C"/>
    <w:rsid w:val="00A47FA6"/>
    <w:rsid w:val="00A47FA9"/>
    <w:rsid w:val="00A501F7"/>
    <w:rsid w:val="00A50270"/>
    <w:rsid w:val="00A50297"/>
    <w:rsid w:val="00A50518"/>
    <w:rsid w:val="00A50765"/>
    <w:rsid w:val="00A50D7C"/>
    <w:rsid w:val="00A50E2C"/>
    <w:rsid w:val="00A512A6"/>
    <w:rsid w:val="00A51382"/>
    <w:rsid w:val="00A51590"/>
    <w:rsid w:val="00A51653"/>
    <w:rsid w:val="00A516A1"/>
    <w:rsid w:val="00A51C25"/>
    <w:rsid w:val="00A51D99"/>
    <w:rsid w:val="00A51EF5"/>
    <w:rsid w:val="00A52109"/>
    <w:rsid w:val="00A52273"/>
    <w:rsid w:val="00A523EC"/>
    <w:rsid w:val="00A527F4"/>
    <w:rsid w:val="00A52851"/>
    <w:rsid w:val="00A52962"/>
    <w:rsid w:val="00A52B36"/>
    <w:rsid w:val="00A530E2"/>
    <w:rsid w:val="00A5326C"/>
    <w:rsid w:val="00A53337"/>
    <w:rsid w:val="00A534A0"/>
    <w:rsid w:val="00A53622"/>
    <w:rsid w:val="00A539E7"/>
    <w:rsid w:val="00A53C73"/>
    <w:rsid w:val="00A543A9"/>
    <w:rsid w:val="00A543ED"/>
    <w:rsid w:val="00A54621"/>
    <w:rsid w:val="00A54959"/>
    <w:rsid w:val="00A5511B"/>
    <w:rsid w:val="00A552DC"/>
    <w:rsid w:val="00A557EA"/>
    <w:rsid w:val="00A5585D"/>
    <w:rsid w:val="00A55A6F"/>
    <w:rsid w:val="00A55A75"/>
    <w:rsid w:val="00A55A82"/>
    <w:rsid w:val="00A55B7A"/>
    <w:rsid w:val="00A55D69"/>
    <w:rsid w:val="00A55E87"/>
    <w:rsid w:val="00A55E8C"/>
    <w:rsid w:val="00A55F0C"/>
    <w:rsid w:val="00A55FAE"/>
    <w:rsid w:val="00A561F4"/>
    <w:rsid w:val="00A5627B"/>
    <w:rsid w:val="00A56858"/>
    <w:rsid w:val="00A56B4F"/>
    <w:rsid w:val="00A56C30"/>
    <w:rsid w:val="00A56C45"/>
    <w:rsid w:val="00A56C68"/>
    <w:rsid w:val="00A56C73"/>
    <w:rsid w:val="00A56DAF"/>
    <w:rsid w:val="00A56EC8"/>
    <w:rsid w:val="00A56EF2"/>
    <w:rsid w:val="00A56FAD"/>
    <w:rsid w:val="00A57020"/>
    <w:rsid w:val="00A572E5"/>
    <w:rsid w:val="00A57385"/>
    <w:rsid w:val="00A573B3"/>
    <w:rsid w:val="00A573D8"/>
    <w:rsid w:val="00A5754A"/>
    <w:rsid w:val="00A576B0"/>
    <w:rsid w:val="00A57713"/>
    <w:rsid w:val="00A577E7"/>
    <w:rsid w:val="00A57B3B"/>
    <w:rsid w:val="00A57C29"/>
    <w:rsid w:val="00A6005A"/>
    <w:rsid w:val="00A60102"/>
    <w:rsid w:val="00A601F0"/>
    <w:rsid w:val="00A6039C"/>
    <w:rsid w:val="00A60601"/>
    <w:rsid w:val="00A60AE9"/>
    <w:rsid w:val="00A6132E"/>
    <w:rsid w:val="00A6166E"/>
    <w:rsid w:val="00A61680"/>
    <w:rsid w:val="00A61B35"/>
    <w:rsid w:val="00A61D98"/>
    <w:rsid w:val="00A61DEE"/>
    <w:rsid w:val="00A6206F"/>
    <w:rsid w:val="00A6213B"/>
    <w:rsid w:val="00A622B4"/>
    <w:rsid w:val="00A623DA"/>
    <w:rsid w:val="00A62413"/>
    <w:rsid w:val="00A62A67"/>
    <w:rsid w:val="00A63139"/>
    <w:rsid w:val="00A6345A"/>
    <w:rsid w:val="00A634F7"/>
    <w:rsid w:val="00A63597"/>
    <w:rsid w:val="00A6359C"/>
    <w:rsid w:val="00A635AE"/>
    <w:rsid w:val="00A63640"/>
    <w:rsid w:val="00A636AA"/>
    <w:rsid w:val="00A636DD"/>
    <w:rsid w:val="00A636F6"/>
    <w:rsid w:val="00A636F7"/>
    <w:rsid w:val="00A63842"/>
    <w:rsid w:val="00A64020"/>
    <w:rsid w:val="00A64024"/>
    <w:rsid w:val="00A64A65"/>
    <w:rsid w:val="00A64B67"/>
    <w:rsid w:val="00A650DD"/>
    <w:rsid w:val="00A65117"/>
    <w:rsid w:val="00A651FD"/>
    <w:rsid w:val="00A653AF"/>
    <w:rsid w:val="00A65546"/>
    <w:rsid w:val="00A65689"/>
    <w:rsid w:val="00A657FF"/>
    <w:rsid w:val="00A658B3"/>
    <w:rsid w:val="00A65A0E"/>
    <w:rsid w:val="00A65DC4"/>
    <w:rsid w:val="00A6631C"/>
    <w:rsid w:val="00A6674F"/>
    <w:rsid w:val="00A66ED6"/>
    <w:rsid w:val="00A66F86"/>
    <w:rsid w:val="00A6726D"/>
    <w:rsid w:val="00A67315"/>
    <w:rsid w:val="00A6738E"/>
    <w:rsid w:val="00A67456"/>
    <w:rsid w:val="00A6749C"/>
    <w:rsid w:val="00A675A9"/>
    <w:rsid w:val="00A67AC1"/>
    <w:rsid w:val="00A67B01"/>
    <w:rsid w:val="00A67BDB"/>
    <w:rsid w:val="00A67CD8"/>
    <w:rsid w:val="00A70156"/>
    <w:rsid w:val="00A70595"/>
    <w:rsid w:val="00A7094D"/>
    <w:rsid w:val="00A70B1F"/>
    <w:rsid w:val="00A70B7D"/>
    <w:rsid w:val="00A70C89"/>
    <w:rsid w:val="00A70DC0"/>
    <w:rsid w:val="00A71372"/>
    <w:rsid w:val="00A71409"/>
    <w:rsid w:val="00A71415"/>
    <w:rsid w:val="00A7148A"/>
    <w:rsid w:val="00A71672"/>
    <w:rsid w:val="00A7181B"/>
    <w:rsid w:val="00A71861"/>
    <w:rsid w:val="00A71A6E"/>
    <w:rsid w:val="00A71B19"/>
    <w:rsid w:val="00A71B5B"/>
    <w:rsid w:val="00A71B8C"/>
    <w:rsid w:val="00A71B98"/>
    <w:rsid w:val="00A71BB0"/>
    <w:rsid w:val="00A71E8C"/>
    <w:rsid w:val="00A72308"/>
    <w:rsid w:val="00A72548"/>
    <w:rsid w:val="00A7276F"/>
    <w:rsid w:val="00A728F0"/>
    <w:rsid w:val="00A72C4F"/>
    <w:rsid w:val="00A72C55"/>
    <w:rsid w:val="00A72CB5"/>
    <w:rsid w:val="00A72E97"/>
    <w:rsid w:val="00A7300F"/>
    <w:rsid w:val="00A73198"/>
    <w:rsid w:val="00A73A04"/>
    <w:rsid w:val="00A73A42"/>
    <w:rsid w:val="00A73B6A"/>
    <w:rsid w:val="00A73D50"/>
    <w:rsid w:val="00A73F0D"/>
    <w:rsid w:val="00A740E1"/>
    <w:rsid w:val="00A741E0"/>
    <w:rsid w:val="00A74426"/>
    <w:rsid w:val="00A7446E"/>
    <w:rsid w:val="00A74616"/>
    <w:rsid w:val="00A74786"/>
    <w:rsid w:val="00A74CC8"/>
    <w:rsid w:val="00A74D8E"/>
    <w:rsid w:val="00A74DCD"/>
    <w:rsid w:val="00A74FC2"/>
    <w:rsid w:val="00A75400"/>
    <w:rsid w:val="00A755CF"/>
    <w:rsid w:val="00A75901"/>
    <w:rsid w:val="00A759E8"/>
    <w:rsid w:val="00A75B9A"/>
    <w:rsid w:val="00A75BDF"/>
    <w:rsid w:val="00A75D54"/>
    <w:rsid w:val="00A7602A"/>
    <w:rsid w:val="00A760C3"/>
    <w:rsid w:val="00A761C3"/>
    <w:rsid w:val="00A76205"/>
    <w:rsid w:val="00A76366"/>
    <w:rsid w:val="00A76499"/>
    <w:rsid w:val="00A7666B"/>
    <w:rsid w:val="00A766FF"/>
    <w:rsid w:val="00A76975"/>
    <w:rsid w:val="00A76BB2"/>
    <w:rsid w:val="00A76DC0"/>
    <w:rsid w:val="00A770F0"/>
    <w:rsid w:val="00A77470"/>
    <w:rsid w:val="00A77523"/>
    <w:rsid w:val="00A77767"/>
    <w:rsid w:val="00A778A5"/>
    <w:rsid w:val="00A77912"/>
    <w:rsid w:val="00A77B0C"/>
    <w:rsid w:val="00A77D3F"/>
    <w:rsid w:val="00A77F57"/>
    <w:rsid w:val="00A8001D"/>
    <w:rsid w:val="00A800A7"/>
    <w:rsid w:val="00A80105"/>
    <w:rsid w:val="00A80549"/>
    <w:rsid w:val="00A80691"/>
    <w:rsid w:val="00A80BAC"/>
    <w:rsid w:val="00A80C6F"/>
    <w:rsid w:val="00A80DA1"/>
    <w:rsid w:val="00A81133"/>
    <w:rsid w:val="00A8116F"/>
    <w:rsid w:val="00A8118E"/>
    <w:rsid w:val="00A81226"/>
    <w:rsid w:val="00A81357"/>
    <w:rsid w:val="00A817C4"/>
    <w:rsid w:val="00A81966"/>
    <w:rsid w:val="00A81ADF"/>
    <w:rsid w:val="00A81BAA"/>
    <w:rsid w:val="00A8212F"/>
    <w:rsid w:val="00A821E2"/>
    <w:rsid w:val="00A8224F"/>
    <w:rsid w:val="00A828AF"/>
    <w:rsid w:val="00A82BA1"/>
    <w:rsid w:val="00A82C74"/>
    <w:rsid w:val="00A82CF8"/>
    <w:rsid w:val="00A82F00"/>
    <w:rsid w:val="00A82F3C"/>
    <w:rsid w:val="00A83064"/>
    <w:rsid w:val="00A83191"/>
    <w:rsid w:val="00A832AC"/>
    <w:rsid w:val="00A83311"/>
    <w:rsid w:val="00A8374C"/>
    <w:rsid w:val="00A83795"/>
    <w:rsid w:val="00A837FF"/>
    <w:rsid w:val="00A83B24"/>
    <w:rsid w:val="00A83BAF"/>
    <w:rsid w:val="00A83CB4"/>
    <w:rsid w:val="00A83FC3"/>
    <w:rsid w:val="00A84265"/>
    <w:rsid w:val="00A84340"/>
    <w:rsid w:val="00A84531"/>
    <w:rsid w:val="00A8454C"/>
    <w:rsid w:val="00A84677"/>
    <w:rsid w:val="00A84A86"/>
    <w:rsid w:val="00A84D7E"/>
    <w:rsid w:val="00A85212"/>
    <w:rsid w:val="00A8550E"/>
    <w:rsid w:val="00A85838"/>
    <w:rsid w:val="00A85AF5"/>
    <w:rsid w:val="00A85B5B"/>
    <w:rsid w:val="00A85BD7"/>
    <w:rsid w:val="00A85CC8"/>
    <w:rsid w:val="00A86794"/>
    <w:rsid w:val="00A867ED"/>
    <w:rsid w:val="00A86B7E"/>
    <w:rsid w:val="00A86F11"/>
    <w:rsid w:val="00A87293"/>
    <w:rsid w:val="00A87723"/>
    <w:rsid w:val="00A879BA"/>
    <w:rsid w:val="00A87CA8"/>
    <w:rsid w:val="00A87D77"/>
    <w:rsid w:val="00A90005"/>
    <w:rsid w:val="00A90232"/>
    <w:rsid w:val="00A90362"/>
    <w:rsid w:val="00A90626"/>
    <w:rsid w:val="00A906EB"/>
    <w:rsid w:val="00A90A71"/>
    <w:rsid w:val="00A90ED7"/>
    <w:rsid w:val="00A9130A"/>
    <w:rsid w:val="00A9132F"/>
    <w:rsid w:val="00A91412"/>
    <w:rsid w:val="00A91977"/>
    <w:rsid w:val="00A91B72"/>
    <w:rsid w:val="00A91DDC"/>
    <w:rsid w:val="00A920C6"/>
    <w:rsid w:val="00A9276F"/>
    <w:rsid w:val="00A92902"/>
    <w:rsid w:val="00A92AFA"/>
    <w:rsid w:val="00A92B92"/>
    <w:rsid w:val="00A931AF"/>
    <w:rsid w:val="00A93640"/>
    <w:rsid w:val="00A936D2"/>
    <w:rsid w:val="00A93767"/>
    <w:rsid w:val="00A938D7"/>
    <w:rsid w:val="00A93903"/>
    <w:rsid w:val="00A93A1A"/>
    <w:rsid w:val="00A93AFF"/>
    <w:rsid w:val="00A93B6A"/>
    <w:rsid w:val="00A93C0A"/>
    <w:rsid w:val="00A93DDA"/>
    <w:rsid w:val="00A93E5F"/>
    <w:rsid w:val="00A93FE6"/>
    <w:rsid w:val="00A94557"/>
    <w:rsid w:val="00A945A9"/>
    <w:rsid w:val="00A946C7"/>
    <w:rsid w:val="00A94AA6"/>
    <w:rsid w:val="00A94E76"/>
    <w:rsid w:val="00A958C7"/>
    <w:rsid w:val="00A958D5"/>
    <w:rsid w:val="00A95ADA"/>
    <w:rsid w:val="00A95B56"/>
    <w:rsid w:val="00A95E30"/>
    <w:rsid w:val="00A96135"/>
    <w:rsid w:val="00A96327"/>
    <w:rsid w:val="00A96472"/>
    <w:rsid w:val="00A9696D"/>
    <w:rsid w:val="00A96A90"/>
    <w:rsid w:val="00A96F14"/>
    <w:rsid w:val="00A96F6D"/>
    <w:rsid w:val="00A97485"/>
    <w:rsid w:val="00A97691"/>
    <w:rsid w:val="00A976D3"/>
    <w:rsid w:val="00A977E9"/>
    <w:rsid w:val="00A977F4"/>
    <w:rsid w:val="00A97872"/>
    <w:rsid w:val="00A978DD"/>
    <w:rsid w:val="00A9790F"/>
    <w:rsid w:val="00A97A15"/>
    <w:rsid w:val="00A97F8F"/>
    <w:rsid w:val="00AA00D2"/>
    <w:rsid w:val="00AA0185"/>
    <w:rsid w:val="00AA0235"/>
    <w:rsid w:val="00AA03E7"/>
    <w:rsid w:val="00AA06E7"/>
    <w:rsid w:val="00AA0E9A"/>
    <w:rsid w:val="00AA0F9D"/>
    <w:rsid w:val="00AA106A"/>
    <w:rsid w:val="00AA1082"/>
    <w:rsid w:val="00AA10CE"/>
    <w:rsid w:val="00AA114D"/>
    <w:rsid w:val="00AA11D9"/>
    <w:rsid w:val="00AA1280"/>
    <w:rsid w:val="00AA138A"/>
    <w:rsid w:val="00AA13FB"/>
    <w:rsid w:val="00AA1441"/>
    <w:rsid w:val="00AA15BF"/>
    <w:rsid w:val="00AA1725"/>
    <w:rsid w:val="00AA1772"/>
    <w:rsid w:val="00AA1898"/>
    <w:rsid w:val="00AA1B11"/>
    <w:rsid w:val="00AA1D05"/>
    <w:rsid w:val="00AA1E0A"/>
    <w:rsid w:val="00AA1F3A"/>
    <w:rsid w:val="00AA1F3C"/>
    <w:rsid w:val="00AA22E0"/>
    <w:rsid w:val="00AA2511"/>
    <w:rsid w:val="00AA26E2"/>
    <w:rsid w:val="00AA27D1"/>
    <w:rsid w:val="00AA2950"/>
    <w:rsid w:val="00AA2A10"/>
    <w:rsid w:val="00AA2A8A"/>
    <w:rsid w:val="00AA2AD8"/>
    <w:rsid w:val="00AA2C7F"/>
    <w:rsid w:val="00AA30EF"/>
    <w:rsid w:val="00AA3346"/>
    <w:rsid w:val="00AA3367"/>
    <w:rsid w:val="00AA33D2"/>
    <w:rsid w:val="00AA352E"/>
    <w:rsid w:val="00AA38DB"/>
    <w:rsid w:val="00AA3911"/>
    <w:rsid w:val="00AA39AE"/>
    <w:rsid w:val="00AA3CB7"/>
    <w:rsid w:val="00AA407F"/>
    <w:rsid w:val="00AA4220"/>
    <w:rsid w:val="00AA4309"/>
    <w:rsid w:val="00AA4781"/>
    <w:rsid w:val="00AA47BE"/>
    <w:rsid w:val="00AA4A42"/>
    <w:rsid w:val="00AA4BDA"/>
    <w:rsid w:val="00AA4BDF"/>
    <w:rsid w:val="00AA4C6D"/>
    <w:rsid w:val="00AA4CAD"/>
    <w:rsid w:val="00AA4D6F"/>
    <w:rsid w:val="00AA4D88"/>
    <w:rsid w:val="00AA4E6C"/>
    <w:rsid w:val="00AA4F17"/>
    <w:rsid w:val="00AA5449"/>
    <w:rsid w:val="00AA57A0"/>
    <w:rsid w:val="00AA597F"/>
    <w:rsid w:val="00AA5ECD"/>
    <w:rsid w:val="00AA605E"/>
    <w:rsid w:val="00AA650A"/>
    <w:rsid w:val="00AA65F1"/>
    <w:rsid w:val="00AA6E80"/>
    <w:rsid w:val="00AA6F1E"/>
    <w:rsid w:val="00AA6F64"/>
    <w:rsid w:val="00AA6F8C"/>
    <w:rsid w:val="00AA7506"/>
    <w:rsid w:val="00AA7587"/>
    <w:rsid w:val="00AA758E"/>
    <w:rsid w:val="00AA7684"/>
    <w:rsid w:val="00AA780B"/>
    <w:rsid w:val="00AA7955"/>
    <w:rsid w:val="00AA7A5E"/>
    <w:rsid w:val="00AA7A61"/>
    <w:rsid w:val="00AA7B04"/>
    <w:rsid w:val="00AA7DBC"/>
    <w:rsid w:val="00AB00F5"/>
    <w:rsid w:val="00AB0129"/>
    <w:rsid w:val="00AB01AD"/>
    <w:rsid w:val="00AB06A3"/>
    <w:rsid w:val="00AB07AF"/>
    <w:rsid w:val="00AB0B2E"/>
    <w:rsid w:val="00AB0C17"/>
    <w:rsid w:val="00AB0C95"/>
    <w:rsid w:val="00AB0CB7"/>
    <w:rsid w:val="00AB0DD2"/>
    <w:rsid w:val="00AB0E2A"/>
    <w:rsid w:val="00AB1383"/>
    <w:rsid w:val="00AB1710"/>
    <w:rsid w:val="00AB184C"/>
    <w:rsid w:val="00AB18BD"/>
    <w:rsid w:val="00AB194C"/>
    <w:rsid w:val="00AB203C"/>
    <w:rsid w:val="00AB2061"/>
    <w:rsid w:val="00AB21D0"/>
    <w:rsid w:val="00AB23DD"/>
    <w:rsid w:val="00AB2571"/>
    <w:rsid w:val="00AB2572"/>
    <w:rsid w:val="00AB28F5"/>
    <w:rsid w:val="00AB2917"/>
    <w:rsid w:val="00AB29BF"/>
    <w:rsid w:val="00AB2A46"/>
    <w:rsid w:val="00AB2AFC"/>
    <w:rsid w:val="00AB2BBE"/>
    <w:rsid w:val="00AB2C78"/>
    <w:rsid w:val="00AB2DAC"/>
    <w:rsid w:val="00AB3255"/>
    <w:rsid w:val="00AB33AF"/>
    <w:rsid w:val="00AB3550"/>
    <w:rsid w:val="00AB3564"/>
    <w:rsid w:val="00AB38E0"/>
    <w:rsid w:val="00AB3954"/>
    <w:rsid w:val="00AB3D3C"/>
    <w:rsid w:val="00AB3F17"/>
    <w:rsid w:val="00AB4343"/>
    <w:rsid w:val="00AB43C9"/>
    <w:rsid w:val="00AB4464"/>
    <w:rsid w:val="00AB4598"/>
    <w:rsid w:val="00AB48E7"/>
    <w:rsid w:val="00AB48EE"/>
    <w:rsid w:val="00AB4933"/>
    <w:rsid w:val="00AB49F4"/>
    <w:rsid w:val="00AB4EFB"/>
    <w:rsid w:val="00AB51E8"/>
    <w:rsid w:val="00AB52EB"/>
    <w:rsid w:val="00AB5728"/>
    <w:rsid w:val="00AB57D6"/>
    <w:rsid w:val="00AB5DB5"/>
    <w:rsid w:val="00AB5F9B"/>
    <w:rsid w:val="00AB6070"/>
    <w:rsid w:val="00AB6315"/>
    <w:rsid w:val="00AB68E1"/>
    <w:rsid w:val="00AB6EA2"/>
    <w:rsid w:val="00AB763F"/>
    <w:rsid w:val="00AB7732"/>
    <w:rsid w:val="00AB7AC6"/>
    <w:rsid w:val="00AB7B91"/>
    <w:rsid w:val="00AB7C59"/>
    <w:rsid w:val="00AB7D4B"/>
    <w:rsid w:val="00AB7E51"/>
    <w:rsid w:val="00AB7EB7"/>
    <w:rsid w:val="00AB7F1C"/>
    <w:rsid w:val="00AB7F2B"/>
    <w:rsid w:val="00AC0204"/>
    <w:rsid w:val="00AC0312"/>
    <w:rsid w:val="00AC044D"/>
    <w:rsid w:val="00AC08A4"/>
    <w:rsid w:val="00AC0A77"/>
    <w:rsid w:val="00AC0FC7"/>
    <w:rsid w:val="00AC109A"/>
    <w:rsid w:val="00AC10C5"/>
    <w:rsid w:val="00AC16BA"/>
    <w:rsid w:val="00AC1879"/>
    <w:rsid w:val="00AC18B6"/>
    <w:rsid w:val="00AC199E"/>
    <w:rsid w:val="00AC19A8"/>
    <w:rsid w:val="00AC1E35"/>
    <w:rsid w:val="00AC1EE1"/>
    <w:rsid w:val="00AC20FA"/>
    <w:rsid w:val="00AC2AE4"/>
    <w:rsid w:val="00AC2AED"/>
    <w:rsid w:val="00AC2BEF"/>
    <w:rsid w:val="00AC2C00"/>
    <w:rsid w:val="00AC2E4D"/>
    <w:rsid w:val="00AC2F35"/>
    <w:rsid w:val="00AC325F"/>
    <w:rsid w:val="00AC34A8"/>
    <w:rsid w:val="00AC3639"/>
    <w:rsid w:val="00AC384C"/>
    <w:rsid w:val="00AC3A35"/>
    <w:rsid w:val="00AC3B91"/>
    <w:rsid w:val="00AC3BE5"/>
    <w:rsid w:val="00AC417A"/>
    <w:rsid w:val="00AC41F9"/>
    <w:rsid w:val="00AC4215"/>
    <w:rsid w:val="00AC4420"/>
    <w:rsid w:val="00AC475F"/>
    <w:rsid w:val="00AC484B"/>
    <w:rsid w:val="00AC4DEF"/>
    <w:rsid w:val="00AC4FC9"/>
    <w:rsid w:val="00AC504B"/>
    <w:rsid w:val="00AC52DC"/>
    <w:rsid w:val="00AC53C2"/>
    <w:rsid w:val="00AC5455"/>
    <w:rsid w:val="00AC5703"/>
    <w:rsid w:val="00AC5B6F"/>
    <w:rsid w:val="00AC5C99"/>
    <w:rsid w:val="00AC5E9F"/>
    <w:rsid w:val="00AC5EAC"/>
    <w:rsid w:val="00AC5EFC"/>
    <w:rsid w:val="00AC6543"/>
    <w:rsid w:val="00AC69E3"/>
    <w:rsid w:val="00AC6B3A"/>
    <w:rsid w:val="00AC6DD7"/>
    <w:rsid w:val="00AC6DE1"/>
    <w:rsid w:val="00AC6F15"/>
    <w:rsid w:val="00AC719C"/>
    <w:rsid w:val="00AC7213"/>
    <w:rsid w:val="00AC726D"/>
    <w:rsid w:val="00AC7797"/>
    <w:rsid w:val="00AC7A69"/>
    <w:rsid w:val="00AC7A6A"/>
    <w:rsid w:val="00AC7AE4"/>
    <w:rsid w:val="00AC7C02"/>
    <w:rsid w:val="00AC7C5B"/>
    <w:rsid w:val="00AC7E37"/>
    <w:rsid w:val="00AC7E57"/>
    <w:rsid w:val="00AD01B4"/>
    <w:rsid w:val="00AD01CD"/>
    <w:rsid w:val="00AD020C"/>
    <w:rsid w:val="00AD02C2"/>
    <w:rsid w:val="00AD0868"/>
    <w:rsid w:val="00AD0A4F"/>
    <w:rsid w:val="00AD0A74"/>
    <w:rsid w:val="00AD0B19"/>
    <w:rsid w:val="00AD0E33"/>
    <w:rsid w:val="00AD0E98"/>
    <w:rsid w:val="00AD102B"/>
    <w:rsid w:val="00AD1178"/>
    <w:rsid w:val="00AD11B2"/>
    <w:rsid w:val="00AD1258"/>
    <w:rsid w:val="00AD1839"/>
    <w:rsid w:val="00AD189A"/>
    <w:rsid w:val="00AD18FE"/>
    <w:rsid w:val="00AD1D8B"/>
    <w:rsid w:val="00AD1DE9"/>
    <w:rsid w:val="00AD1FE3"/>
    <w:rsid w:val="00AD20C1"/>
    <w:rsid w:val="00AD252D"/>
    <w:rsid w:val="00AD261E"/>
    <w:rsid w:val="00AD2702"/>
    <w:rsid w:val="00AD2777"/>
    <w:rsid w:val="00AD2A9D"/>
    <w:rsid w:val="00AD2B6F"/>
    <w:rsid w:val="00AD2D67"/>
    <w:rsid w:val="00AD30A9"/>
    <w:rsid w:val="00AD33C3"/>
    <w:rsid w:val="00AD3472"/>
    <w:rsid w:val="00AD3528"/>
    <w:rsid w:val="00AD379A"/>
    <w:rsid w:val="00AD37BC"/>
    <w:rsid w:val="00AD393E"/>
    <w:rsid w:val="00AD3B1D"/>
    <w:rsid w:val="00AD3D14"/>
    <w:rsid w:val="00AD463F"/>
    <w:rsid w:val="00AD49D1"/>
    <w:rsid w:val="00AD49D6"/>
    <w:rsid w:val="00AD4F51"/>
    <w:rsid w:val="00AD4FB6"/>
    <w:rsid w:val="00AD4FC2"/>
    <w:rsid w:val="00AD514A"/>
    <w:rsid w:val="00AD5743"/>
    <w:rsid w:val="00AD5AD4"/>
    <w:rsid w:val="00AD5BE8"/>
    <w:rsid w:val="00AD5F6F"/>
    <w:rsid w:val="00AD61C3"/>
    <w:rsid w:val="00AD6536"/>
    <w:rsid w:val="00AD6562"/>
    <w:rsid w:val="00AD66D4"/>
    <w:rsid w:val="00AD68B0"/>
    <w:rsid w:val="00AD6B3B"/>
    <w:rsid w:val="00AD6E1D"/>
    <w:rsid w:val="00AD6FCC"/>
    <w:rsid w:val="00AD7003"/>
    <w:rsid w:val="00AD7089"/>
    <w:rsid w:val="00AD70A7"/>
    <w:rsid w:val="00AD7104"/>
    <w:rsid w:val="00AD721A"/>
    <w:rsid w:val="00AD7399"/>
    <w:rsid w:val="00AD742F"/>
    <w:rsid w:val="00AD748F"/>
    <w:rsid w:val="00AD76F3"/>
    <w:rsid w:val="00AD77D8"/>
    <w:rsid w:val="00AD7E91"/>
    <w:rsid w:val="00AE0087"/>
    <w:rsid w:val="00AE0102"/>
    <w:rsid w:val="00AE01C1"/>
    <w:rsid w:val="00AE02D7"/>
    <w:rsid w:val="00AE0870"/>
    <w:rsid w:val="00AE08BF"/>
    <w:rsid w:val="00AE0ADF"/>
    <w:rsid w:val="00AE0C40"/>
    <w:rsid w:val="00AE0C4E"/>
    <w:rsid w:val="00AE0EBA"/>
    <w:rsid w:val="00AE0F3C"/>
    <w:rsid w:val="00AE1087"/>
    <w:rsid w:val="00AE12DF"/>
    <w:rsid w:val="00AE134C"/>
    <w:rsid w:val="00AE13BA"/>
    <w:rsid w:val="00AE15C6"/>
    <w:rsid w:val="00AE17D1"/>
    <w:rsid w:val="00AE186C"/>
    <w:rsid w:val="00AE1AD9"/>
    <w:rsid w:val="00AE1C08"/>
    <w:rsid w:val="00AE1D1D"/>
    <w:rsid w:val="00AE1D3B"/>
    <w:rsid w:val="00AE1E42"/>
    <w:rsid w:val="00AE1F1A"/>
    <w:rsid w:val="00AE2025"/>
    <w:rsid w:val="00AE2043"/>
    <w:rsid w:val="00AE2400"/>
    <w:rsid w:val="00AE2623"/>
    <w:rsid w:val="00AE2787"/>
    <w:rsid w:val="00AE2819"/>
    <w:rsid w:val="00AE29BF"/>
    <w:rsid w:val="00AE29FB"/>
    <w:rsid w:val="00AE2A00"/>
    <w:rsid w:val="00AE2BBE"/>
    <w:rsid w:val="00AE2CE5"/>
    <w:rsid w:val="00AE2D09"/>
    <w:rsid w:val="00AE2D19"/>
    <w:rsid w:val="00AE2E1F"/>
    <w:rsid w:val="00AE335B"/>
    <w:rsid w:val="00AE3563"/>
    <w:rsid w:val="00AE36A0"/>
    <w:rsid w:val="00AE3770"/>
    <w:rsid w:val="00AE3A86"/>
    <w:rsid w:val="00AE3A9C"/>
    <w:rsid w:val="00AE3B6F"/>
    <w:rsid w:val="00AE3D42"/>
    <w:rsid w:val="00AE3F13"/>
    <w:rsid w:val="00AE4139"/>
    <w:rsid w:val="00AE4527"/>
    <w:rsid w:val="00AE46E3"/>
    <w:rsid w:val="00AE4712"/>
    <w:rsid w:val="00AE480D"/>
    <w:rsid w:val="00AE480F"/>
    <w:rsid w:val="00AE497C"/>
    <w:rsid w:val="00AE498A"/>
    <w:rsid w:val="00AE4A79"/>
    <w:rsid w:val="00AE4B5E"/>
    <w:rsid w:val="00AE4FC4"/>
    <w:rsid w:val="00AE5245"/>
    <w:rsid w:val="00AE53DB"/>
    <w:rsid w:val="00AE546C"/>
    <w:rsid w:val="00AE58E8"/>
    <w:rsid w:val="00AE5A37"/>
    <w:rsid w:val="00AE5C22"/>
    <w:rsid w:val="00AE6232"/>
    <w:rsid w:val="00AE6336"/>
    <w:rsid w:val="00AE6689"/>
    <w:rsid w:val="00AE67F3"/>
    <w:rsid w:val="00AE6D75"/>
    <w:rsid w:val="00AE7198"/>
    <w:rsid w:val="00AE71C7"/>
    <w:rsid w:val="00AE77EF"/>
    <w:rsid w:val="00AE780F"/>
    <w:rsid w:val="00AE7DCB"/>
    <w:rsid w:val="00AE7E28"/>
    <w:rsid w:val="00AF00A1"/>
    <w:rsid w:val="00AF0363"/>
    <w:rsid w:val="00AF03C8"/>
    <w:rsid w:val="00AF03EE"/>
    <w:rsid w:val="00AF03FE"/>
    <w:rsid w:val="00AF081A"/>
    <w:rsid w:val="00AF08A3"/>
    <w:rsid w:val="00AF0B6B"/>
    <w:rsid w:val="00AF1505"/>
    <w:rsid w:val="00AF15E5"/>
    <w:rsid w:val="00AF1613"/>
    <w:rsid w:val="00AF1BA1"/>
    <w:rsid w:val="00AF1D75"/>
    <w:rsid w:val="00AF22A1"/>
    <w:rsid w:val="00AF2434"/>
    <w:rsid w:val="00AF2454"/>
    <w:rsid w:val="00AF246E"/>
    <w:rsid w:val="00AF283B"/>
    <w:rsid w:val="00AF2A0E"/>
    <w:rsid w:val="00AF2C5E"/>
    <w:rsid w:val="00AF2D06"/>
    <w:rsid w:val="00AF2ECE"/>
    <w:rsid w:val="00AF2FBB"/>
    <w:rsid w:val="00AF31B3"/>
    <w:rsid w:val="00AF3672"/>
    <w:rsid w:val="00AF37B2"/>
    <w:rsid w:val="00AF3ADE"/>
    <w:rsid w:val="00AF3D73"/>
    <w:rsid w:val="00AF3EC4"/>
    <w:rsid w:val="00AF43D5"/>
    <w:rsid w:val="00AF4743"/>
    <w:rsid w:val="00AF4834"/>
    <w:rsid w:val="00AF497D"/>
    <w:rsid w:val="00AF4E09"/>
    <w:rsid w:val="00AF4E7A"/>
    <w:rsid w:val="00AF4F25"/>
    <w:rsid w:val="00AF51B5"/>
    <w:rsid w:val="00AF5532"/>
    <w:rsid w:val="00AF57C6"/>
    <w:rsid w:val="00AF58D1"/>
    <w:rsid w:val="00AF5C7D"/>
    <w:rsid w:val="00AF5F17"/>
    <w:rsid w:val="00AF66BC"/>
    <w:rsid w:val="00AF6A9B"/>
    <w:rsid w:val="00AF6AC1"/>
    <w:rsid w:val="00AF6EED"/>
    <w:rsid w:val="00AF722E"/>
    <w:rsid w:val="00AF75CB"/>
    <w:rsid w:val="00AF7A37"/>
    <w:rsid w:val="00AF7CC7"/>
    <w:rsid w:val="00AF7D97"/>
    <w:rsid w:val="00AF7FA6"/>
    <w:rsid w:val="00B0000C"/>
    <w:rsid w:val="00B000C5"/>
    <w:rsid w:val="00B001E9"/>
    <w:rsid w:val="00B004F6"/>
    <w:rsid w:val="00B009D4"/>
    <w:rsid w:val="00B00A21"/>
    <w:rsid w:val="00B00E66"/>
    <w:rsid w:val="00B00EB9"/>
    <w:rsid w:val="00B0160F"/>
    <w:rsid w:val="00B016D2"/>
    <w:rsid w:val="00B017E7"/>
    <w:rsid w:val="00B01AA5"/>
    <w:rsid w:val="00B01B6D"/>
    <w:rsid w:val="00B01E00"/>
    <w:rsid w:val="00B020AC"/>
    <w:rsid w:val="00B02104"/>
    <w:rsid w:val="00B02337"/>
    <w:rsid w:val="00B02742"/>
    <w:rsid w:val="00B027A4"/>
    <w:rsid w:val="00B02AA1"/>
    <w:rsid w:val="00B02C5B"/>
    <w:rsid w:val="00B02CD5"/>
    <w:rsid w:val="00B02CDB"/>
    <w:rsid w:val="00B02D23"/>
    <w:rsid w:val="00B02D6F"/>
    <w:rsid w:val="00B02EBB"/>
    <w:rsid w:val="00B03028"/>
    <w:rsid w:val="00B032E4"/>
    <w:rsid w:val="00B03377"/>
    <w:rsid w:val="00B0339D"/>
    <w:rsid w:val="00B0341D"/>
    <w:rsid w:val="00B03449"/>
    <w:rsid w:val="00B038B2"/>
    <w:rsid w:val="00B038E1"/>
    <w:rsid w:val="00B03A16"/>
    <w:rsid w:val="00B03B5D"/>
    <w:rsid w:val="00B03C94"/>
    <w:rsid w:val="00B03D99"/>
    <w:rsid w:val="00B03DC5"/>
    <w:rsid w:val="00B03EBF"/>
    <w:rsid w:val="00B04220"/>
    <w:rsid w:val="00B0429F"/>
    <w:rsid w:val="00B043FF"/>
    <w:rsid w:val="00B0462A"/>
    <w:rsid w:val="00B0464C"/>
    <w:rsid w:val="00B04AF7"/>
    <w:rsid w:val="00B04EAF"/>
    <w:rsid w:val="00B04F59"/>
    <w:rsid w:val="00B050BC"/>
    <w:rsid w:val="00B0525C"/>
    <w:rsid w:val="00B052FC"/>
    <w:rsid w:val="00B0580C"/>
    <w:rsid w:val="00B05F27"/>
    <w:rsid w:val="00B05F30"/>
    <w:rsid w:val="00B0623D"/>
    <w:rsid w:val="00B06298"/>
    <w:rsid w:val="00B06332"/>
    <w:rsid w:val="00B06674"/>
    <w:rsid w:val="00B06955"/>
    <w:rsid w:val="00B06987"/>
    <w:rsid w:val="00B06AEE"/>
    <w:rsid w:val="00B06DB8"/>
    <w:rsid w:val="00B06E1D"/>
    <w:rsid w:val="00B06EAA"/>
    <w:rsid w:val="00B06EBA"/>
    <w:rsid w:val="00B06F60"/>
    <w:rsid w:val="00B0741C"/>
    <w:rsid w:val="00B07654"/>
    <w:rsid w:val="00B07884"/>
    <w:rsid w:val="00B07AAD"/>
    <w:rsid w:val="00B07BA1"/>
    <w:rsid w:val="00B10053"/>
    <w:rsid w:val="00B1015B"/>
    <w:rsid w:val="00B102E9"/>
    <w:rsid w:val="00B10361"/>
    <w:rsid w:val="00B104DF"/>
    <w:rsid w:val="00B1074C"/>
    <w:rsid w:val="00B107AD"/>
    <w:rsid w:val="00B1097E"/>
    <w:rsid w:val="00B10E46"/>
    <w:rsid w:val="00B10F8D"/>
    <w:rsid w:val="00B111FA"/>
    <w:rsid w:val="00B11328"/>
    <w:rsid w:val="00B1136E"/>
    <w:rsid w:val="00B11400"/>
    <w:rsid w:val="00B114BC"/>
    <w:rsid w:val="00B115AD"/>
    <w:rsid w:val="00B11877"/>
    <w:rsid w:val="00B1197E"/>
    <w:rsid w:val="00B119C7"/>
    <w:rsid w:val="00B11A31"/>
    <w:rsid w:val="00B11B55"/>
    <w:rsid w:val="00B11C92"/>
    <w:rsid w:val="00B11CE8"/>
    <w:rsid w:val="00B11DFF"/>
    <w:rsid w:val="00B12240"/>
    <w:rsid w:val="00B1230C"/>
    <w:rsid w:val="00B1250A"/>
    <w:rsid w:val="00B12664"/>
    <w:rsid w:val="00B126EB"/>
    <w:rsid w:val="00B129E9"/>
    <w:rsid w:val="00B12AC9"/>
    <w:rsid w:val="00B12D52"/>
    <w:rsid w:val="00B12E35"/>
    <w:rsid w:val="00B1312D"/>
    <w:rsid w:val="00B131C7"/>
    <w:rsid w:val="00B133CC"/>
    <w:rsid w:val="00B133DD"/>
    <w:rsid w:val="00B1388C"/>
    <w:rsid w:val="00B138EC"/>
    <w:rsid w:val="00B139C2"/>
    <w:rsid w:val="00B13BE3"/>
    <w:rsid w:val="00B13E5E"/>
    <w:rsid w:val="00B14020"/>
    <w:rsid w:val="00B143F7"/>
    <w:rsid w:val="00B14402"/>
    <w:rsid w:val="00B14498"/>
    <w:rsid w:val="00B149B3"/>
    <w:rsid w:val="00B14A90"/>
    <w:rsid w:val="00B14AFD"/>
    <w:rsid w:val="00B14CFD"/>
    <w:rsid w:val="00B15112"/>
    <w:rsid w:val="00B15270"/>
    <w:rsid w:val="00B154F1"/>
    <w:rsid w:val="00B1551F"/>
    <w:rsid w:val="00B15814"/>
    <w:rsid w:val="00B158F3"/>
    <w:rsid w:val="00B15BCE"/>
    <w:rsid w:val="00B15C5A"/>
    <w:rsid w:val="00B15CEE"/>
    <w:rsid w:val="00B15CF6"/>
    <w:rsid w:val="00B165FF"/>
    <w:rsid w:val="00B167A6"/>
    <w:rsid w:val="00B1684E"/>
    <w:rsid w:val="00B16944"/>
    <w:rsid w:val="00B16B39"/>
    <w:rsid w:val="00B16FC2"/>
    <w:rsid w:val="00B16FCA"/>
    <w:rsid w:val="00B17013"/>
    <w:rsid w:val="00B170AB"/>
    <w:rsid w:val="00B17163"/>
    <w:rsid w:val="00B173EF"/>
    <w:rsid w:val="00B1740B"/>
    <w:rsid w:val="00B17525"/>
    <w:rsid w:val="00B17807"/>
    <w:rsid w:val="00B17821"/>
    <w:rsid w:val="00B178F0"/>
    <w:rsid w:val="00B179B7"/>
    <w:rsid w:val="00B17A98"/>
    <w:rsid w:val="00B17E8D"/>
    <w:rsid w:val="00B20A35"/>
    <w:rsid w:val="00B20AD7"/>
    <w:rsid w:val="00B20B07"/>
    <w:rsid w:val="00B20C86"/>
    <w:rsid w:val="00B20CD2"/>
    <w:rsid w:val="00B20DF9"/>
    <w:rsid w:val="00B20E35"/>
    <w:rsid w:val="00B20E55"/>
    <w:rsid w:val="00B20F67"/>
    <w:rsid w:val="00B20FD1"/>
    <w:rsid w:val="00B21089"/>
    <w:rsid w:val="00B21133"/>
    <w:rsid w:val="00B2131D"/>
    <w:rsid w:val="00B21524"/>
    <w:rsid w:val="00B21939"/>
    <w:rsid w:val="00B21C11"/>
    <w:rsid w:val="00B22017"/>
    <w:rsid w:val="00B2252C"/>
    <w:rsid w:val="00B226DD"/>
    <w:rsid w:val="00B22C11"/>
    <w:rsid w:val="00B22C85"/>
    <w:rsid w:val="00B23091"/>
    <w:rsid w:val="00B230C6"/>
    <w:rsid w:val="00B231E0"/>
    <w:rsid w:val="00B23624"/>
    <w:rsid w:val="00B2392A"/>
    <w:rsid w:val="00B23A7E"/>
    <w:rsid w:val="00B23AD8"/>
    <w:rsid w:val="00B23B15"/>
    <w:rsid w:val="00B23C02"/>
    <w:rsid w:val="00B23E5B"/>
    <w:rsid w:val="00B23F7F"/>
    <w:rsid w:val="00B24064"/>
    <w:rsid w:val="00B242D8"/>
    <w:rsid w:val="00B24614"/>
    <w:rsid w:val="00B246D6"/>
    <w:rsid w:val="00B24A3A"/>
    <w:rsid w:val="00B24B94"/>
    <w:rsid w:val="00B25250"/>
    <w:rsid w:val="00B252D7"/>
    <w:rsid w:val="00B25349"/>
    <w:rsid w:val="00B25449"/>
    <w:rsid w:val="00B25635"/>
    <w:rsid w:val="00B257AE"/>
    <w:rsid w:val="00B25922"/>
    <w:rsid w:val="00B25F9F"/>
    <w:rsid w:val="00B264CC"/>
    <w:rsid w:val="00B26559"/>
    <w:rsid w:val="00B265C2"/>
    <w:rsid w:val="00B26712"/>
    <w:rsid w:val="00B26A4A"/>
    <w:rsid w:val="00B26A7F"/>
    <w:rsid w:val="00B26FA4"/>
    <w:rsid w:val="00B2718D"/>
    <w:rsid w:val="00B271D7"/>
    <w:rsid w:val="00B27733"/>
    <w:rsid w:val="00B278E8"/>
    <w:rsid w:val="00B27D53"/>
    <w:rsid w:val="00B27DE7"/>
    <w:rsid w:val="00B27EAB"/>
    <w:rsid w:val="00B30090"/>
    <w:rsid w:val="00B302FA"/>
    <w:rsid w:val="00B3033F"/>
    <w:rsid w:val="00B30542"/>
    <w:rsid w:val="00B30900"/>
    <w:rsid w:val="00B30A4E"/>
    <w:rsid w:val="00B30A88"/>
    <w:rsid w:val="00B30ECB"/>
    <w:rsid w:val="00B311C4"/>
    <w:rsid w:val="00B3148B"/>
    <w:rsid w:val="00B3148E"/>
    <w:rsid w:val="00B3181C"/>
    <w:rsid w:val="00B318FD"/>
    <w:rsid w:val="00B31902"/>
    <w:rsid w:val="00B31A3F"/>
    <w:rsid w:val="00B322B0"/>
    <w:rsid w:val="00B322E4"/>
    <w:rsid w:val="00B324D3"/>
    <w:rsid w:val="00B32AE1"/>
    <w:rsid w:val="00B32CED"/>
    <w:rsid w:val="00B32D8B"/>
    <w:rsid w:val="00B32E21"/>
    <w:rsid w:val="00B32E4E"/>
    <w:rsid w:val="00B33330"/>
    <w:rsid w:val="00B334E1"/>
    <w:rsid w:val="00B3353A"/>
    <w:rsid w:val="00B33557"/>
    <w:rsid w:val="00B33607"/>
    <w:rsid w:val="00B3378C"/>
    <w:rsid w:val="00B338CE"/>
    <w:rsid w:val="00B33B00"/>
    <w:rsid w:val="00B33C6F"/>
    <w:rsid w:val="00B33FF0"/>
    <w:rsid w:val="00B340BB"/>
    <w:rsid w:val="00B34250"/>
    <w:rsid w:val="00B344F1"/>
    <w:rsid w:val="00B349A1"/>
    <w:rsid w:val="00B35021"/>
    <w:rsid w:val="00B351F7"/>
    <w:rsid w:val="00B35308"/>
    <w:rsid w:val="00B353E9"/>
    <w:rsid w:val="00B3544B"/>
    <w:rsid w:val="00B3556A"/>
    <w:rsid w:val="00B35765"/>
    <w:rsid w:val="00B358DC"/>
    <w:rsid w:val="00B3596D"/>
    <w:rsid w:val="00B35980"/>
    <w:rsid w:val="00B35A6F"/>
    <w:rsid w:val="00B35BD2"/>
    <w:rsid w:val="00B35D36"/>
    <w:rsid w:val="00B35E19"/>
    <w:rsid w:val="00B3607B"/>
    <w:rsid w:val="00B36117"/>
    <w:rsid w:val="00B36305"/>
    <w:rsid w:val="00B36347"/>
    <w:rsid w:val="00B36550"/>
    <w:rsid w:val="00B36892"/>
    <w:rsid w:val="00B369EC"/>
    <w:rsid w:val="00B36A04"/>
    <w:rsid w:val="00B36B4F"/>
    <w:rsid w:val="00B36D83"/>
    <w:rsid w:val="00B36FE2"/>
    <w:rsid w:val="00B3710B"/>
    <w:rsid w:val="00B372BD"/>
    <w:rsid w:val="00B3745C"/>
    <w:rsid w:val="00B378B8"/>
    <w:rsid w:val="00B378D5"/>
    <w:rsid w:val="00B37949"/>
    <w:rsid w:val="00B3797D"/>
    <w:rsid w:val="00B379C5"/>
    <w:rsid w:val="00B37FB2"/>
    <w:rsid w:val="00B4014B"/>
    <w:rsid w:val="00B40A0E"/>
    <w:rsid w:val="00B41018"/>
    <w:rsid w:val="00B41743"/>
    <w:rsid w:val="00B417DE"/>
    <w:rsid w:val="00B418F5"/>
    <w:rsid w:val="00B41A9F"/>
    <w:rsid w:val="00B41BBD"/>
    <w:rsid w:val="00B41BD6"/>
    <w:rsid w:val="00B41C93"/>
    <w:rsid w:val="00B41FB8"/>
    <w:rsid w:val="00B41FC2"/>
    <w:rsid w:val="00B423F7"/>
    <w:rsid w:val="00B424F1"/>
    <w:rsid w:val="00B4257B"/>
    <w:rsid w:val="00B427E3"/>
    <w:rsid w:val="00B4283F"/>
    <w:rsid w:val="00B42958"/>
    <w:rsid w:val="00B42A65"/>
    <w:rsid w:val="00B42C1E"/>
    <w:rsid w:val="00B43597"/>
    <w:rsid w:val="00B43D33"/>
    <w:rsid w:val="00B43DFB"/>
    <w:rsid w:val="00B43F28"/>
    <w:rsid w:val="00B44020"/>
    <w:rsid w:val="00B44081"/>
    <w:rsid w:val="00B44514"/>
    <w:rsid w:val="00B445D5"/>
    <w:rsid w:val="00B446A6"/>
    <w:rsid w:val="00B44AF5"/>
    <w:rsid w:val="00B44DC1"/>
    <w:rsid w:val="00B44E1F"/>
    <w:rsid w:val="00B44F2C"/>
    <w:rsid w:val="00B4525C"/>
    <w:rsid w:val="00B45375"/>
    <w:rsid w:val="00B453EF"/>
    <w:rsid w:val="00B45653"/>
    <w:rsid w:val="00B457C0"/>
    <w:rsid w:val="00B457DA"/>
    <w:rsid w:val="00B4593A"/>
    <w:rsid w:val="00B45D9C"/>
    <w:rsid w:val="00B45E4A"/>
    <w:rsid w:val="00B4642D"/>
    <w:rsid w:val="00B46469"/>
    <w:rsid w:val="00B465E5"/>
    <w:rsid w:val="00B46665"/>
    <w:rsid w:val="00B46701"/>
    <w:rsid w:val="00B469A5"/>
    <w:rsid w:val="00B46B33"/>
    <w:rsid w:val="00B46C8B"/>
    <w:rsid w:val="00B46C94"/>
    <w:rsid w:val="00B46CA9"/>
    <w:rsid w:val="00B46CCB"/>
    <w:rsid w:val="00B47754"/>
    <w:rsid w:val="00B47B7E"/>
    <w:rsid w:val="00B47BEF"/>
    <w:rsid w:val="00B47D4F"/>
    <w:rsid w:val="00B5026C"/>
    <w:rsid w:val="00B5047C"/>
    <w:rsid w:val="00B505A1"/>
    <w:rsid w:val="00B50987"/>
    <w:rsid w:val="00B50A3F"/>
    <w:rsid w:val="00B50D37"/>
    <w:rsid w:val="00B51113"/>
    <w:rsid w:val="00B511A7"/>
    <w:rsid w:val="00B5131C"/>
    <w:rsid w:val="00B513AD"/>
    <w:rsid w:val="00B5146D"/>
    <w:rsid w:val="00B51749"/>
    <w:rsid w:val="00B51A0A"/>
    <w:rsid w:val="00B51D01"/>
    <w:rsid w:val="00B51E68"/>
    <w:rsid w:val="00B51ECB"/>
    <w:rsid w:val="00B5220F"/>
    <w:rsid w:val="00B5231E"/>
    <w:rsid w:val="00B5236A"/>
    <w:rsid w:val="00B5249A"/>
    <w:rsid w:val="00B52617"/>
    <w:rsid w:val="00B527C1"/>
    <w:rsid w:val="00B52C38"/>
    <w:rsid w:val="00B52D07"/>
    <w:rsid w:val="00B52D6C"/>
    <w:rsid w:val="00B52DDA"/>
    <w:rsid w:val="00B52ED9"/>
    <w:rsid w:val="00B52F22"/>
    <w:rsid w:val="00B5319F"/>
    <w:rsid w:val="00B53495"/>
    <w:rsid w:val="00B537CE"/>
    <w:rsid w:val="00B53B3A"/>
    <w:rsid w:val="00B53DA7"/>
    <w:rsid w:val="00B53DDF"/>
    <w:rsid w:val="00B540D7"/>
    <w:rsid w:val="00B5447F"/>
    <w:rsid w:val="00B544C4"/>
    <w:rsid w:val="00B54803"/>
    <w:rsid w:val="00B54953"/>
    <w:rsid w:val="00B54A99"/>
    <w:rsid w:val="00B54B54"/>
    <w:rsid w:val="00B550AE"/>
    <w:rsid w:val="00B55260"/>
    <w:rsid w:val="00B55429"/>
    <w:rsid w:val="00B5587F"/>
    <w:rsid w:val="00B5588E"/>
    <w:rsid w:val="00B558EC"/>
    <w:rsid w:val="00B55B12"/>
    <w:rsid w:val="00B55B5C"/>
    <w:rsid w:val="00B55BDC"/>
    <w:rsid w:val="00B55CCE"/>
    <w:rsid w:val="00B55E45"/>
    <w:rsid w:val="00B55E4D"/>
    <w:rsid w:val="00B55E8B"/>
    <w:rsid w:val="00B55EA7"/>
    <w:rsid w:val="00B55F4B"/>
    <w:rsid w:val="00B563C2"/>
    <w:rsid w:val="00B563CA"/>
    <w:rsid w:val="00B56611"/>
    <w:rsid w:val="00B568ED"/>
    <w:rsid w:val="00B56960"/>
    <w:rsid w:val="00B56989"/>
    <w:rsid w:val="00B56B60"/>
    <w:rsid w:val="00B56BDD"/>
    <w:rsid w:val="00B56EE9"/>
    <w:rsid w:val="00B56FD6"/>
    <w:rsid w:val="00B572C6"/>
    <w:rsid w:val="00B574AB"/>
    <w:rsid w:val="00B5759E"/>
    <w:rsid w:val="00B57DC5"/>
    <w:rsid w:val="00B57F83"/>
    <w:rsid w:val="00B60104"/>
    <w:rsid w:val="00B602AE"/>
    <w:rsid w:val="00B6030E"/>
    <w:rsid w:val="00B604A8"/>
    <w:rsid w:val="00B604BD"/>
    <w:rsid w:val="00B60B88"/>
    <w:rsid w:val="00B60C29"/>
    <w:rsid w:val="00B60C96"/>
    <w:rsid w:val="00B60EBC"/>
    <w:rsid w:val="00B60F1F"/>
    <w:rsid w:val="00B6110A"/>
    <w:rsid w:val="00B612F4"/>
    <w:rsid w:val="00B613AB"/>
    <w:rsid w:val="00B6174C"/>
    <w:rsid w:val="00B61C98"/>
    <w:rsid w:val="00B61E80"/>
    <w:rsid w:val="00B6256E"/>
    <w:rsid w:val="00B6261D"/>
    <w:rsid w:val="00B6267F"/>
    <w:rsid w:val="00B626EC"/>
    <w:rsid w:val="00B62906"/>
    <w:rsid w:val="00B62D83"/>
    <w:rsid w:val="00B62DCD"/>
    <w:rsid w:val="00B635BE"/>
    <w:rsid w:val="00B638B4"/>
    <w:rsid w:val="00B63BDE"/>
    <w:rsid w:val="00B63C0C"/>
    <w:rsid w:val="00B63C1D"/>
    <w:rsid w:val="00B63ECE"/>
    <w:rsid w:val="00B63FA0"/>
    <w:rsid w:val="00B640E6"/>
    <w:rsid w:val="00B64180"/>
    <w:rsid w:val="00B641C6"/>
    <w:rsid w:val="00B644A5"/>
    <w:rsid w:val="00B645A6"/>
    <w:rsid w:val="00B645C6"/>
    <w:rsid w:val="00B646FD"/>
    <w:rsid w:val="00B64786"/>
    <w:rsid w:val="00B64C00"/>
    <w:rsid w:val="00B64C4F"/>
    <w:rsid w:val="00B64D9A"/>
    <w:rsid w:val="00B64DAA"/>
    <w:rsid w:val="00B6533B"/>
    <w:rsid w:val="00B6537E"/>
    <w:rsid w:val="00B65461"/>
    <w:rsid w:val="00B6557E"/>
    <w:rsid w:val="00B655AD"/>
    <w:rsid w:val="00B656C7"/>
    <w:rsid w:val="00B65DB9"/>
    <w:rsid w:val="00B66173"/>
    <w:rsid w:val="00B66287"/>
    <w:rsid w:val="00B66487"/>
    <w:rsid w:val="00B66488"/>
    <w:rsid w:val="00B664CA"/>
    <w:rsid w:val="00B66583"/>
    <w:rsid w:val="00B668E2"/>
    <w:rsid w:val="00B66952"/>
    <w:rsid w:val="00B66C44"/>
    <w:rsid w:val="00B6709D"/>
    <w:rsid w:val="00B67193"/>
    <w:rsid w:val="00B67308"/>
    <w:rsid w:val="00B67358"/>
    <w:rsid w:val="00B6738B"/>
    <w:rsid w:val="00B675FD"/>
    <w:rsid w:val="00B67CA2"/>
    <w:rsid w:val="00B67E2B"/>
    <w:rsid w:val="00B67EC5"/>
    <w:rsid w:val="00B67F3E"/>
    <w:rsid w:val="00B7007A"/>
    <w:rsid w:val="00B700A4"/>
    <w:rsid w:val="00B70175"/>
    <w:rsid w:val="00B70573"/>
    <w:rsid w:val="00B708C7"/>
    <w:rsid w:val="00B70A35"/>
    <w:rsid w:val="00B70C04"/>
    <w:rsid w:val="00B70C47"/>
    <w:rsid w:val="00B711EE"/>
    <w:rsid w:val="00B71253"/>
    <w:rsid w:val="00B71270"/>
    <w:rsid w:val="00B714AC"/>
    <w:rsid w:val="00B7157D"/>
    <w:rsid w:val="00B7158C"/>
    <w:rsid w:val="00B71819"/>
    <w:rsid w:val="00B71A00"/>
    <w:rsid w:val="00B71D8D"/>
    <w:rsid w:val="00B71EC9"/>
    <w:rsid w:val="00B71EE7"/>
    <w:rsid w:val="00B720B4"/>
    <w:rsid w:val="00B72115"/>
    <w:rsid w:val="00B72190"/>
    <w:rsid w:val="00B72256"/>
    <w:rsid w:val="00B72282"/>
    <w:rsid w:val="00B722F8"/>
    <w:rsid w:val="00B724FD"/>
    <w:rsid w:val="00B72849"/>
    <w:rsid w:val="00B728A1"/>
    <w:rsid w:val="00B72DCE"/>
    <w:rsid w:val="00B730D4"/>
    <w:rsid w:val="00B73134"/>
    <w:rsid w:val="00B7319D"/>
    <w:rsid w:val="00B732F1"/>
    <w:rsid w:val="00B73474"/>
    <w:rsid w:val="00B7381C"/>
    <w:rsid w:val="00B73969"/>
    <w:rsid w:val="00B739A4"/>
    <w:rsid w:val="00B73A5C"/>
    <w:rsid w:val="00B73BCF"/>
    <w:rsid w:val="00B73C51"/>
    <w:rsid w:val="00B73D79"/>
    <w:rsid w:val="00B73EE3"/>
    <w:rsid w:val="00B73EF4"/>
    <w:rsid w:val="00B74D7A"/>
    <w:rsid w:val="00B74DB1"/>
    <w:rsid w:val="00B74DB8"/>
    <w:rsid w:val="00B75016"/>
    <w:rsid w:val="00B750CA"/>
    <w:rsid w:val="00B751D1"/>
    <w:rsid w:val="00B754E3"/>
    <w:rsid w:val="00B75550"/>
    <w:rsid w:val="00B75656"/>
    <w:rsid w:val="00B756EF"/>
    <w:rsid w:val="00B75907"/>
    <w:rsid w:val="00B759D1"/>
    <w:rsid w:val="00B75A44"/>
    <w:rsid w:val="00B75A4D"/>
    <w:rsid w:val="00B75BDA"/>
    <w:rsid w:val="00B75C21"/>
    <w:rsid w:val="00B75CD6"/>
    <w:rsid w:val="00B75E42"/>
    <w:rsid w:val="00B76080"/>
    <w:rsid w:val="00B7627F"/>
    <w:rsid w:val="00B7645A"/>
    <w:rsid w:val="00B7647C"/>
    <w:rsid w:val="00B76656"/>
    <w:rsid w:val="00B76905"/>
    <w:rsid w:val="00B76969"/>
    <w:rsid w:val="00B769CA"/>
    <w:rsid w:val="00B76EB7"/>
    <w:rsid w:val="00B76EF3"/>
    <w:rsid w:val="00B76F5A"/>
    <w:rsid w:val="00B772BF"/>
    <w:rsid w:val="00B7737C"/>
    <w:rsid w:val="00B773AD"/>
    <w:rsid w:val="00B774FA"/>
    <w:rsid w:val="00B774FB"/>
    <w:rsid w:val="00B77670"/>
    <w:rsid w:val="00B7775C"/>
    <w:rsid w:val="00B778EF"/>
    <w:rsid w:val="00B77D87"/>
    <w:rsid w:val="00B78D47"/>
    <w:rsid w:val="00B8015F"/>
    <w:rsid w:val="00B801E5"/>
    <w:rsid w:val="00B802B9"/>
    <w:rsid w:val="00B80343"/>
    <w:rsid w:val="00B80547"/>
    <w:rsid w:val="00B805B4"/>
    <w:rsid w:val="00B809F7"/>
    <w:rsid w:val="00B80ACC"/>
    <w:rsid w:val="00B80D10"/>
    <w:rsid w:val="00B80ED0"/>
    <w:rsid w:val="00B81083"/>
    <w:rsid w:val="00B812D4"/>
    <w:rsid w:val="00B81309"/>
    <w:rsid w:val="00B81342"/>
    <w:rsid w:val="00B81854"/>
    <w:rsid w:val="00B81ADB"/>
    <w:rsid w:val="00B81C2D"/>
    <w:rsid w:val="00B81D62"/>
    <w:rsid w:val="00B81F47"/>
    <w:rsid w:val="00B81FD3"/>
    <w:rsid w:val="00B82053"/>
    <w:rsid w:val="00B82087"/>
    <w:rsid w:val="00B82235"/>
    <w:rsid w:val="00B822A6"/>
    <w:rsid w:val="00B822B1"/>
    <w:rsid w:val="00B822D1"/>
    <w:rsid w:val="00B82345"/>
    <w:rsid w:val="00B823A9"/>
    <w:rsid w:val="00B824D4"/>
    <w:rsid w:val="00B825C5"/>
    <w:rsid w:val="00B8276B"/>
    <w:rsid w:val="00B8278A"/>
    <w:rsid w:val="00B82997"/>
    <w:rsid w:val="00B82A51"/>
    <w:rsid w:val="00B82B0E"/>
    <w:rsid w:val="00B82B2C"/>
    <w:rsid w:val="00B82C1B"/>
    <w:rsid w:val="00B82C24"/>
    <w:rsid w:val="00B82DB3"/>
    <w:rsid w:val="00B82FD9"/>
    <w:rsid w:val="00B8329C"/>
    <w:rsid w:val="00B83402"/>
    <w:rsid w:val="00B83489"/>
    <w:rsid w:val="00B83601"/>
    <w:rsid w:val="00B83BF8"/>
    <w:rsid w:val="00B83BFC"/>
    <w:rsid w:val="00B83C7B"/>
    <w:rsid w:val="00B83D0C"/>
    <w:rsid w:val="00B83FD7"/>
    <w:rsid w:val="00B8404B"/>
    <w:rsid w:val="00B8458C"/>
    <w:rsid w:val="00B84696"/>
    <w:rsid w:val="00B8474F"/>
    <w:rsid w:val="00B847D7"/>
    <w:rsid w:val="00B84883"/>
    <w:rsid w:val="00B8493E"/>
    <w:rsid w:val="00B84C22"/>
    <w:rsid w:val="00B84C73"/>
    <w:rsid w:val="00B84E6E"/>
    <w:rsid w:val="00B851CD"/>
    <w:rsid w:val="00B85229"/>
    <w:rsid w:val="00B8548D"/>
    <w:rsid w:val="00B8566A"/>
    <w:rsid w:val="00B8574F"/>
    <w:rsid w:val="00B85D54"/>
    <w:rsid w:val="00B85E09"/>
    <w:rsid w:val="00B85FC8"/>
    <w:rsid w:val="00B86600"/>
    <w:rsid w:val="00B8684A"/>
    <w:rsid w:val="00B868CC"/>
    <w:rsid w:val="00B86A51"/>
    <w:rsid w:val="00B86D11"/>
    <w:rsid w:val="00B86D81"/>
    <w:rsid w:val="00B87411"/>
    <w:rsid w:val="00B875BA"/>
    <w:rsid w:val="00B87644"/>
    <w:rsid w:val="00B876AD"/>
    <w:rsid w:val="00B87BE9"/>
    <w:rsid w:val="00B87D87"/>
    <w:rsid w:val="00B87DC7"/>
    <w:rsid w:val="00B87E98"/>
    <w:rsid w:val="00B87EC6"/>
    <w:rsid w:val="00B901F3"/>
    <w:rsid w:val="00B90236"/>
    <w:rsid w:val="00B9035B"/>
    <w:rsid w:val="00B9055D"/>
    <w:rsid w:val="00B908C9"/>
    <w:rsid w:val="00B909B7"/>
    <w:rsid w:val="00B909E5"/>
    <w:rsid w:val="00B90ACA"/>
    <w:rsid w:val="00B90AD7"/>
    <w:rsid w:val="00B90BFD"/>
    <w:rsid w:val="00B91082"/>
    <w:rsid w:val="00B910DA"/>
    <w:rsid w:val="00B91163"/>
    <w:rsid w:val="00B912F6"/>
    <w:rsid w:val="00B9136E"/>
    <w:rsid w:val="00B91375"/>
    <w:rsid w:val="00B91472"/>
    <w:rsid w:val="00B916EC"/>
    <w:rsid w:val="00B91A2C"/>
    <w:rsid w:val="00B91B77"/>
    <w:rsid w:val="00B91BCD"/>
    <w:rsid w:val="00B91CC5"/>
    <w:rsid w:val="00B91F4B"/>
    <w:rsid w:val="00B9205D"/>
    <w:rsid w:val="00B92371"/>
    <w:rsid w:val="00B926B5"/>
    <w:rsid w:val="00B9278E"/>
    <w:rsid w:val="00B928C5"/>
    <w:rsid w:val="00B92B1E"/>
    <w:rsid w:val="00B92D5C"/>
    <w:rsid w:val="00B92D73"/>
    <w:rsid w:val="00B92EC9"/>
    <w:rsid w:val="00B92FC7"/>
    <w:rsid w:val="00B9304D"/>
    <w:rsid w:val="00B932CE"/>
    <w:rsid w:val="00B93565"/>
    <w:rsid w:val="00B93603"/>
    <w:rsid w:val="00B9369B"/>
    <w:rsid w:val="00B9386F"/>
    <w:rsid w:val="00B93C82"/>
    <w:rsid w:val="00B93D86"/>
    <w:rsid w:val="00B93E9B"/>
    <w:rsid w:val="00B943C3"/>
    <w:rsid w:val="00B94425"/>
    <w:rsid w:val="00B9479E"/>
    <w:rsid w:val="00B94822"/>
    <w:rsid w:val="00B949E0"/>
    <w:rsid w:val="00B94A21"/>
    <w:rsid w:val="00B94B86"/>
    <w:rsid w:val="00B94F3F"/>
    <w:rsid w:val="00B95264"/>
    <w:rsid w:val="00B95434"/>
    <w:rsid w:val="00B9547F"/>
    <w:rsid w:val="00B95D4B"/>
    <w:rsid w:val="00B9622E"/>
    <w:rsid w:val="00B962DC"/>
    <w:rsid w:val="00B969F3"/>
    <w:rsid w:val="00B96ADC"/>
    <w:rsid w:val="00B96B60"/>
    <w:rsid w:val="00B96C30"/>
    <w:rsid w:val="00B96D10"/>
    <w:rsid w:val="00B96E60"/>
    <w:rsid w:val="00B96EEC"/>
    <w:rsid w:val="00B96F7E"/>
    <w:rsid w:val="00B96FB8"/>
    <w:rsid w:val="00B96FB9"/>
    <w:rsid w:val="00B97132"/>
    <w:rsid w:val="00B972C7"/>
    <w:rsid w:val="00B97415"/>
    <w:rsid w:val="00B97429"/>
    <w:rsid w:val="00B97578"/>
    <w:rsid w:val="00B9790F"/>
    <w:rsid w:val="00B97A5F"/>
    <w:rsid w:val="00BA0022"/>
    <w:rsid w:val="00BA02C7"/>
    <w:rsid w:val="00BA037D"/>
    <w:rsid w:val="00BA0608"/>
    <w:rsid w:val="00BA0B25"/>
    <w:rsid w:val="00BA0BAA"/>
    <w:rsid w:val="00BA0CBB"/>
    <w:rsid w:val="00BA0CF2"/>
    <w:rsid w:val="00BA0D3F"/>
    <w:rsid w:val="00BA0E35"/>
    <w:rsid w:val="00BA1275"/>
    <w:rsid w:val="00BA1331"/>
    <w:rsid w:val="00BA1480"/>
    <w:rsid w:val="00BA14C3"/>
    <w:rsid w:val="00BA16CF"/>
    <w:rsid w:val="00BA17E1"/>
    <w:rsid w:val="00BA183D"/>
    <w:rsid w:val="00BA1981"/>
    <w:rsid w:val="00BA19B3"/>
    <w:rsid w:val="00BA19C0"/>
    <w:rsid w:val="00BA1FE1"/>
    <w:rsid w:val="00BA2340"/>
    <w:rsid w:val="00BA269E"/>
    <w:rsid w:val="00BA26FD"/>
    <w:rsid w:val="00BA2736"/>
    <w:rsid w:val="00BA342A"/>
    <w:rsid w:val="00BA35B0"/>
    <w:rsid w:val="00BA36E1"/>
    <w:rsid w:val="00BA36E4"/>
    <w:rsid w:val="00BA3750"/>
    <w:rsid w:val="00BA37AD"/>
    <w:rsid w:val="00BA3A3C"/>
    <w:rsid w:val="00BA3DBA"/>
    <w:rsid w:val="00BA3EDF"/>
    <w:rsid w:val="00BA42E2"/>
    <w:rsid w:val="00BA44DD"/>
    <w:rsid w:val="00BA47D2"/>
    <w:rsid w:val="00BA481D"/>
    <w:rsid w:val="00BA488D"/>
    <w:rsid w:val="00BA490B"/>
    <w:rsid w:val="00BA4B6B"/>
    <w:rsid w:val="00BA4B87"/>
    <w:rsid w:val="00BA4CC7"/>
    <w:rsid w:val="00BA4CF7"/>
    <w:rsid w:val="00BA4E98"/>
    <w:rsid w:val="00BA4F60"/>
    <w:rsid w:val="00BA4FA5"/>
    <w:rsid w:val="00BA5225"/>
    <w:rsid w:val="00BA532E"/>
    <w:rsid w:val="00BA544E"/>
    <w:rsid w:val="00BA548F"/>
    <w:rsid w:val="00BA5711"/>
    <w:rsid w:val="00BA5718"/>
    <w:rsid w:val="00BA5B00"/>
    <w:rsid w:val="00BA5B48"/>
    <w:rsid w:val="00BA6052"/>
    <w:rsid w:val="00BA6439"/>
    <w:rsid w:val="00BA66D5"/>
    <w:rsid w:val="00BA691B"/>
    <w:rsid w:val="00BA697F"/>
    <w:rsid w:val="00BA6B51"/>
    <w:rsid w:val="00BA6B66"/>
    <w:rsid w:val="00BA6B8A"/>
    <w:rsid w:val="00BA6C02"/>
    <w:rsid w:val="00BA6CC8"/>
    <w:rsid w:val="00BA6F44"/>
    <w:rsid w:val="00BA703B"/>
    <w:rsid w:val="00BA7294"/>
    <w:rsid w:val="00BA72AE"/>
    <w:rsid w:val="00BA7447"/>
    <w:rsid w:val="00BA768B"/>
    <w:rsid w:val="00BA76AF"/>
    <w:rsid w:val="00BA76B1"/>
    <w:rsid w:val="00BA76D2"/>
    <w:rsid w:val="00BA7786"/>
    <w:rsid w:val="00BA78D6"/>
    <w:rsid w:val="00BA7ABE"/>
    <w:rsid w:val="00BA7B39"/>
    <w:rsid w:val="00BA7D72"/>
    <w:rsid w:val="00BB0033"/>
    <w:rsid w:val="00BB01AB"/>
    <w:rsid w:val="00BB035A"/>
    <w:rsid w:val="00BB0368"/>
    <w:rsid w:val="00BB04C2"/>
    <w:rsid w:val="00BB06EF"/>
    <w:rsid w:val="00BB07E2"/>
    <w:rsid w:val="00BB0880"/>
    <w:rsid w:val="00BB0907"/>
    <w:rsid w:val="00BB0990"/>
    <w:rsid w:val="00BB09B0"/>
    <w:rsid w:val="00BB0A6D"/>
    <w:rsid w:val="00BB0ABF"/>
    <w:rsid w:val="00BB0DE9"/>
    <w:rsid w:val="00BB0DF6"/>
    <w:rsid w:val="00BB0E3C"/>
    <w:rsid w:val="00BB125D"/>
    <w:rsid w:val="00BB17C0"/>
    <w:rsid w:val="00BB1922"/>
    <w:rsid w:val="00BB1AF3"/>
    <w:rsid w:val="00BB1B2F"/>
    <w:rsid w:val="00BB1D7B"/>
    <w:rsid w:val="00BB2099"/>
    <w:rsid w:val="00BB2239"/>
    <w:rsid w:val="00BB22EE"/>
    <w:rsid w:val="00BB233E"/>
    <w:rsid w:val="00BB2691"/>
    <w:rsid w:val="00BB2773"/>
    <w:rsid w:val="00BB27FE"/>
    <w:rsid w:val="00BB2D46"/>
    <w:rsid w:val="00BB2E50"/>
    <w:rsid w:val="00BB2F19"/>
    <w:rsid w:val="00BB2F56"/>
    <w:rsid w:val="00BB3063"/>
    <w:rsid w:val="00BB34E6"/>
    <w:rsid w:val="00BB3506"/>
    <w:rsid w:val="00BB36BB"/>
    <w:rsid w:val="00BB3755"/>
    <w:rsid w:val="00BB37E7"/>
    <w:rsid w:val="00BB3A2B"/>
    <w:rsid w:val="00BB3A58"/>
    <w:rsid w:val="00BB3C2E"/>
    <w:rsid w:val="00BB3DB7"/>
    <w:rsid w:val="00BB446B"/>
    <w:rsid w:val="00BB4499"/>
    <w:rsid w:val="00BB460D"/>
    <w:rsid w:val="00BB460F"/>
    <w:rsid w:val="00BB46FD"/>
    <w:rsid w:val="00BB4715"/>
    <w:rsid w:val="00BB4C32"/>
    <w:rsid w:val="00BB4DD4"/>
    <w:rsid w:val="00BB4E77"/>
    <w:rsid w:val="00BB5065"/>
    <w:rsid w:val="00BB536A"/>
    <w:rsid w:val="00BB55B5"/>
    <w:rsid w:val="00BB597D"/>
    <w:rsid w:val="00BB5B26"/>
    <w:rsid w:val="00BB5BC1"/>
    <w:rsid w:val="00BB5DF8"/>
    <w:rsid w:val="00BB5FDE"/>
    <w:rsid w:val="00BB61AB"/>
    <w:rsid w:val="00BB6413"/>
    <w:rsid w:val="00BB6449"/>
    <w:rsid w:val="00BB66B8"/>
    <w:rsid w:val="00BB6912"/>
    <w:rsid w:val="00BB6B15"/>
    <w:rsid w:val="00BB6B7E"/>
    <w:rsid w:val="00BB7024"/>
    <w:rsid w:val="00BB718A"/>
    <w:rsid w:val="00BB7195"/>
    <w:rsid w:val="00BB7409"/>
    <w:rsid w:val="00BB7535"/>
    <w:rsid w:val="00BB7667"/>
    <w:rsid w:val="00BB76E6"/>
    <w:rsid w:val="00BB79C6"/>
    <w:rsid w:val="00BB7BAB"/>
    <w:rsid w:val="00BB7CFE"/>
    <w:rsid w:val="00BB7E06"/>
    <w:rsid w:val="00BB7E5A"/>
    <w:rsid w:val="00BB7F06"/>
    <w:rsid w:val="00BC0457"/>
    <w:rsid w:val="00BC06CE"/>
    <w:rsid w:val="00BC0751"/>
    <w:rsid w:val="00BC0AB2"/>
    <w:rsid w:val="00BC0B52"/>
    <w:rsid w:val="00BC0E20"/>
    <w:rsid w:val="00BC1006"/>
    <w:rsid w:val="00BC1272"/>
    <w:rsid w:val="00BC1303"/>
    <w:rsid w:val="00BC1423"/>
    <w:rsid w:val="00BC18BE"/>
    <w:rsid w:val="00BC19E0"/>
    <w:rsid w:val="00BC1EF3"/>
    <w:rsid w:val="00BC2130"/>
    <w:rsid w:val="00BC215E"/>
    <w:rsid w:val="00BC2308"/>
    <w:rsid w:val="00BC2450"/>
    <w:rsid w:val="00BC28E4"/>
    <w:rsid w:val="00BC2EC1"/>
    <w:rsid w:val="00BC303F"/>
    <w:rsid w:val="00BC3440"/>
    <w:rsid w:val="00BC37D6"/>
    <w:rsid w:val="00BC38C2"/>
    <w:rsid w:val="00BC3A5C"/>
    <w:rsid w:val="00BC3A96"/>
    <w:rsid w:val="00BC3B6D"/>
    <w:rsid w:val="00BC3F0C"/>
    <w:rsid w:val="00BC3F62"/>
    <w:rsid w:val="00BC3FD4"/>
    <w:rsid w:val="00BC42F8"/>
    <w:rsid w:val="00BC430D"/>
    <w:rsid w:val="00BC4377"/>
    <w:rsid w:val="00BC4599"/>
    <w:rsid w:val="00BC4768"/>
    <w:rsid w:val="00BC476F"/>
    <w:rsid w:val="00BC4C40"/>
    <w:rsid w:val="00BC4C73"/>
    <w:rsid w:val="00BC4F0E"/>
    <w:rsid w:val="00BC5080"/>
    <w:rsid w:val="00BC5247"/>
    <w:rsid w:val="00BC530E"/>
    <w:rsid w:val="00BC536F"/>
    <w:rsid w:val="00BC562F"/>
    <w:rsid w:val="00BC563B"/>
    <w:rsid w:val="00BC5734"/>
    <w:rsid w:val="00BC5861"/>
    <w:rsid w:val="00BC58C8"/>
    <w:rsid w:val="00BC58FE"/>
    <w:rsid w:val="00BC5C9D"/>
    <w:rsid w:val="00BC5E1A"/>
    <w:rsid w:val="00BC5E9B"/>
    <w:rsid w:val="00BC606B"/>
    <w:rsid w:val="00BC63A6"/>
    <w:rsid w:val="00BC65B0"/>
    <w:rsid w:val="00BC665D"/>
    <w:rsid w:val="00BC6C57"/>
    <w:rsid w:val="00BC6F93"/>
    <w:rsid w:val="00BC7359"/>
    <w:rsid w:val="00BC743C"/>
    <w:rsid w:val="00BC7492"/>
    <w:rsid w:val="00BC7E3B"/>
    <w:rsid w:val="00BC7F1D"/>
    <w:rsid w:val="00BD0220"/>
    <w:rsid w:val="00BD02F5"/>
    <w:rsid w:val="00BD0A0E"/>
    <w:rsid w:val="00BD0A90"/>
    <w:rsid w:val="00BD0E80"/>
    <w:rsid w:val="00BD0FEB"/>
    <w:rsid w:val="00BD10CB"/>
    <w:rsid w:val="00BD10FA"/>
    <w:rsid w:val="00BD14EC"/>
    <w:rsid w:val="00BD1A55"/>
    <w:rsid w:val="00BD1C55"/>
    <w:rsid w:val="00BD2046"/>
    <w:rsid w:val="00BD2126"/>
    <w:rsid w:val="00BD27CB"/>
    <w:rsid w:val="00BD29F8"/>
    <w:rsid w:val="00BD2D56"/>
    <w:rsid w:val="00BD2D5E"/>
    <w:rsid w:val="00BD317A"/>
    <w:rsid w:val="00BD3224"/>
    <w:rsid w:val="00BD328B"/>
    <w:rsid w:val="00BD3370"/>
    <w:rsid w:val="00BD33DA"/>
    <w:rsid w:val="00BD3656"/>
    <w:rsid w:val="00BD379E"/>
    <w:rsid w:val="00BD382A"/>
    <w:rsid w:val="00BD3A17"/>
    <w:rsid w:val="00BD3D00"/>
    <w:rsid w:val="00BD3EB0"/>
    <w:rsid w:val="00BD4230"/>
    <w:rsid w:val="00BD4359"/>
    <w:rsid w:val="00BD4374"/>
    <w:rsid w:val="00BD4634"/>
    <w:rsid w:val="00BD483A"/>
    <w:rsid w:val="00BD49FD"/>
    <w:rsid w:val="00BD4AB6"/>
    <w:rsid w:val="00BD4B5C"/>
    <w:rsid w:val="00BD4B66"/>
    <w:rsid w:val="00BD5126"/>
    <w:rsid w:val="00BD5805"/>
    <w:rsid w:val="00BD5969"/>
    <w:rsid w:val="00BD5B93"/>
    <w:rsid w:val="00BD5BCC"/>
    <w:rsid w:val="00BD5CF8"/>
    <w:rsid w:val="00BD6278"/>
    <w:rsid w:val="00BD64D7"/>
    <w:rsid w:val="00BD66D1"/>
    <w:rsid w:val="00BD6A76"/>
    <w:rsid w:val="00BD6AE2"/>
    <w:rsid w:val="00BD6B06"/>
    <w:rsid w:val="00BD6C07"/>
    <w:rsid w:val="00BD6C81"/>
    <w:rsid w:val="00BD6D39"/>
    <w:rsid w:val="00BD6E2E"/>
    <w:rsid w:val="00BD7055"/>
    <w:rsid w:val="00BD71B5"/>
    <w:rsid w:val="00BD7528"/>
    <w:rsid w:val="00BD7614"/>
    <w:rsid w:val="00BD7748"/>
    <w:rsid w:val="00BD77C9"/>
    <w:rsid w:val="00BD7B33"/>
    <w:rsid w:val="00BD7D97"/>
    <w:rsid w:val="00BE009A"/>
    <w:rsid w:val="00BE02D8"/>
    <w:rsid w:val="00BE04D4"/>
    <w:rsid w:val="00BE06FD"/>
    <w:rsid w:val="00BE091D"/>
    <w:rsid w:val="00BE09D7"/>
    <w:rsid w:val="00BE0B3F"/>
    <w:rsid w:val="00BE0B57"/>
    <w:rsid w:val="00BE0C22"/>
    <w:rsid w:val="00BE0F62"/>
    <w:rsid w:val="00BE0FCC"/>
    <w:rsid w:val="00BE116F"/>
    <w:rsid w:val="00BE1474"/>
    <w:rsid w:val="00BE1509"/>
    <w:rsid w:val="00BE1A47"/>
    <w:rsid w:val="00BE1A66"/>
    <w:rsid w:val="00BE1A72"/>
    <w:rsid w:val="00BE1CAA"/>
    <w:rsid w:val="00BE2021"/>
    <w:rsid w:val="00BE20C9"/>
    <w:rsid w:val="00BE20F0"/>
    <w:rsid w:val="00BE2324"/>
    <w:rsid w:val="00BE2700"/>
    <w:rsid w:val="00BE2748"/>
    <w:rsid w:val="00BE28E8"/>
    <w:rsid w:val="00BE29FE"/>
    <w:rsid w:val="00BE2A54"/>
    <w:rsid w:val="00BE2ADC"/>
    <w:rsid w:val="00BE2C2A"/>
    <w:rsid w:val="00BE2C6F"/>
    <w:rsid w:val="00BE2E83"/>
    <w:rsid w:val="00BE2EBA"/>
    <w:rsid w:val="00BE313D"/>
    <w:rsid w:val="00BE316D"/>
    <w:rsid w:val="00BE3452"/>
    <w:rsid w:val="00BE3856"/>
    <w:rsid w:val="00BE3957"/>
    <w:rsid w:val="00BE39E5"/>
    <w:rsid w:val="00BE39E9"/>
    <w:rsid w:val="00BE3A4B"/>
    <w:rsid w:val="00BE3AC0"/>
    <w:rsid w:val="00BE3D07"/>
    <w:rsid w:val="00BE3FA2"/>
    <w:rsid w:val="00BE41FB"/>
    <w:rsid w:val="00BE436A"/>
    <w:rsid w:val="00BE448D"/>
    <w:rsid w:val="00BE44A6"/>
    <w:rsid w:val="00BE4965"/>
    <w:rsid w:val="00BE4AC9"/>
    <w:rsid w:val="00BE4BB1"/>
    <w:rsid w:val="00BE4CB6"/>
    <w:rsid w:val="00BE4D29"/>
    <w:rsid w:val="00BE4F2D"/>
    <w:rsid w:val="00BE502E"/>
    <w:rsid w:val="00BE5245"/>
    <w:rsid w:val="00BE5499"/>
    <w:rsid w:val="00BE5550"/>
    <w:rsid w:val="00BE5683"/>
    <w:rsid w:val="00BE5818"/>
    <w:rsid w:val="00BE5842"/>
    <w:rsid w:val="00BE592F"/>
    <w:rsid w:val="00BE5A74"/>
    <w:rsid w:val="00BE5B68"/>
    <w:rsid w:val="00BE5BED"/>
    <w:rsid w:val="00BE5DB9"/>
    <w:rsid w:val="00BE6444"/>
    <w:rsid w:val="00BE6689"/>
    <w:rsid w:val="00BE66C2"/>
    <w:rsid w:val="00BE6728"/>
    <w:rsid w:val="00BE6782"/>
    <w:rsid w:val="00BE69D6"/>
    <w:rsid w:val="00BE6BC8"/>
    <w:rsid w:val="00BE6CBE"/>
    <w:rsid w:val="00BE6DC6"/>
    <w:rsid w:val="00BE6FAF"/>
    <w:rsid w:val="00BE707B"/>
    <w:rsid w:val="00BE71C9"/>
    <w:rsid w:val="00BE749F"/>
    <w:rsid w:val="00BE7534"/>
    <w:rsid w:val="00BE7630"/>
    <w:rsid w:val="00BE7825"/>
    <w:rsid w:val="00BE792C"/>
    <w:rsid w:val="00BE7AF2"/>
    <w:rsid w:val="00BE7C09"/>
    <w:rsid w:val="00BE7C1E"/>
    <w:rsid w:val="00BE7C7D"/>
    <w:rsid w:val="00BE7E72"/>
    <w:rsid w:val="00BE7F85"/>
    <w:rsid w:val="00BF00C1"/>
    <w:rsid w:val="00BF02F3"/>
    <w:rsid w:val="00BF0309"/>
    <w:rsid w:val="00BF039C"/>
    <w:rsid w:val="00BF07C0"/>
    <w:rsid w:val="00BF0B30"/>
    <w:rsid w:val="00BF0B4A"/>
    <w:rsid w:val="00BF0CAA"/>
    <w:rsid w:val="00BF0E6A"/>
    <w:rsid w:val="00BF100B"/>
    <w:rsid w:val="00BF111A"/>
    <w:rsid w:val="00BF11E8"/>
    <w:rsid w:val="00BF13A2"/>
    <w:rsid w:val="00BF1A7D"/>
    <w:rsid w:val="00BF1A80"/>
    <w:rsid w:val="00BF1B50"/>
    <w:rsid w:val="00BF1B69"/>
    <w:rsid w:val="00BF1BAC"/>
    <w:rsid w:val="00BF1DFF"/>
    <w:rsid w:val="00BF1EC8"/>
    <w:rsid w:val="00BF2014"/>
    <w:rsid w:val="00BF2087"/>
    <w:rsid w:val="00BF228F"/>
    <w:rsid w:val="00BF25CF"/>
    <w:rsid w:val="00BF2795"/>
    <w:rsid w:val="00BF2848"/>
    <w:rsid w:val="00BF28E1"/>
    <w:rsid w:val="00BF29CD"/>
    <w:rsid w:val="00BF2A43"/>
    <w:rsid w:val="00BF2C61"/>
    <w:rsid w:val="00BF309E"/>
    <w:rsid w:val="00BF31A4"/>
    <w:rsid w:val="00BF3201"/>
    <w:rsid w:val="00BF3319"/>
    <w:rsid w:val="00BF35A9"/>
    <w:rsid w:val="00BF35C2"/>
    <w:rsid w:val="00BF3A2A"/>
    <w:rsid w:val="00BF3B1B"/>
    <w:rsid w:val="00BF3CBA"/>
    <w:rsid w:val="00BF3CE6"/>
    <w:rsid w:val="00BF3DE1"/>
    <w:rsid w:val="00BF3EB6"/>
    <w:rsid w:val="00BF4546"/>
    <w:rsid w:val="00BF4755"/>
    <w:rsid w:val="00BF47ED"/>
    <w:rsid w:val="00BF4800"/>
    <w:rsid w:val="00BF4E52"/>
    <w:rsid w:val="00BF4F73"/>
    <w:rsid w:val="00BF50A5"/>
    <w:rsid w:val="00BF511E"/>
    <w:rsid w:val="00BF5148"/>
    <w:rsid w:val="00BF516D"/>
    <w:rsid w:val="00BF517F"/>
    <w:rsid w:val="00BF5201"/>
    <w:rsid w:val="00BF56E7"/>
    <w:rsid w:val="00BF590F"/>
    <w:rsid w:val="00BF59EF"/>
    <w:rsid w:val="00BF5C21"/>
    <w:rsid w:val="00BF5CEE"/>
    <w:rsid w:val="00BF5E02"/>
    <w:rsid w:val="00BF5E44"/>
    <w:rsid w:val="00BF5EDB"/>
    <w:rsid w:val="00BF5F40"/>
    <w:rsid w:val="00BF6197"/>
    <w:rsid w:val="00BF6200"/>
    <w:rsid w:val="00BF6216"/>
    <w:rsid w:val="00BF6738"/>
    <w:rsid w:val="00BF6A78"/>
    <w:rsid w:val="00BF6EE9"/>
    <w:rsid w:val="00BF6F13"/>
    <w:rsid w:val="00BF6FA4"/>
    <w:rsid w:val="00BF7276"/>
    <w:rsid w:val="00BF72D2"/>
    <w:rsid w:val="00BF73F0"/>
    <w:rsid w:val="00BF771D"/>
    <w:rsid w:val="00BF77A6"/>
    <w:rsid w:val="00BF7B5F"/>
    <w:rsid w:val="00BF7DCB"/>
    <w:rsid w:val="00BF7E12"/>
    <w:rsid w:val="00C00004"/>
    <w:rsid w:val="00C00197"/>
    <w:rsid w:val="00C00634"/>
    <w:rsid w:val="00C00AEC"/>
    <w:rsid w:val="00C01003"/>
    <w:rsid w:val="00C011FD"/>
    <w:rsid w:val="00C012CC"/>
    <w:rsid w:val="00C01356"/>
    <w:rsid w:val="00C01563"/>
    <w:rsid w:val="00C02178"/>
    <w:rsid w:val="00C0223D"/>
    <w:rsid w:val="00C02304"/>
    <w:rsid w:val="00C023C9"/>
    <w:rsid w:val="00C023E5"/>
    <w:rsid w:val="00C0264B"/>
    <w:rsid w:val="00C0265D"/>
    <w:rsid w:val="00C02921"/>
    <w:rsid w:val="00C02A1A"/>
    <w:rsid w:val="00C02AC6"/>
    <w:rsid w:val="00C02AE1"/>
    <w:rsid w:val="00C02F23"/>
    <w:rsid w:val="00C02FB4"/>
    <w:rsid w:val="00C032BF"/>
    <w:rsid w:val="00C0344D"/>
    <w:rsid w:val="00C0349B"/>
    <w:rsid w:val="00C035A5"/>
    <w:rsid w:val="00C035E4"/>
    <w:rsid w:val="00C0361D"/>
    <w:rsid w:val="00C0365D"/>
    <w:rsid w:val="00C036F6"/>
    <w:rsid w:val="00C03952"/>
    <w:rsid w:val="00C03A03"/>
    <w:rsid w:val="00C03AAE"/>
    <w:rsid w:val="00C03CFC"/>
    <w:rsid w:val="00C03F8A"/>
    <w:rsid w:val="00C0416F"/>
    <w:rsid w:val="00C041EA"/>
    <w:rsid w:val="00C04517"/>
    <w:rsid w:val="00C0451C"/>
    <w:rsid w:val="00C045B4"/>
    <w:rsid w:val="00C04BB7"/>
    <w:rsid w:val="00C04E82"/>
    <w:rsid w:val="00C05138"/>
    <w:rsid w:val="00C05192"/>
    <w:rsid w:val="00C051E1"/>
    <w:rsid w:val="00C05322"/>
    <w:rsid w:val="00C05377"/>
    <w:rsid w:val="00C05637"/>
    <w:rsid w:val="00C05664"/>
    <w:rsid w:val="00C05753"/>
    <w:rsid w:val="00C059C5"/>
    <w:rsid w:val="00C059F5"/>
    <w:rsid w:val="00C05DB8"/>
    <w:rsid w:val="00C05F3D"/>
    <w:rsid w:val="00C062DE"/>
    <w:rsid w:val="00C06419"/>
    <w:rsid w:val="00C064CD"/>
    <w:rsid w:val="00C0678A"/>
    <w:rsid w:val="00C067A1"/>
    <w:rsid w:val="00C067CF"/>
    <w:rsid w:val="00C0682F"/>
    <w:rsid w:val="00C06874"/>
    <w:rsid w:val="00C06A6C"/>
    <w:rsid w:val="00C06B60"/>
    <w:rsid w:val="00C06D9F"/>
    <w:rsid w:val="00C072FB"/>
    <w:rsid w:val="00C07331"/>
    <w:rsid w:val="00C073B2"/>
    <w:rsid w:val="00C0742D"/>
    <w:rsid w:val="00C0783A"/>
    <w:rsid w:val="00C0784D"/>
    <w:rsid w:val="00C07ABD"/>
    <w:rsid w:val="00C07D17"/>
    <w:rsid w:val="00C10587"/>
    <w:rsid w:val="00C106F2"/>
    <w:rsid w:val="00C108CC"/>
    <w:rsid w:val="00C10BFB"/>
    <w:rsid w:val="00C11004"/>
    <w:rsid w:val="00C11032"/>
    <w:rsid w:val="00C11141"/>
    <w:rsid w:val="00C11218"/>
    <w:rsid w:val="00C114A5"/>
    <w:rsid w:val="00C1152E"/>
    <w:rsid w:val="00C11552"/>
    <w:rsid w:val="00C117D5"/>
    <w:rsid w:val="00C1186E"/>
    <w:rsid w:val="00C119B8"/>
    <w:rsid w:val="00C11AFC"/>
    <w:rsid w:val="00C11DAF"/>
    <w:rsid w:val="00C11F35"/>
    <w:rsid w:val="00C11FA4"/>
    <w:rsid w:val="00C121F1"/>
    <w:rsid w:val="00C12582"/>
    <w:rsid w:val="00C12589"/>
    <w:rsid w:val="00C125DA"/>
    <w:rsid w:val="00C12927"/>
    <w:rsid w:val="00C129D8"/>
    <w:rsid w:val="00C12B63"/>
    <w:rsid w:val="00C12FCF"/>
    <w:rsid w:val="00C1306D"/>
    <w:rsid w:val="00C1313C"/>
    <w:rsid w:val="00C13174"/>
    <w:rsid w:val="00C13296"/>
    <w:rsid w:val="00C13404"/>
    <w:rsid w:val="00C13B5A"/>
    <w:rsid w:val="00C13F91"/>
    <w:rsid w:val="00C1408D"/>
    <w:rsid w:val="00C143A7"/>
    <w:rsid w:val="00C146CF"/>
    <w:rsid w:val="00C146FD"/>
    <w:rsid w:val="00C148D2"/>
    <w:rsid w:val="00C14931"/>
    <w:rsid w:val="00C14B28"/>
    <w:rsid w:val="00C150D2"/>
    <w:rsid w:val="00C15305"/>
    <w:rsid w:val="00C1533B"/>
    <w:rsid w:val="00C15429"/>
    <w:rsid w:val="00C15649"/>
    <w:rsid w:val="00C156C5"/>
    <w:rsid w:val="00C15803"/>
    <w:rsid w:val="00C1597A"/>
    <w:rsid w:val="00C15BCA"/>
    <w:rsid w:val="00C15E4D"/>
    <w:rsid w:val="00C16105"/>
    <w:rsid w:val="00C16214"/>
    <w:rsid w:val="00C164B7"/>
    <w:rsid w:val="00C164EF"/>
    <w:rsid w:val="00C167E9"/>
    <w:rsid w:val="00C16959"/>
    <w:rsid w:val="00C16AC5"/>
    <w:rsid w:val="00C16AD0"/>
    <w:rsid w:val="00C16BB5"/>
    <w:rsid w:val="00C16DA4"/>
    <w:rsid w:val="00C16DAB"/>
    <w:rsid w:val="00C16EB5"/>
    <w:rsid w:val="00C1713B"/>
    <w:rsid w:val="00C17196"/>
    <w:rsid w:val="00C171A6"/>
    <w:rsid w:val="00C1721F"/>
    <w:rsid w:val="00C17245"/>
    <w:rsid w:val="00C17322"/>
    <w:rsid w:val="00C173F7"/>
    <w:rsid w:val="00C17587"/>
    <w:rsid w:val="00C1766C"/>
    <w:rsid w:val="00C17703"/>
    <w:rsid w:val="00C17813"/>
    <w:rsid w:val="00C17FEB"/>
    <w:rsid w:val="00C20082"/>
    <w:rsid w:val="00C200A3"/>
    <w:rsid w:val="00C202BB"/>
    <w:rsid w:val="00C20379"/>
    <w:rsid w:val="00C20468"/>
    <w:rsid w:val="00C2053B"/>
    <w:rsid w:val="00C206C9"/>
    <w:rsid w:val="00C20E06"/>
    <w:rsid w:val="00C20E62"/>
    <w:rsid w:val="00C20FF0"/>
    <w:rsid w:val="00C2108D"/>
    <w:rsid w:val="00C210C3"/>
    <w:rsid w:val="00C210C8"/>
    <w:rsid w:val="00C21785"/>
    <w:rsid w:val="00C21877"/>
    <w:rsid w:val="00C219F9"/>
    <w:rsid w:val="00C21B5A"/>
    <w:rsid w:val="00C21BFD"/>
    <w:rsid w:val="00C21E6B"/>
    <w:rsid w:val="00C2212F"/>
    <w:rsid w:val="00C2234C"/>
    <w:rsid w:val="00C22B9C"/>
    <w:rsid w:val="00C2312F"/>
    <w:rsid w:val="00C231E3"/>
    <w:rsid w:val="00C233B0"/>
    <w:rsid w:val="00C23582"/>
    <w:rsid w:val="00C23676"/>
    <w:rsid w:val="00C23A25"/>
    <w:rsid w:val="00C23A69"/>
    <w:rsid w:val="00C2404D"/>
    <w:rsid w:val="00C243D4"/>
    <w:rsid w:val="00C2444E"/>
    <w:rsid w:val="00C2487B"/>
    <w:rsid w:val="00C2490C"/>
    <w:rsid w:val="00C2490D"/>
    <w:rsid w:val="00C24977"/>
    <w:rsid w:val="00C24E7E"/>
    <w:rsid w:val="00C24F16"/>
    <w:rsid w:val="00C24FD9"/>
    <w:rsid w:val="00C252C6"/>
    <w:rsid w:val="00C255C4"/>
    <w:rsid w:val="00C259E2"/>
    <w:rsid w:val="00C259ED"/>
    <w:rsid w:val="00C25A05"/>
    <w:rsid w:val="00C25A4F"/>
    <w:rsid w:val="00C25AEF"/>
    <w:rsid w:val="00C25C6D"/>
    <w:rsid w:val="00C25D48"/>
    <w:rsid w:val="00C25D98"/>
    <w:rsid w:val="00C25FC2"/>
    <w:rsid w:val="00C26161"/>
    <w:rsid w:val="00C2619C"/>
    <w:rsid w:val="00C262B2"/>
    <w:rsid w:val="00C2631D"/>
    <w:rsid w:val="00C26430"/>
    <w:rsid w:val="00C26727"/>
    <w:rsid w:val="00C2676A"/>
    <w:rsid w:val="00C26BD9"/>
    <w:rsid w:val="00C26D84"/>
    <w:rsid w:val="00C26FDF"/>
    <w:rsid w:val="00C27084"/>
    <w:rsid w:val="00C27110"/>
    <w:rsid w:val="00C27287"/>
    <w:rsid w:val="00C2757D"/>
    <w:rsid w:val="00C275F6"/>
    <w:rsid w:val="00C279B0"/>
    <w:rsid w:val="00C30217"/>
    <w:rsid w:val="00C3035C"/>
    <w:rsid w:val="00C305F9"/>
    <w:rsid w:val="00C30784"/>
    <w:rsid w:val="00C308F9"/>
    <w:rsid w:val="00C3099B"/>
    <w:rsid w:val="00C30A0F"/>
    <w:rsid w:val="00C30AF8"/>
    <w:rsid w:val="00C30C63"/>
    <w:rsid w:val="00C30CE9"/>
    <w:rsid w:val="00C30DEF"/>
    <w:rsid w:val="00C31016"/>
    <w:rsid w:val="00C310A8"/>
    <w:rsid w:val="00C31322"/>
    <w:rsid w:val="00C313BF"/>
    <w:rsid w:val="00C313E8"/>
    <w:rsid w:val="00C31581"/>
    <w:rsid w:val="00C3161F"/>
    <w:rsid w:val="00C3172E"/>
    <w:rsid w:val="00C3175B"/>
    <w:rsid w:val="00C31859"/>
    <w:rsid w:val="00C318A1"/>
    <w:rsid w:val="00C31932"/>
    <w:rsid w:val="00C31B3A"/>
    <w:rsid w:val="00C31C97"/>
    <w:rsid w:val="00C3210B"/>
    <w:rsid w:val="00C3213B"/>
    <w:rsid w:val="00C3233D"/>
    <w:rsid w:val="00C32590"/>
    <w:rsid w:val="00C326CA"/>
    <w:rsid w:val="00C32762"/>
    <w:rsid w:val="00C33271"/>
    <w:rsid w:val="00C33393"/>
    <w:rsid w:val="00C333D4"/>
    <w:rsid w:val="00C334C5"/>
    <w:rsid w:val="00C335A0"/>
    <w:rsid w:val="00C33CDE"/>
    <w:rsid w:val="00C33E76"/>
    <w:rsid w:val="00C33F42"/>
    <w:rsid w:val="00C33F7F"/>
    <w:rsid w:val="00C33FD6"/>
    <w:rsid w:val="00C34421"/>
    <w:rsid w:val="00C3443F"/>
    <w:rsid w:val="00C349BB"/>
    <w:rsid w:val="00C34BC2"/>
    <w:rsid w:val="00C34F97"/>
    <w:rsid w:val="00C351AE"/>
    <w:rsid w:val="00C35590"/>
    <w:rsid w:val="00C355D7"/>
    <w:rsid w:val="00C35791"/>
    <w:rsid w:val="00C357A8"/>
    <w:rsid w:val="00C35AA6"/>
    <w:rsid w:val="00C35ADB"/>
    <w:rsid w:val="00C35C38"/>
    <w:rsid w:val="00C36022"/>
    <w:rsid w:val="00C363C7"/>
    <w:rsid w:val="00C366F8"/>
    <w:rsid w:val="00C368D7"/>
    <w:rsid w:val="00C368FF"/>
    <w:rsid w:val="00C369B4"/>
    <w:rsid w:val="00C369F8"/>
    <w:rsid w:val="00C36F07"/>
    <w:rsid w:val="00C3709F"/>
    <w:rsid w:val="00C3718F"/>
    <w:rsid w:val="00C37226"/>
    <w:rsid w:val="00C373F9"/>
    <w:rsid w:val="00C37442"/>
    <w:rsid w:val="00C37464"/>
    <w:rsid w:val="00C377B1"/>
    <w:rsid w:val="00C378C6"/>
    <w:rsid w:val="00C37BE8"/>
    <w:rsid w:val="00C401EA"/>
    <w:rsid w:val="00C4097A"/>
    <w:rsid w:val="00C40BBE"/>
    <w:rsid w:val="00C40C2D"/>
    <w:rsid w:val="00C40C70"/>
    <w:rsid w:val="00C40C75"/>
    <w:rsid w:val="00C40E59"/>
    <w:rsid w:val="00C40EC8"/>
    <w:rsid w:val="00C40F77"/>
    <w:rsid w:val="00C41169"/>
    <w:rsid w:val="00C412EE"/>
    <w:rsid w:val="00C4158E"/>
    <w:rsid w:val="00C41870"/>
    <w:rsid w:val="00C41A46"/>
    <w:rsid w:val="00C41F1B"/>
    <w:rsid w:val="00C41F45"/>
    <w:rsid w:val="00C42044"/>
    <w:rsid w:val="00C42222"/>
    <w:rsid w:val="00C423B7"/>
    <w:rsid w:val="00C423F2"/>
    <w:rsid w:val="00C425E6"/>
    <w:rsid w:val="00C42661"/>
    <w:rsid w:val="00C427E0"/>
    <w:rsid w:val="00C429ED"/>
    <w:rsid w:val="00C42D2A"/>
    <w:rsid w:val="00C43434"/>
    <w:rsid w:val="00C434E9"/>
    <w:rsid w:val="00C43607"/>
    <w:rsid w:val="00C43B84"/>
    <w:rsid w:val="00C43CDB"/>
    <w:rsid w:val="00C43E4C"/>
    <w:rsid w:val="00C43EA2"/>
    <w:rsid w:val="00C44126"/>
    <w:rsid w:val="00C441D0"/>
    <w:rsid w:val="00C44252"/>
    <w:rsid w:val="00C443F1"/>
    <w:rsid w:val="00C4441B"/>
    <w:rsid w:val="00C444E0"/>
    <w:rsid w:val="00C44650"/>
    <w:rsid w:val="00C4478D"/>
    <w:rsid w:val="00C44794"/>
    <w:rsid w:val="00C44B93"/>
    <w:rsid w:val="00C44BCF"/>
    <w:rsid w:val="00C44CA7"/>
    <w:rsid w:val="00C44CF0"/>
    <w:rsid w:val="00C44D05"/>
    <w:rsid w:val="00C44D33"/>
    <w:rsid w:val="00C4515A"/>
    <w:rsid w:val="00C452EE"/>
    <w:rsid w:val="00C454B1"/>
    <w:rsid w:val="00C456D3"/>
    <w:rsid w:val="00C45AFE"/>
    <w:rsid w:val="00C45C1E"/>
    <w:rsid w:val="00C45ED4"/>
    <w:rsid w:val="00C46349"/>
    <w:rsid w:val="00C463B0"/>
    <w:rsid w:val="00C463F5"/>
    <w:rsid w:val="00C465B1"/>
    <w:rsid w:val="00C4676E"/>
    <w:rsid w:val="00C467D9"/>
    <w:rsid w:val="00C46964"/>
    <w:rsid w:val="00C46A1B"/>
    <w:rsid w:val="00C46ACD"/>
    <w:rsid w:val="00C46B4C"/>
    <w:rsid w:val="00C46BEC"/>
    <w:rsid w:val="00C46C26"/>
    <w:rsid w:val="00C46C54"/>
    <w:rsid w:val="00C46D68"/>
    <w:rsid w:val="00C46E4E"/>
    <w:rsid w:val="00C470C1"/>
    <w:rsid w:val="00C47290"/>
    <w:rsid w:val="00C47482"/>
    <w:rsid w:val="00C477EB"/>
    <w:rsid w:val="00C47A22"/>
    <w:rsid w:val="00C47B2A"/>
    <w:rsid w:val="00C47BE6"/>
    <w:rsid w:val="00C47CDB"/>
    <w:rsid w:val="00C47D8E"/>
    <w:rsid w:val="00C47ED8"/>
    <w:rsid w:val="00C47F41"/>
    <w:rsid w:val="00C500D7"/>
    <w:rsid w:val="00C5055E"/>
    <w:rsid w:val="00C50821"/>
    <w:rsid w:val="00C50934"/>
    <w:rsid w:val="00C50BED"/>
    <w:rsid w:val="00C50CF6"/>
    <w:rsid w:val="00C510A6"/>
    <w:rsid w:val="00C51169"/>
    <w:rsid w:val="00C51355"/>
    <w:rsid w:val="00C51567"/>
    <w:rsid w:val="00C51597"/>
    <w:rsid w:val="00C51879"/>
    <w:rsid w:val="00C51883"/>
    <w:rsid w:val="00C51972"/>
    <w:rsid w:val="00C51CF1"/>
    <w:rsid w:val="00C51D88"/>
    <w:rsid w:val="00C51FB5"/>
    <w:rsid w:val="00C520F3"/>
    <w:rsid w:val="00C52169"/>
    <w:rsid w:val="00C521E1"/>
    <w:rsid w:val="00C5241D"/>
    <w:rsid w:val="00C524E5"/>
    <w:rsid w:val="00C524FD"/>
    <w:rsid w:val="00C52978"/>
    <w:rsid w:val="00C52A20"/>
    <w:rsid w:val="00C52A8C"/>
    <w:rsid w:val="00C52C8A"/>
    <w:rsid w:val="00C52CC1"/>
    <w:rsid w:val="00C52FD9"/>
    <w:rsid w:val="00C5304D"/>
    <w:rsid w:val="00C531C5"/>
    <w:rsid w:val="00C534EA"/>
    <w:rsid w:val="00C53A26"/>
    <w:rsid w:val="00C53F3F"/>
    <w:rsid w:val="00C53FBA"/>
    <w:rsid w:val="00C5410D"/>
    <w:rsid w:val="00C5471C"/>
    <w:rsid w:val="00C5481D"/>
    <w:rsid w:val="00C548CB"/>
    <w:rsid w:val="00C54D4C"/>
    <w:rsid w:val="00C54DBE"/>
    <w:rsid w:val="00C54E7F"/>
    <w:rsid w:val="00C5529B"/>
    <w:rsid w:val="00C55358"/>
    <w:rsid w:val="00C55B09"/>
    <w:rsid w:val="00C55BB1"/>
    <w:rsid w:val="00C55C81"/>
    <w:rsid w:val="00C55D87"/>
    <w:rsid w:val="00C56051"/>
    <w:rsid w:val="00C560BC"/>
    <w:rsid w:val="00C56259"/>
    <w:rsid w:val="00C56312"/>
    <w:rsid w:val="00C5647D"/>
    <w:rsid w:val="00C564E2"/>
    <w:rsid w:val="00C567B8"/>
    <w:rsid w:val="00C567F5"/>
    <w:rsid w:val="00C56826"/>
    <w:rsid w:val="00C569B4"/>
    <w:rsid w:val="00C56C19"/>
    <w:rsid w:val="00C56E50"/>
    <w:rsid w:val="00C570D6"/>
    <w:rsid w:val="00C5742A"/>
    <w:rsid w:val="00C57DB1"/>
    <w:rsid w:val="00C57F71"/>
    <w:rsid w:val="00C60040"/>
    <w:rsid w:val="00C6018F"/>
    <w:rsid w:val="00C60218"/>
    <w:rsid w:val="00C6028F"/>
    <w:rsid w:val="00C602CE"/>
    <w:rsid w:val="00C60382"/>
    <w:rsid w:val="00C60739"/>
    <w:rsid w:val="00C607D6"/>
    <w:rsid w:val="00C6084D"/>
    <w:rsid w:val="00C608C3"/>
    <w:rsid w:val="00C6094D"/>
    <w:rsid w:val="00C60962"/>
    <w:rsid w:val="00C60AB0"/>
    <w:rsid w:val="00C60CF1"/>
    <w:rsid w:val="00C61507"/>
    <w:rsid w:val="00C615CA"/>
    <w:rsid w:val="00C6160A"/>
    <w:rsid w:val="00C61644"/>
    <w:rsid w:val="00C6171D"/>
    <w:rsid w:val="00C61830"/>
    <w:rsid w:val="00C61986"/>
    <w:rsid w:val="00C619AC"/>
    <w:rsid w:val="00C61AB8"/>
    <w:rsid w:val="00C61B49"/>
    <w:rsid w:val="00C61D6B"/>
    <w:rsid w:val="00C620D0"/>
    <w:rsid w:val="00C6224E"/>
    <w:rsid w:val="00C6239F"/>
    <w:rsid w:val="00C62773"/>
    <w:rsid w:val="00C6286C"/>
    <w:rsid w:val="00C62EAC"/>
    <w:rsid w:val="00C6308D"/>
    <w:rsid w:val="00C63373"/>
    <w:rsid w:val="00C63393"/>
    <w:rsid w:val="00C633E6"/>
    <w:rsid w:val="00C63635"/>
    <w:rsid w:val="00C6400A"/>
    <w:rsid w:val="00C644E6"/>
    <w:rsid w:val="00C645B5"/>
    <w:rsid w:val="00C6469D"/>
    <w:rsid w:val="00C64787"/>
    <w:rsid w:val="00C647C2"/>
    <w:rsid w:val="00C64A4C"/>
    <w:rsid w:val="00C64B9F"/>
    <w:rsid w:val="00C64CB9"/>
    <w:rsid w:val="00C64F08"/>
    <w:rsid w:val="00C64FAB"/>
    <w:rsid w:val="00C65002"/>
    <w:rsid w:val="00C65229"/>
    <w:rsid w:val="00C65406"/>
    <w:rsid w:val="00C6544F"/>
    <w:rsid w:val="00C656F2"/>
    <w:rsid w:val="00C658A5"/>
    <w:rsid w:val="00C65CB6"/>
    <w:rsid w:val="00C65DD0"/>
    <w:rsid w:val="00C66111"/>
    <w:rsid w:val="00C6617B"/>
    <w:rsid w:val="00C661BA"/>
    <w:rsid w:val="00C661DA"/>
    <w:rsid w:val="00C6621E"/>
    <w:rsid w:val="00C664D6"/>
    <w:rsid w:val="00C66DEF"/>
    <w:rsid w:val="00C66E88"/>
    <w:rsid w:val="00C67516"/>
    <w:rsid w:val="00C67648"/>
    <w:rsid w:val="00C6775D"/>
    <w:rsid w:val="00C67955"/>
    <w:rsid w:val="00C67B09"/>
    <w:rsid w:val="00C67BF9"/>
    <w:rsid w:val="00C7026F"/>
    <w:rsid w:val="00C70395"/>
    <w:rsid w:val="00C703C4"/>
    <w:rsid w:val="00C70400"/>
    <w:rsid w:val="00C7043E"/>
    <w:rsid w:val="00C7044D"/>
    <w:rsid w:val="00C704C5"/>
    <w:rsid w:val="00C70894"/>
    <w:rsid w:val="00C70AD9"/>
    <w:rsid w:val="00C70D8B"/>
    <w:rsid w:val="00C70FDE"/>
    <w:rsid w:val="00C710A1"/>
    <w:rsid w:val="00C7118B"/>
    <w:rsid w:val="00C712AF"/>
    <w:rsid w:val="00C712E5"/>
    <w:rsid w:val="00C71342"/>
    <w:rsid w:val="00C714D4"/>
    <w:rsid w:val="00C71C46"/>
    <w:rsid w:val="00C71E85"/>
    <w:rsid w:val="00C7217D"/>
    <w:rsid w:val="00C723E2"/>
    <w:rsid w:val="00C725C8"/>
    <w:rsid w:val="00C7275D"/>
    <w:rsid w:val="00C72AE4"/>
    <w:rsid w:val="00C72B47"/>
    <w:rsid w:val="00C72C1C"/>
    <w:rsid w:val="00C72C49"/>
    <w:rsid w:val="00C72F17"/>
    <w:rsid w:val="00C72F74"/>
    <w:rsid w:val="00C72FA2"/>
    <w:rsid w:val="00C72FB2"/>
    <w:rsid w:val="00C73181"/>
    <w:rsid w:val="00C73650"/>
    <w:rsid w:val="00C73930"/>
    <w:rsid w:val="00C73936"/>
    <w:rsid w:val="00C73B3F"/>
    <w:rsid w:val="00C73C9B"/>
    <w:rsid w:val="00C73EB3"/>
    <w:rsid w:val="00C74067"/>
    <w:rsid w:val="00C740F4"/>
    <w:rsid w:val="00C74332"/>
    <w:rsid w:val="00C74576"/>
    <w:rsid w:val="00C747CF"/>
    <w:rsid w:val="00C74AC6"/>
    <w:rsid w:val="00C7516D"/>
    <w:rsid w:val="00C7578A"/>
    <w:rsid w:val="00C75812"/>
    <w:rsid w:val="00C75A95"/>
    <w:rsid w:val="00C75E59"/>
    <w:rsid w:val="00C75F95"/>
    <w:rsid w:val="00C76042"/>
    <w:rsid w:val="00C76208"/>
    <w:rsid w:val="00C762D0"/>
    <w:rsid w:val="00C764B8"/>
    <w:rsid w:val="00C765BE"/>
    <w:rsid w:val="00C766B7"/>
    <w:rsid w:val="00C76982"/>
    <w:rsid w:val="00C76B73"/>
    <w:rsid w:val="00C76D24"/>
    <w:rsid w:val="00C76D32"/>
    <w:rsid w:val="00C76DB5"/>
    <w:rsid w:val="00C7708E"/>
    <w:rsid w:val="00C770FE"/>
    <w:rsid w:val="00C779BE"/>
    <w:rsid w:val="00C77A78"/>
    <w:rsid w:val="00C77BCE"/>
    <w:rsid w:val="00C77CA9"/>
    <w:rsid w:val="00C77CF0"/>
    <w:rsid w:val="00C77FFA"/>
    <w:rsid w:val="00C7B331"/>
    <w:rsid w:val="00C801CF"/>
    <w:rsid w:val="00C80841"/>
    <w:rsid w:val="00C80B00"/>
    <w:rsid w:val="00C80D6C"/>
    <w:rsid w:val="00C80F6B"/>
    <w:rsid w:val="00C8106D"/>
    <w:rsid w:val="00C812AE"/>
    <w:rsid w:val="00C8147B"/>
    <w:rsid w:val="00C818A1"/>
    <w:rsid w:val="00C819AC"/>
    <w:rsid w:val="00C81B77"/>
    <w:rsid w:val="00C81BFF"/>
    <w:rsid w:val="00C81CD5"/>
    <w:rsid w:val="00C81D0D"/>
    <w:rsid w:val="00C81DFC"/>
    <w:rsid w:val="00C81E49"/>
    <w:rsid w:val="00C81E85"/>
    <w:rsid w:val="00C81FEB"/>
    <w:rsid w:val="00C82083"/>
    <w:rsid w:val="00C82331"/>
    <w:rsid w:val="00C826F9"/>
    <w:rsid w:val="00C8273D"/>
    <w:rsid w:val="00C82795"/>
    <w:rsid w:val="00C82C3F"/>
    <w:rsid w:val="00C82D1A"/>
    <w:rsid w:val="00C82D24"/>
    <w:rsid w:val="00C82E6D"/>
    <w:rsid w:val="00C83401"/>
    <w:rsid w:val="00C8378C"/>
    <w:rsid w:val="00C83929"/>
    <w:rsid w:val="00C83BA9"/>
    <w:rsid w:val="00C84073"/>
    <w:rsid w:val="00C84590"/>
    <w:rsid w:val="00C84739"/>
    <w:rsid w:val="00C84904"/>
    <w:rsid w:val="00C84B1B"/>
    <w:rsid w:val="00C84B84"/>
    <w:rsid w:val="00C84CE2"/>
    <w:rsid w:val="00C84D61"/>
    <w:rsid w:val="00C84E2C"/>
    <w:rsid w:val="00C85035"/>
    <w:rsid w:val="00C852BE"/>
    <w:rsid w:val="00C85582"/>
    <w:rsid w:val="00C855FD"/>
    <w:rsid w:val="00C85683"/>
    <w:rsid w:val="00C85B01"/>
    <w:rsid w:val="00C85D40"/>
    <w:rsid w:val="00C85E70"/>
    <w:rsid w:val="00C85E92"/>
    <w:rsid w:val="00C86013"/>
    <w:rsid w:val="00C861B0"/>
    <w:rsid w:val="00C863AA"/>
    <w:rsid w:val="00C863AE"/>
    <w:rsid w:val="00C86A81"/>
    <w:rsid w:val="00C86C4A"/>
    <w:rsid w:val="00C86D15"/>
    <w:rsid w:val="00C86F0D"/>
    <w:rsid w:val="00C87246"/>
    <w:rsid w:val="00C87AC5"/>
    <w:rsid w:val="00C87B8E"/>
    <w:rsid w:val="00C87B91"/>
    <w:rsid w:val="00C87E0A"/>
    <w:rsid w:val="00C87EAA"/>
    <w:rsid w:val="00C90253"/>
    <w:rsid w:val="00C902E9"/>
    <w:rsid w:val="00C90516"/>
    <w:rsid w:val="00C9083E"/>
    <w:rsid w:val="00C908E3"/>
    <w:rsid w:val="00C90AFD"/>
    <w:rsid w:val="00C90D3B"/>
    <w:rsid w:val="00C90F54"/>
    <w:rsid w:val="00C91813"/>
    <w:rsid w:val="00C91821"/>
    <w:rsid w:val="00C91846"/>
    <w:rsid w:val="00C91E83"/>
    <w:rsid w:val="00C92353"/>
    <w:rsid w:val="00C9267C"/>
    <w:rsid w:val="00C926CE"/>
    <w:rsid w:val="00C92785"/>
    <w:rsid w:val="00C92959"/>
    <w:rsid w:val="00C92A25"/>
    <w:rsid w:val="00C92AB8"/>
    <w:rsid w:val="00C92B2D"/>
    <w:rsid w:val="00C92C96"/>
    <w:rsid w:val="00C92E72"/>
    <w:rsid w:val="00C92E9A"/>
    <w:rsid w:val="00C92F88"/>
    <w:rsid w:val="00C92FB4"/>
    <w:rsid w:val="00C93288"/>
    <w:rsid w:val="00C949E3"/>
    <w:rsid w:val="00C94ECB"/>
    <w:rsid w:val="00C94F4C"/>
    <w:rsid w:val="00C95020"/>
    <w:rsid w:val="00C950A7"/>
    <w:rsid w:val="00C950B1"/>
    <w:rsid w:val="00C95351"/>
    <w:rsid w:val="00C955A3"/>
    <w:rsid w:val="00C956B4"/>
    <w:rsid w:val="00C95919"/>
    <w:rsid w:val="00C95953"/>
    <w:rsid w:val="00C95DFD"/>
    <w:rsid w:val="00C95FD1"/>
    <w:rsid w:val="00C964A4"/>
    <w:rsid w:val="00C967BC"/>
    <w:rsid w:val="00C967D9"/>
    <w:rsid w:val="00C9681E"/>
    <w:rsid w:val="00C968AC"/>
    <w:rsid w:val="00C96924"/>
    <w:rsid w:val="00C96A03"/>
    <w:rsid w:val="00C96CF8"/>
    <w:rsid w:val="00C96E23"/>
    <w:rsid w:val="00C97153"/>
    <w:rsid w:val="00C9732B"/>
    <w:rsid w:val="00C97559"/>
    <w:rsid w:val="00C975CF"/>
    <w:rsid w:val="00C97660"/>
    <w:rsid w:val="00C9780B"/>
    <w:rsid w:val="00C9789E"/>
    <w:rsid w:val="00C97A6E"/>
    <w:rsid w:val="00C97C5E"/>
    <w:rsid w:val="00C97ECE"/>
    <w:rsid w:val="00CA0013"/>
    <w:rsid w:val="00CA0091"/>
    <w:rsid w:val="00CA00BF"/>
    <w:rsid w:val="00CA014F"/>
    <w:rsid w:val="00CA0186"/>
    <w:rsid w:val="00CA06DA"/>
    <w:rsid w:val="00CA07F8"/>
    <w:rsid w:val="00CA0BCD"/>
    <w:rsid w:val="00CA0D1A"/>
    <w:rsid w:val="00CA0EF6"/>
    <w:rsid w:val="00CA0FF9"/>
    <w:rsid w:val="00CA111F"/>
    <w:rsid w:val="00CA14E5"/>
    <w:rsid w:val="00CA18FE"/>
    <w:rsid w:val="00CA194B"/>
    <w:rsid w:val="00CA199A"/>
    <w:rsid w:val="00CA1B40"/>
    <w:rsid w:val="00CA1B64"/>
    <w:rsid w:val="00CA1BD3"/>
    <w:rsid w:val="00CA1D13"/>
    <w:rsid w:val="00CA1E03"/>
    <w:rsid w:val="00CA1F85"/>
    <w:rsid w:val="00CA1FDC"/>
    <w:rsid w:val="00CA1FF8"/>
    <w:rsid w:val="00CA23C5"/>
    <w:rsid w:val="00CA2418"/>
    <w:rsid w:val="00CA25F1"/>
    <w:rsid w:val="00CA2693"/>
    <w:rsid w:val="00CA2CC0"/>
    <w:rsid w:val="00CA30A6"/>
    <w:rsid w:val="00CA3152"/>
    <w:rsid w:val="00CA329E"/>
    <w:rsid w:val="00CA33A2"/>
    <w:rsid w:val="00CA341C"/>
    <w:rsid w:val="00CA344D"/>
    <w:rsid w:val="00CA35D3"/>
    <w:rsid w:val="00CA35F7"/>
    <w:rsid w:val="00CA3A9D"/>
    <w:rsid w:val="00CA3B6A"/>
    <w:rsid w:val="00CA3B6F"/>
    <w:rsid w:val="00CA3BE0"/>
    <w:rsid w:val="00CA406B"/>
    <w:rsid w:val="00CA4162"/>
    <w:rsid w:val="00CA4176"/>
    <w:rsid w:val="00CA4284"/>
    <w:rsid w:val="00CA4493"/>
    <w:rsid w:val="00CA45C2"/>
    <w:rsid w:val="00CA49B8"/>
    <w:rsid w:val="00CA4A15"/>
    <w:rsid w:val="00CA51B8"/>
    <w:rsid w:val="00CA54E5"/>
    <w:rsid w:val="00CA5556"/>
    <w:rsid w:val="00CA56DF"/>
    <w:rsid w:val="00CA5A10"/>
    <w:rsid w:val="00CA5BAF"/>
    <w:rsid w:val="00CA5D85"/>
    <w:rsid w:val="00CA5EF2"/>
    <w:rsid w:val="00CA5F7D"/>
    <w:rsid w:val="00CA640B"/>
    <w:rsid w:val="00CA64B3"/>
    <w:rsid w:val="00CA64BE"/>
    <w:rsid w:val="00CA6A29"/>
    <w:rsid w:val="00CA6D41"/>
    <w:rsid w:val="00CA6D5B"/>
    <w:rsid w:val="00CA6D63"/>
    <w:rsid w:val="00CA70E4"/>
    <w:rsid w:val="00CA72C5"/>
    <w:rsid w:val="00CA739B"/>
    <w:rsid w:val="00CA747B"/>
    <w:rsid w:val="00CA76A4"/>
    <w:rsid w:val="00CA7725"/>
    <w:rsid w:val="00CA784F"/>
    <w:rsid w:val="00CA7A93"/>
    <w:rsid w:val="00CB01B2"/>
    <w:rsid w:val="00CB023C"/>
    <w:rsid w:val="00CB05B7"/>
    <w:rsid w:val="00CB07C9"/>
    <w:rsid w:val="00CB0994"/>
    <w:rsid w:val="00CB09ED"/>
    <w:rsid w:val="00CB0AA1"/>
    <w:rsid w:val="00CB0BA3"/>
    <w:rsid w:val="00CB106B"/>
    <w:rsid w:val="00CB11EB"/>
    <w:rsid w:val="00CB1255"/>
    <w:rsid w:val="00CB1500"/>
    <w:rsid w:val="00CB153D"/>
    <w:rsid w:val="00CB15EA"/>
    <w:rsid w:val="00CB1655"/>
    <w:rsid w:val="00CB18A1"/>
    <w:rsid w:val="00CB19BB"/>
    <w:rsid w:val="00CB19DF"/>
    <w:rsid w:val="00CB2258"/>
    <w:rsid w:val="00CB2311"/>
    <w:rsid w:val="00CB25F7"/>
    <w:rsid w:val="00CB271C"/>
    <w:rsid w:val="00CB2ED6"/>
    <w:rsid w:val="00CB34C3"/>
    <w:rsid w:val="00CB3506"/>
    <w:rsid w:val="00CB37C5"/>
    <w:rsid w:val="00CB37D9"/>
    <w:rsid w:val="00CB39C9"/>
    <w:rsid w:val="00CB3A69"/>
    <w:rsid w:val="00CB3BCC"/>
    <w:rsid w:val="00CB3D05"/>
    <w:rsid w:val="00CB4267"/>
    <w:rsid w:val="00CB4286"/>
    <w:rsid w:val="00CB44AC"/>
    <w:rsid w:val="00CB4877"/>
    <w:rsid w:val="00CB48C1"/>
    <w:rsid w:val="00CB4AD1"/>
    <w:rsid w:val="00CB4C76"/>
    <w:rsid w:val="00CB4DDA"/>
    <w:rsid w:val="00CB5264"/>
    <w:rsid w:val="00CB5953"/>
    <w:rsid w:val="00CB5995"/>
    <w:rsid w:val="00CB59A1"/>
    <w:rsid w:val="00CB606B"/>
    <w:rsid w:val="00CB6781"/>
    <w:rsid w:val="00CB67A5"/>
    <w:rsid w:val="00CB688C"/>
    <w:rsid w:val="00CB6A68"/>
    <w:rsid w:val="00CB6B91"/>
    <w:rsid w:val="00CB6CA6"/>
    <w:rsid w:val="00CB6E2C"/>
    <w:rsid w:val="00CB6EAE"/>
    <w:rsid w:val="00CB70A3"/>
    <w:rsid w:val="00CB7670"/>
    <w:rsid w:val="00CB7700"/>
    <w:rsid w:val="00CB7739"/>
    <w:rsid w:val="00CB788B"/>
    <w:rsid w:val="00CB793D"/>
    <w:rsid w:val="00CB798B"/>
    <w:rsid w:val="00CB7A7D"/>
    <w:rsid w:val="00CB7DA8"/>
    <w:rsid w:val="00CB7E70"/>
    <w:rsid w:val="00CB7E9E"/>
    <w:rsid w:val="00CB7FC4"/>
    <w:rsid w:val="00CB7FC6"/>
    <w:rsid w:val="00CC0164"/>
    <w:rsid w:val="00CC02F4"/>
    <w:rsid w:val="00CC035E"/>
    <w:rsid w:val="00CC038F"/>
    <w:rsid w:val="00CC043A"/>
    <w:rsid w:val="00CC048E"/>
    <w:rsid w:val="00CC0810"/>
    <w:rsid w:val="00CC0BBB"/>
    <w:rsid w:val="00CC0DE7"/>
    <w:rsid w:val="00CC1901"/>
    <w:rsid w:val="00CC1C40"/>
    <w:rsid w:val="00CC1EBD"/>
    <w:rsid w:val="00CC1EEF"/>
    <w:rsid w:val="00CC202F"/>
    <w:rsid w:val="00CC212F"/>
    <w:rsid w:val="00CC2167"/>
    <w:rsid w:val="00CC2541"/>
    <w:rsid w:val="00CC2582"/>
    <w:rsid w:val="00CC2597"/>
    <w:rsid w:val="00CC26C5"/>
    <w:rsid w:val="00CC2954"/>
    <w:rsid w:val="00CC2A95"/>
    <w:rsid w:val="00CC3007"/>
    <w:rsid w:val="00CC3194"/>
    <w:rsid w:val="00CC3486"/>
    <w:rsid w:val="00CC3606"/>
    <w:rsid w:val="00CC369B"/>
    <w:rsid w:val="00CC3868"/>
    <w:rsid w:val="00CC3AAC"/>
    <w:rsid w:val="00CC3E25"/>
    <w:rsid w:val="00CC3E58"/>
    <w:rsid w:val="00CC4194"/>
    <w:rsid w:val="00CC4439"/>
    <w:rsid w:val="00CC4483"/>
    <w:rsid w:val="00CC4600"/>
    <w:rsid w:val="00CC46CE"/>
    <w:rsid w:val="00CC47B3"/>
    <w:rsid w:val="00CC48BA"/>
    <w:rsid w:val="00CC4C29"/>
    <w:rsid w:val="00CC4DB0"/>
    <w:rsid w:val="00CC50C0"/>
    <w:rsid w:val="00CC50C5"/>
    <w:rsid w:val="00CC5510"/>
    <w:rsid w:val="00CC55BC"/>
    <w:rsid w:val="00CC56EA"/>
    <w:rsid w:val="00CC59D1"/>
    <w:rsid w:val="00CC5D96"/>
    <w:rsid w:val="00CC6038"/>
    <w:rsid w:val="00CC6134"/>
    <w:rsid w:val="00CC64E0"/>
    <w:rsid w:val="00CC66FE"/>
    <w:rsid w:val="00CC67A0"/>
    <w:rsid w:val="00CC67C3"/>
    <w:rsid w:val="00CC6887"/>
    <w:rsid w:val="00CC68B9"/>
    <w:rsid w:val="00CC68C9"/>
    <w:rsid w:val="00CC68F0"/>
    <w:rsid w:val="00CC693C"/>
    <w:rsid w:val="00CC69E3"/>
    <w:rsid w:val="00CC6A66"/>
    <w:rsid w:val="00CC6BE4"/>
    <w:rsid w:val="00CC6ECF"/>
    <w:rsid w:val="00CC73A2"/>
    <w:rsid w:val="00CC7652"/>
    <w:rsid w:val="00CC76A9"/>
    <w:rsid w:val="00CC7AD6"/>
    <w:rsid w:val="00CC7D99"/>
    <w:rsid w:val="00CC7F09"/>
    <w:rsid w:val="00CD019A"/>
    <w:rsid w:val="00CD076E"/>
    <w:rsid w:val="00CD0851"/>
    <w:rsid w:val="00CD08A3"/>
    <w:rsid w:val="00CD0A18"/>
    <w:rsid w:val="00CD1146"/>
    <w:rsid w:val="00CD1166"/>
    <w:rsid w:val="00CD13B6"/>
    <w:rsid w:val="00CD1741"/>
    <w:rsid w:val="00CD1782"/>
    <w:rsid w:val="00CD17EF"/>
    <w:rsid w:val="00CD1B4B"/>
    <w:rsid w:val="00CD1BDB"/>
    <w:rsid w:val="00CD1C58"/>
    <w:rsid w:val="00CD1D39"/>
    <w:rsid w:val="00CD2003"/>
    <w:rsid w:val="00CD23D7"/>
    <w:rsid w:val="00CD2454"/>
    <w:rsid w:val="00CD311C"/>
    <w:rsid w:val="00CD3313"/>
    <w:rsid w:val="00CD3681"/>
    <w:rsid w:val="00CD36BF"/>
    <w:rsid w:val="00CD37CA"/>
    <w:rsid w:val="00CD3932"/>
    <w:rsid w:val="00CD3982"/>
    <w:rsid w:val="00CD3A2F"/>
    <w:rsid w:val="00CD3DCD"/>
    <w:rsid w:val="00CD3DD8"/>
    <w:rsid w:val="00CD3E44"/>
    <w:rsid w:val="00CD3F05"/>
    <w:rsid w:val="00CD3FAA"/>
    <w:rsid w:val="00CD3FBB"/>
    <w:rsid w:val="00CD4128"/>
    <w:rsid w:val="00CD4955"/>
    <w:rsid w:val="00CD4D53"/>
    <w:rsid w:val="00CD4DBA"/>
    <w:rsid w:val="00CD4FDD"/>
    <w:rsid w:val="00CD5299"/>
    <w:rsid w:val="00CD5366"/>
    <w:rsid w:val="00CD5375"/>
    <w:rsid w:val="00CD5433"/>
    <w:rsid w:val="00CD5A8F"/>
    <w:rsid w:val="00CD5AAB"/>
    <w:rsid w:val="00CD60E6"/>
    <w:rsid w:val="00CD6155"/>
    <w:rsid w:val="00CD622E"/>
    <w:rsid w:val="00CD62DC"/>
    <w:rsid w:val="00CD66FA"/>
    <w:rsid w:val="00CD6923"/>
    <w:rsid w:val="00CD693F"/>
    <w:rsid w:val="00CD6B7A"/>
    <w:rsid w:val="00CD6F5B"/>
    <w:rsid w:val="00CD7056"/>
    <w:rsid w:val="00CD7132"/>
    <w:rsid w:val="00CD71E6"/>
    <w:rsid w:val="00CD74E2"/>
    <w:rsid w:val="00CD7A3E"/>
    <w:rsid w:val="00CD7B6A"/>
    <w:rsid w:val="00CD7B9C"/>
    <w:rsid w:val="00CD7C29"/>
    <w:rsid w:val="00CD7E7C"/>
    <w:rsid w:val="00CE0114"/>
    <w:rsid w:val="00CE01FE"/>
    <w:rsid w:val="00CE042D"/>
    <w:rsid w:val="00CE0463"/>
    <w:rsid w:val="00CE064F"/>
    <w:rsid w:val="00CE067C"/>
    <w:rsid w:val="00CE06F0"/>
    <w:rsid w:val="00CE0713"/>
    <w:rsid w:val="00CE0815"/>
    <w:rsid w:val="00CE0888"/>
    <w:rsid w:val="00CE0AB8"/>
    <w:rsid w:val="00CE0CDD"/>
    <w:rsid w:val="00CE0D46"/>
    <w:rsid w:val="00CE1038"/>
    <w:rsid w:val="00CE12A8"/>
    <w:rsid w:val="00CE12B0"/>
    <w:rsid w:val="00CE140F"/>
    <w:rsid w:val="00CE1539"/>
    <w:rsid w:val="00CE1686"/>
    <w:rsid w:val="00CE16A1"/>
    <w:rsid w:val="00CE1721"/>
    <w:rsid w:val="00CE1745"/>
    <w:rsid w:val="00CE180F"/>
    <w:rsid w:val="00CE194E"/>
    <w:rsid w:val="00CE196C"/>
    <w:rsid w:val="00CE19E5"/>
    <w:rsid w:val="00CE1A11"/>
    <w:rsid w:val="00CE1CF3"/>
    <w:rsid w:val="00CE2259"/>
    <w:rsid w:val="00CE22C8"/>
    <w:rsid w:val="00CE230F"/>
    <w:rsid w:val="00CE24C7"/>
    <w:rsid w:val="00CE2620"/>
    <w:rsid w:val="00CE265E"/>
    <w:rsid w:val="00CE2714"/>
    <w:rsid w:val="00CE28F9"/>
    <w:rsid w:val="00CE2993"/>
    <w:rsid w:val="00CE2C62"/>
    <w:rsid w:val="00CE2CEF"/>
    <w:rsid w:val="00CE2E85"/>
    <w:rsid w:val="00CE312E"/>
    <w:rsid w:val="00CE3747"/>
    <w:rsid w:val="00CE3F82"/>
    <w:rsid w:val="00CE4111"/>
    <w:rsid w:val="00CE41CF"/>
    <w:rsid w:val="00CE4210"/>
    <w:rsid w:val="00CE42C4"/>
    <w:rsid w:val="00CE45AA"/>
    <w:rsid w:val="00CE4A52"/>
    <w:rsid w:val="00CE4B8A"/>
    <w:rsid w:val="00CE4B9C"/>
    <w:rsid w:val="00CE51D2"/>
    <w:rsid w:val="00CE534B"/>
    <w:rsid w:val="00CE556B"/>
    <w:rsid w:val="00CE57F5"/>
    <w:rsid w:val="00CE6118"/>
    <w:rsid w:val="00CE62FC"/>
    <w:rsid w:val="00CE6369"/>
    <w:rsid w:val="00CE6705"/>
    <w:rsid w:val="00CE696E"/>
    <w:rsid w:val="00CE69F6"/>
    <w:rsid w:val="00CE6C33"/>
    <w:rsid w:val="00CE6D75"/>
    <w:rsid w:val="00CE7180"/>
    <w:rsid w:val="00CE718F"/>
    <w:rsid w:val="00CE71F2"/>
    <w:rsid w:val="00CE7907"/>
    <w:rsid w:val="00CE7E4C"/>
    <w:rsid w:val="00CE7EDD"/>
    <w:rsid w:val="00CE7F56"/>
    <w:rsid w:val="00CF034D"/>
    <w:rsid w:val="00CF05F9"/>
    <w:rsid w:val="00CF0C06"/>
    <w:rsid w:val="00CF0C5C"/>
    <w:rsid w:val="00CF1203"/>
    <w:rsid w:val="00CF125F"/>
    <w:rsid w:val="00CF133C"/>
    <w:rsid w:val="00CF13C3"/>
    <w:rsid w:val="00CF156D"/>
    <w:rsid w:val="00CF17B5"/>
    <w:rsid w:val="00CF1962"/>
    <w:rsid w:val="00CF19FA"/>
    <w:rsid w:val="00CF1B03"/>
    <w:rsid w:val="00CF1B4F"/>
    <w:rsid w:val="00CF2162"/>
    <w:rsid w:val="00CF236B"/>
    <w:rsid w:val="00CF24FD"/>
    <w:rsid w:val="00CF2577"/>
    <w:rsid w:val="00CF2ABE"/>
    <w:rsid w:val="00CF2B09"/>
    <w:rsid w:val="00CF2B48"/>
    <w:rsid w:val="00CF2C0D"/>
    <w:rsid w:val="00CF2D17"/>
    <w:rsid w:val="00CF2D52"/>
    <w:rsid w:val="00CF2DCD"/>
    <w:rsid w:val="00CF31E3"/>
    <w:rsid w:val="00CF329D"/>
    <w:rsid w:val="00CF3519"/>
    <w:rsid w:val="00CF3656"/>
    <w:rsid w:val="00CF3885"/>
    <w:rsid w:val="00CF3891"/>
    <w:rsid w:val="00CF38E5"/>
    <w:rsid w:val="00CF3AE1"/>
    <w:rsid w:val="00CF3D7D"/>
    <w:rsid w:val="00CF4058"/>
    <w:rsid w:val="00CF407E"/>
    <w:rsid w:val="00CF410E"/>
    <w:rsid w:val="00CF4169"/>
    <w:rsid w:val="00CF424D"/>
    <w:rsid w:val="00CF46EA"/>
    <w:rsid w:val="00CF47D1"/>
    <w:rsid w:val="00CF488A"/>
    <w:rsid w:val="00CF48D1"/>
    <w:rsid w:val="00CF4A77"/>
    <w:rsid w:val="00CF4AC0"/>
    <w:rsid w:val="00CF4B9F"/>
    <w:rsid w:val="00CF4C46"/>
    <w:rsid w:val="00CF4D8A"/>
    <w:rsid w:val="00CF4F8F"/>
    <w:rsid w:val="00CF5390"/>
    <w:rsid w:val="00CF5573"/>
    <w:rsid w:val="00CF5642"/>
    <w:rsid w:val="00CF568B"/>
    <w:rsid w:val="00CF56CE"/>
    <w:rsid w:val="00CF574E"/>
    <w:rsid w:val="00CF577A"/>
    <w:rsid w:val="00CF585D"/>
    <w:rsid w:val="00CF5A91"/>
    <w:rsid w:val="00CF5BAC"/>
    <w:rsid w:val="00CF5C67"/>
    <w:rsid w:val="00CF5E73"/>
    <w:rsid w:val="00CF606E"/>
    <w:rsid w:val="00CF6449"/>
    <w:rsid w:val="00CF668B"/>
    <w:rsid w:val="00CF6881"/>
    <w:rsid w:val="00CF68FF"/>
    <w:rsid w:val="00CF6C9D"/>
    <w:rsid w:val="00CF6CC4"/>
    <w:rsid w:val="00CF6EF1"/>
    <w:rsid w:val="00CF6FD6"/>
    <w:rsid w:val="00CF7012"/>
    <w:rsid w:val="00CF7031"/>
    <w:rsid w:val="00CF72A8"/>
    <w:rsid w:val="00CF734C"/>
    <w:rsid w:val="00CF739E"/>
    <w:rsid w:val="00CF7865"/>
    <w:rsid w:val="00CF7DA5"/>
    <w:rsid w:val="00D00187"/>
    <w:rsid w:val="00D00287"/>
    <w:rsid w:val="00D0082A"/>
    <w:rsid w:val="00D00C34"/>
    <w:rsid w:val="00D00D2D"/>
    <w:rsid w:val="00D00E04"/>
    <w:rsid w:val="00D01001"/>
    <w:rsid w:val="00D01148"/>
    <w:rsid w:val="00D012F3"/>
    <w:rsid w:val="00D01458"/>
    <w:rsid w:val="00D0151C"/>
    <w:rsid w:val="00D0163A"/>
    <w:rsid w:val="00D0173E"/>
    <w:rsid w:val="00D017FB"/>
    <w:rsid w:val="00D0182E"/>
    <w:rsid w:val="00D01B77"/>
    <w:rsid w:val="00D020D8"/>
    <w:rsid w:val="00D02110"/>
    <w:rsid w:val="00D0213E"/>
    <w:rsid w:val="00D02193"/>
    <w:rsid w:val="00D026BE"/>
    <w:rsid w:val="00D029CD"/>
    <w:rsid w:val="00D02AE6"/>
    <w:rsid w:val="00D02C2A"/>
    <w:rsid w:val="00D02DB4"/>
    <w:rsid w:val="00D02DC2"/>
    <w:rsid w:val="00D02DC6"/>
    <w:rsid w:val="00D03139"/>
    <w:rsid w:val="00D0318D"/>
    <w:rsid w:val="00D031C8"/>
    <w:rsid w:val="00D032CD"/>
    <w:rsid w:val="00D0337F"/>
    <w:rsid w:val="00D03771"/>
    <w:rsid w:val="00D03843"/>
    <w:rsid w:val="00D03A4E"/>
    <w:rsid w:val="00D03BF9"/>
    <w:rsid w:val="00D03C20"/>
    <w:rsid w:val="00D04136"/>
    <w:rsid w:val="00D04375"/>
    <w:rsid w:val="00D044BD"/>
    <w:rsid w:val="00D045BA"/>
    <w:rsid w:val="00D0499E"/>
    <w:rsid w:val="00D04A13"/>
    <w:rsid w:val="00D04B44"/>
    <w:rsid w:val="00D04F33"/>
    <w:rsid w:val="00D04FD1"/>
    <w:rsid w:val="00D05008"/>
    <w:rsid w:val="00D0508C"/>
    <w:rsid w:val="00D0522B"/>
    <w:rsid w:val="00D05329"/>
    <w:rsid w:val="00D054DC"/>
    <w:rsid w:val="00D054E5"/>
    <w:rsid w:val="00D05831"/>
    <w:rsid w:val="00D05CA8"/>
    <w:rsid w:val="00D06235"/>
    <w:rsid w:val="00D062FD"/>
    <w:rsid w:val="00D06336"/>
    <w:rsid w:val="00D0691F"/>
    <w:rsid w:val="00D06FAD"/>
    <w:rsid w:val="00D0718D"/>
    <w:rsid w:val="00D071EF"/>
    <w:rsid w:val="00D0741D"/>
    <w:rsid w:val="00D0743E"/>
    <w:rsid w:val="00D07458"/>
    <w:rsid w:val="00D07592"/>
    <w:rsid w:val="00D075CD"/>
    <w:rsid w:val="00D0766D"/>
    <w:rsid w:val="00D07676"/>
    <w:rsid w:val="00D07694"/>
    <w:rsid w:val="00D07A33"/>
    <w:rsid w:val="00D07AB2"/>
    <w:rsid w:val="00D07CB1"/>
    <w:rsid w:val="00D07E97"/>
    <w:rsid w:val="00D102C9"/>
    <w:rsid w:val="00D1042C"/>
    <w:rsid w:val="00D1079A"/>
    <w:rsid w:val="00D1090B"/>
    <w:rsid w:val="00D109B3"/>
    <w:rsid w:val="00D10ABB"/>
    <w:rsid w:val="00D10D23"/>
    <w:rsid w:val="00D10E9E"/>
    <w:rsid w:val="00D110A1"/>
    <w:rsid w:val="00D112A5"/>
    <w:rsid w:val="00D1142A"/>
    <w:rsid w:val="00D117FE"/>
    <w:rsid w:val="00D118C3"/>
    <w:rsid w:val="00D119CA"/>
    <w:rsid w:val="00D11A8E"/>
    <w:rsid w:val="00D11B9F"/>
    <w:rsid w:val="00D11CB8"/>
    <w:rsid w:val="00D12499"/>
    <w:rsid w:val="00D12515"/>
    <w:rsid w:val="00D125D6"/>
    <w:rsid w:val="00D1272D"/>
    <w:rsid w:val="00D12A36"/>
    <w:rsid w:val="00D12A49"/>
    <w:rsid w:val="00D12ACD"/>
    <w:rsid w:val="00D12B24"/>
    <w:rsid w:val="00D12FDB"/>
    <w:rsid w:val="00D130DA"/>
    <w:rsid w:val="00D13628"/>
    <w:rsid w:val="00D13A6B"/>
    <w:rsid w:val="00D13B22"/>
    <w:rsid w:val="00D13D6D"/>
    <w:rsid w:val="00D13ECE"/>
    <w:rsid w:val="00D13FC9"/>
    <w:rsid w:val="00D1412F"/>
    <w:rsid w:val="00D14711"/>
    <w:rsid w:val="00D1486A"/>
    <w:rsid w:val="00D14A85"/>
    <w:rsid w:val="00D14A9A"/>
    <w:rsid w:val="00D14C41"/>
    <w:rsid w:val="00D14CB4"/>
    <w:rsid w:val="00D14FE6"/>
    <w:rsid w:val="00D150A6"/>
    <w:rsid w:val="00D153A4"/>
    <w:rsid w:val="00D1588C"/>
    <w:rsid w:val="00D15B0A"/>
    <w:rsid w:val="00D15C68"/>
    <w:rsid w:val="00D15CBD"/>
    <w:rsid w:val="00D1609D"/>
    <w:rsid w:val="00D1616D"/>
    <w:rsid w:val="00D163AE"/>
    <w:rsid w:val="00D163F3"/>
    <w:rsid w:val="00D163F7"/>
    <w:rsid w:val="00D165FD"/>
    <w:rsid w:val="00D16685"/>
    <w:rsid w:val="00D16743"/>
    <w:rsid w:val="00D167A4"/>
    <w:rsid w:val="00D16BCB"/>
    <w:rsid w:val="00D16C3F"/>
    <w:rsid w:val="00D17238"/>
    <w:rsid w:val="00D17381"/>
    <w:rsid w:val="00D173E1"/>
    <w:rsid w:val="00D1757E"/>
    <w:rsid w:val="00D176B9"/>
    <w:rsid w:val="00D176CF"/>
    <w:rsid w:val="00D17764"/>
    <w:rsid w:val="00D17D00"/>
    <w:rsid w:val="00D2001F"/>
    <w:rsid w:val="00D2024F"/>
    <w:rsid w:val="00D2039F"/>
    <w:rsid w:val="00D20565"/>
    <w:rsid w:val="00D20589"/>
    <w:rsid w:val="00D2061D"/>
    <w:rsid w:val="00D20CFA"/>
    <w:rsid w:val="00D20D3B"/>
    <w:rsid w:val="00D20FA5"/>
    <w:rsid w:val="00D211BD"/>
    <w:rsid w:val="00D213F3"/>
    <w:rsid w:val="00D2150B"/>
    <w:rsid w:val="00D21BC8"/>
    <w:rsid w:val="00D21D09"/>
    <w:rsid w:val="00D2202B"/>
    <w:rsid w:val="00D221DB"/>
    <w:rsid w:val="00D224E9"/>
    <w:rsid w:val="00D22628"/>
    <w:rsid w:val="00D22668"/>
    <w:rsid w:val="00D2282C"/>
    <w:rsid w:val="00D22953"/>
    <w:rsid w:val="00D22C13"/>
    <w:rsid w:val="00D233B8"/>
    <w:rsid w:val="00D233C1"/>
    <w:rsid w:val="00D23748"/>
    <w:rsid w:val="00D23931"/>
    <w:rsid w:val="00D23993"/>
    <w:rsid w:val="00D239D7"/>
    <w:rsid w:val="00D23CF4"/>
    <w:rsid w:val="00D240AC"/>
    <w:rsid w:val="00D24212"/>
    <w:rsid w:val="00D24372"/>
    <w:rsid w:val="00D24717"/>
    <w:rsid w:val="00D248B3"/>
    <w:rsid w:val="00D248E2"/>
    <w:rsid w:val="00D24911"/>
    <w:rsid w:val="00D249EA"/>
    <w:rsid w:val="00D24EF2"/>
    <w:rsid w:val="00D24F4D"/>
    <w:rsid w:val="00D250E0"/>
    <w:rsid w:val="00D25287"/>
    <w:rsid w:val="00D253FE"/>
    <w:rsid w:val="00D25526"/>
    <w:rsid w:val="00D25700"/>
    <w:rsid w:val="00D2575D"/>
    <w:rsid w:val="00D25C56"/>
    <w:rsid w:val="00D25DF8"/>
    <w:rsid w:val="00D25E3D"/>
    <w:rsid w:val="00D25FD5"/>
    <w:rsid w:val="00D26462"/>
    <w:rsid w:val="00D26AAB"/>
    <w:rsid w:val="00D26B84"/>
    <w:rsid w:val="00D26E10"/>
    <w:rsid w:val="00D27082"/>
    <w:rsid w:val="00D271A0"/>
    <w:rsid w:val="00D27202"/>
    <w:rsid w:val="00D272E5"/>
    <w:rsid w:val="00D272E6"/>
    <w:rsid w:val="00D2739F"/>
    <w:rsid w:val="00D2788E"/>
    <w:rsid w:val="00D27F17"/>
    <w:rsid w:val="00D27F3F"/>
    <w:rsid w:val="00D30055"/>
    <w:rsid w:val="00D301B3"/>
    <w:rsid w:val="00D301CB"/>
    <w:rsid w:val="00D3052E"/>
    <w:rsid w:val="00D3060D"/>
    <w:rsid w:val="00D306A3"/>
    <w:rsid w:val="00D307A2"/>
    <w:rsid w:val="00D308EA"/>
    <w:rsid w:val="00D30CBE"/>
    <w:rsid w:val="00D30D5F"/>
    <w:rsid w:val="00D31028"/>
    <w:rsid w:val="00D3118E"/>
    <w:rsid w:val="00D31247"/>
    <w:rsid w:val="00D31507"/>
    <w:rsid w:val="00D319D8"/>
    <w:rsid w:val="00D31B48"/>
    <w:rsid w:val="00D31D90"/>
    <w:rsid w:val="00D31EBA"/>
    <w:rsid w:val="00D32205"/>
    <w:rsid w:val="00D3232C"/>
    <w:rsid w:val="00D32488"/>
    <w:rsid w:val="00D3257D"/>
    <w:rsid w:val="00D327C7"/>
    <w:rsid w:val="00D3283E"/>
    <w:rsid w:val="00D32C34"/>
    <w:rsid w:val="00D32D28"/>
    <w:rsid w:val="00D32D84"/>
    <w:rsid w:val="00D32DB4"/>
    <w:rsid w:val="00D32DDD"/>
    <w:rsid w:val="00D32EC3"/>
    <w:rsid w:val="00D33144"/>
    <w:rsid w:val="00D332BE"/>
    <w:rsid w:val="00D3356C"/>
    <w:rsid w:val="00D338C2"/>
    <w:rsid w:val="00D338E4"/>
    <w:rsid w:val="00D33C4D"/>
    <w:rsid w:val="00D33D90"/>
    <w:rsid w:val="00D34042"/>
    <w:rsid w:val="00D34318"/>
    <w:rsid w:val="00D34396"/>
    <w:rsid w:val="00D343A2"/>
    <w:rsid w:val="00D343FD"/>
    <w:rsid w:val="00D348DA"/>
    <w:rsid w:val="00D34EC7"/>
    <w:rsid w:val="00D34EEA"/>
    <w:rsid w:val="00D34FC1"/>
    <w:rsid w:val="00D35201"/>
    <w:rsid w:val="00D3525C"/>
    <w:rsid w:val="00D3547F"/>
    <w:rsid w:val="00D3569E"/>
    <w:rsid w:val="00D359A1"/>
    <w:rsid w:val="00D359F9"/>
    <w:rsid w:val="00D35AB9"/>
    <w:rsid w:val="00D35C18"/>
    <w:rsid w:val="00D35D51"/>
    <w:rsid w:val="00D35E95"/>
    <w:rsid w:val="00D35F6B"/>
    <w:rsid w:val="00D35FBE"/>
    <w:rsid w:val="00D36230"/>
    <w:rsid w:val="00D3625D"/>
    <w:rsid w:val="00D3625E"/>
    <w:rsid w:val="00D364BC"/>
    <w:rsid w:val="00D36558"/>
    <w:rsid w:val="00D365A8"/>
    <w:rsid w:val="00D36636"/>
    <w:rsid w:val="00D3663F"/>
    <w:rsid w:val="00D36702"/>
    <w:rsid w:val="00D3721A"/>
    <w:rsid w:val="00D37334"/>
    <w:rsid w:val="00D37818"/>
    <w:rsid w:val="00D3788B"/>
    <w:rsid w:val="00D37BDB"/>
    <w:rsid w:val="00D37E4D"/>
    <w:rsid w:val="00D37F04"/>
    <w:rsid w:val="00D4024A"/>
    <w:rsid w:val="00D407FD"/>
    <w:rsid w:val="00D40AFE"/>
    <w:rsid w:val="00D40D9A"/>
    <w:rsid w:val="00D40EE1"/>
    <w:rsid w:val="00D40FB7"/>
    <w:rsid w:val="00D413F2"/>
    <w:rsid w:val="00D4147F"/>
    <w:rsid w:val="00D414C4"/>
    <w:rsid w:val="00D41686"/>
    <w:rsid w:val="00D41695"/>
    <w:rsid w:val="00D41758"/>
    <w:rsid w:val="00D417A2"/>
    <w:rsid w:val="00D41B03"/>
    <w:rsid w:val="00D41E87"/>
    <w:rsid w:val="00D41EB2"/>
    <w:rsid w:val="00D41EBC"/>
    <w:rsid w:val="00D4208A"/>
    <w:rsid w:val="00D42144"/>
    <w:rsid w:val="00D423FB"/>
    <w:rsid w:val="00D4262E"/>
    <w:rsid w:val="00D42853"/>
    <w:rsid w:val="00D42890"/>
    <w:rsid w:val="00D42909"/>
    <w:rsid w:val="00D42A4C"/>
    <w:rsid w:val="00D42AAB"/>
    <w:rsid w:val="00D42BD9"/>
    <w:rsid w:val="00D42C77"/>
    <w:rsid w:val="00D43018"/>
    <w:rsid w:val="00D4321E"/>
    <w:rsid w:val="00D4345F"/>
    <w:rsid w:val="00D434FB"/>
    <w:rsid w:val="00D43895"/>
    <w:rsid w:val="00D43AAD"/>
    <w:rsid w:val="00D43E08"/>
    <w:rsid w:val="00D43F41"/>
    <w:rsid w:val="00D44350"/>
    <w:rsid w:val="00D4439F"/>
    <w:rsid w:val="00D443F4"/>
    <w:rsid w:val="00D447B6"/>
    <w:rsid w:val="00D447B8"/>
    <w:rsid w:val="00D447EB"/>
    <w:rsid w:val="00D449AF"/>
    <w:rsid w:val="00D44A48"/>
    <w:rsid w:val="00D44AA5"/>
    <w:rsid w:val="00D44EC3"/>
    <w:rsid w:val="00D44EFD"/>
    <w:rsid w:val="00D44FE8"/>
    <w:rsid w:val="00D4515B"/>
    <w:rsid w:val="00D457B9"/>
    <w:rsid w:val="00D45809"/>
    <w:rsid w:val="00D458B2"/>
    <w:rsid w:val="00D45BD9"/>
    <w:rsid w:val="00D45FD1"/>
    <w:rsid w:val="00D460F0"/>
    <w:rsid w:val="00D461B7"/>
    <w:rsid w:val="00D462DE"/>
    <w:rsid w:val="00D46324"/>
    <w:rsid w:val="00D46368"/>
    <w:rsid w:val="00D463E6"/>
    <w:rsid w:val="00D46436"/>
    <w:rsid w:val="00D46685"/>
    <w:rsid w:val="00D46984"/>
    <w:rsid w:val="00D469DA"/>
    <w:rsid w:val="00D469F9"/>
    <w:rsid w:val="00D46E55"/>
    <w:rsid w:val="00D46FD0"/>
    <w:rsid w:val="00D47654"/>
    <w:rsid w:val="00D47BD9"/>
    <w:rsid w:val="00D47C23"/>
    <w:rsid w:val="00D47D9C"/>
    <w:rsid w:val="00D47E79"/>
    <w:rsid w:val="00D50186"/>
    <w:rsid w:val="00D501AA"/>
    <w:rsid w:val="00D50364"/>
    <w:rsid w:val="00D506E1"/>
    <w:rsid w:val="00D50777"/>
    <w:rsid w:val="00D50967"/>
    <w:rsid w:val="00D50F3D"/>
    <w:rsid w:val="00D51322"/>
    <w:rsid w:val="00D514E8"/>
    <w:rsid w:val="00D51507"/>
    <w:rsid w:val="00D516C0"/>
    <w:rsid w:val="00D51F1D"/>
    <w:rsid w:val="00D5200F"/>
    <w:rsid w:val="00D5221E"/>
    <w:rsid w:val="00D525F8"/>
    <w:rsid w:val="00D529B2"/>
    <w:rsid w:val="00D529DC"/>
    <w:rsid w:val="00D52AA3"/>
    <w:rsid w:val="00D52C80"/>
    <w:rsid w:val="00D52D7F"/>
    <w:rsid w:val="00D52E58"/>
    <w:rsid w:val="00D52E9F"/>
    <w:rsid w:val="00D53119"/>
    <w:rsid w:val="00D53390"/>
    <w:rsid w:val="00D533C8"/>
    <w:rsid w:val="00D53404"/>
    <w:rsid w:val="00D53995"/>
    <w:rsid w:val="00D53C4F"/>
    <w:rsid w:val="00D53C9A"/>
    <w:rsid w:val="00D53DA0"/>
    <w:rsid w:val="00D54187"/>
    <w:rsid w:val="00D542FB"/>
    <w:rsid w:val="00D54594"/>
    <w:rsid w:val="00D5461A"/>
    <w:rsid w:val="00D54B4D"/>
    <w:rsid w:val="00D54B8B"/>
    <w:rsid w:val="00D54FF3"/>
    <w:rsid w:val="00D5518B"/>
    <w:rsid w:val="00D554C7"/>
    <w:rsid w:val="00D55B3E"/>
    <w:rsid w:val="00D55CA3"/>
    <w:rsid w:val="00D55D4E"/>
    <w:rsid w:val="00D55D65"/>
    <w:rsid w:val="00D56168"/>
    <w:rsid w:val="00D565C2"/>
    <w:rsid w:val="00D56885"/>
    <w:rsid w:val="00D56981"/>
    <w:rsid w:val="00D56E85"/>
    <w:rsid w:val="00D572A2"/>
    <w:rsid w:val="00D57446"/>
    <w:rsid w:val="00D57798"/>
    <w:rsid w:val="00D577DB"/>
    <w:rsid w:val="00D57857"/>
    <w:rsid w:val="00D578EC"/>
    <w:rsid w:val="00D57B70"/>
    <w:rsid w:val="00D57D44"/>
    <w:rsid w:val="00D57D58"/>
    <w:rsid w:val="00D60275"/>
    <w:rsid w:val="00D603AE"/>
    <w:rsid w:val="00D603CD"/>
    <w:rsid w:val="00D60443"/>
    <w:rsid w:val="00D606A1"/>
    <w:rsid w:val="00D60A71"/>
    <w:rsid w:val="00D60BD0"/>
    <w:rsid w:val="00D60D53"/>
    <w:rsid w:val="00D60DB3"/>
    <w:rsid w:val="00D610CC"/>
    <w:rsid w:val="00D61129"/>
    <w:rsid w:val="00D6127D"/>
    <w:rsid w:val="00D6133F"/>
    <w:rsid w:val="00D614F4"/>
    <w:rsid w:val="00D616DF"/>
    <w:rsid w:val="00D61872"/>
    <w:rsid w:val="00D61D2A"/>
    <w:rsid w:val="00D621C0"/>
    <w:rsid w:val="00D6242E"/>
    <w:rsid w:val="00D62588"/>
    <w:rsid w:val="00D6264C"/>
    <w:rsid w:val="00D627AD"/>
    <w:rsid w:val="00D62BC0"/>
    <w:rsid w:val="00D62D5D"/>
    <w:rsid w:val="00D62E3D"/>
    <w:rsid w:val="00D62E8B"/>
    <w:rsid w:val="00D62EB9"/>
    <w:rsid w:val="00D6325D"/>
    <w:rsid w:val="00D63331"/>
    <w:rsid w:val="00D6365D"/>
    <w:rsid w:val="00D6367D"/>
    <w:rsid w:val="00D637AD"/>
    <w:rsid w:val="00D63B37"/>
    <w:rsid w:val="00D63CAF"/>
    <w:rsid w:val="00D63CD1"/>
    <w:rsid w:val="00D63D0E"/>
    <w:rsid w:val="00D63D48"/>
    <w:rsid w:val="00D63DA6"/>
    <w:rsid w:val="00D64287"/>
    <w:rsid w:val="00D642B6"/>
    <w:rsid w:val="00D6445A"/>
    <w:rsid w:val="00D64564"/>
    <w:rsid w:val="00D648AF"/>
    <w:rsid w:val="00D64925"/>
    <w:rsid w:val="00D64B52"/>
    <w:rsid w:val="00D64BE3"/>
    <w:rsid w:val="00D64E73"/>
    <w:rsid w:val="00D64F7E"/>
    <w:rsid w:val="00D651F4"/>
    <w:rsid w:val="00D655F0"/>
    <w:rsid w:val="00D656DD"/>
    <w:rsid w:val="00D6596B"/>
    <w:rsid w:val="00D659D0"/>
    <w:rsid w:val="00D65F57"/>
    <w:rsid w:val="00D65F7C"/>
    <w:rsid w:val="00D662E4"/>
    <w:rsid w:val="00D66653"/>
    <w:rsid w:val="00D6674E"/>
    <w:rsid w:val="00D668D1"/>
    <w:rsid w:val="00D66AAE"/>
    <w:rsid w:val="00D66B53"/>
    <w:rsid w:val="00D66D27"/>
    <w:rsid w:val="00D67424"/>
    <w:rsid w:val="00D67817"/>
    <w:rsid w:val="00D6783B"/>
    <w:rsid w:val="00D67865"/>
    <w:rsid w:val="00D67C5F"/>
    <w:rsid w:val="00D67E2A"/>
    <w:rsid w:val="00D6DB8B"/>
    <w:rsid w:val="00D7008E"/>
    <w:rsid w:val="00D700B1"/>
    <w:rsid w:val="00D701E1"/>
    <w:rsid w:val="00D702FB"/>
    <w:rsid w:val="00D70714"/>
    <w:rsid w:val="00D70823"/>
    <w:rsid w:val="00D70A2D"/>
    <w:rsid w:val="00D70B4C"/>
    <w:rsid w:val="00D70B71"/>
    <w:rsid w:val="00D70D07"/>
    <w:rsid w:val="00D71184"/>
    <w:rsid w:val="00D71233"/>
    <w:rsid w:val="00D71700"/>
    <w:rsid w:val="00D717B3"/>
    <w:rsid w:val="00D71B0B"/>
    <w:rsid w:val="00D71D93"/>
    <w:rsid w:val="00D72265"/>
    <w:rsid w:val="00D72530"/>
    <w:rsid w:val="00D727F8"/>
    <w:rsid w:val="00D72994"/>
    <w:rsid w:val="00D72DC3"/>
    <w:rsid w:val="00D731B3"/>
    <w:rsid w:val="00D73334"/>
    <w:rsid w:val="00D733CF"/>
    <w:rsid w:val="00D7342D"/>
    <w:rsid w:val="00D739FF"/>
    <w:rsid w:val="00D73A1D"/>
    <w:rsid w:val="00D73BBF"/>
    <w:rsid w:val="00D73DCD"/>
    <w:rsid w:val="00D74946"/>
    <w:rsid w:val="00D74A9D"/>
    <w:rsid w:val="00D74AA2"/>
    <w:rsid w:val="00D74BDD"/>
    <w:rsid w:val="00D74D4E"/>
    <w:rsid w:val="00D75190"/>
    <w:rsid w:val="00D75196"/>
    <w:rsid w:val="00D75264"/>
    <w:rsid w:val="00D75457"/>
    <w:rsid w:val="00D7566A"/>
    <w:rsid w:val="00D75695"/>
    <w:rsid w:val="00D7585D"/>
    <w:rsid w:val="00D758B2"/>
    <w:rsid w:val="00D75931"/>
    <w:rsid w:val="00D75E87"/>
    <w:rsid w:val="00D75EF0"/>
    <w:rsid w:val="00D7607E"/>
    <w:rsid w:val="00D760F1"/>
    <w:rsid w:val="00D7630A"/>
    <w:rsid w:val="00D76366"/>
    <w:rsid w:val="00D763DF"/>
    <w:rsid w:val="00D764EB"/>
    <w:rsid w:val="00D76641"/>
    <w:rsid w:val="00D76644"/>
    <w:rsid w:val="00D769AE"/>
    <w:rsid w:val="00D76A00"/>
    <w:rsid w:val="00D76AD8"/>
    <w:rsid w:val="00D76D9F"/>
    <w:rsid w:val="00D76E3F"/>
    <w:rsid w:val="00D76E68"/>
    <w:rsid w:val="00D76F7D"/>
    <w:rsid w:val="00D771C6"/>
    <w:rsid w:val="00D771D4"/>
    <w:rsid w:val="00D7739C"/>
    <w:rsid w:val="00D7744C"/>
    <w:rsid w:val="00D77580"/>
    <w:rsid w:val="00D77693"/>
    <w:rsid w:val="00D776DF"/>
    <w:rsid w:val="00D77817"/>
    <w:rsid w:val="00D77954"/>
    <w:rsid w:val="00D77DC5"/>
    <w:rsid w:val="00D77DFC"/>
    <w:rsid w:val="00D80113"/>
    <w:rsid w:val="00D8028D"/>
    <w:rsid w:val="00D8035C"/>
    <w:rsid w:val="00D804B3"/>
    <w:rsid w:val="00D80698"/>
    <w:rsid w:val="00D8073B"/>
    <w:rsid w:val="00D808F4"/>
    <w:rsid w:val="00D80D73"/>
    <w:rsid w:val="00D810C1"/>
    <w:rsid w:val="00D81136"/>
    <w:rsid w:val="00D81209"/>
    <w:rsid w:val="00D8148F"/>
    <w:rsid w:val="00D8163E"/>
    <w:rsid w:val="00D81822"/>
    <w:rsid w:val="00D81B97"/>
    <w:rsid w:val="00D81BC0"/>
    <w:rsid w:val="00D81F30"/>
    <w:rsid w:val="00D81F5B"/>
    <w:rsid w:val="00D82085"/>
    <w:rsid w:val="00D82568"/>
    <w:rsid w:val="00D82731"/>
    <w:rsid w:val="00D82850"/>
    <w:rsid w:val="00D82866"/>
    <w:rsid w:val="00D829A8"/>
    <w:rsid w:val="00D82AD5"/>
    <w:rsid w:val="00D82DBC"/>
    <w:rsid w:val="00D8323E"/>
    <w:rsid w:val="00D83347"/>
    <w:rsid w:val="00D83763"/>
    <w:rsid w:val="00D83817"/>
    <w:rsid w:val="00D83AB2"/>
    <w:rsid w:val="00D83B1D"/>
    <w:rsid w:val="00D83E8A"/>
    <w:rsid w:val="00D84110"/>
    <w:rsid w:val="00D84275"/>
    <w:rsid w:val="00D84399"/>
    <w:rsid w:val="00D84558"/>
    <w:rsid w:val="00D8479B"/>
    <w:rsid w:val="00D84AD9"/>
    <w:rsid w:val="00D84B11"/>
    <w:rsid w:val="00D84F97"/>
    <w:rsid w:val="00D8503D"/>
    <w:rsid w:val="00D85274"/>
    <w:rsid w:val="00D853C8"/>
    <w:rsid w:val="00D85712"/>
    <w:rsid w:val="00D85FA3"/>
    <w:rsid w:val="00D86618"/>
    <w:rsid w:val="00D866E1"/>
    <w:rsid w:val="00D8672C"/>
    <w:rsid w:val="00D86E94"/>
    <w:rsid w:val="00D86F01"/>
    <w:rsid w:val="00D86F5C"/>
    <w:rsid w:val="00D870E2"/>
    <w:rsid w:val="00D87855"/>
    <w:rsid w:val="00D8789E"/>
    <w:rsid w:val="00D878B1"/>
    <w:rsid w:val="00D878E8"/>
    <w:rsid w:val="00D87E0C"/>
    <w:rsid w:val="00D87E6C"/>
    <w:rsid w:val="00D87ED2"/>
    <w:rsid w:val="00D87F12"/>
    <w:rsid w:val="00D90255"/>
    <w:rsid w:val="00D903CA"/>
    <w:rsid w:val="00D90488"/>
    <w:rsid w:val="00D90498"/>
    <w:rsid w:val="00D904D3"/>
    <w:rsid w:val="00D904FC"/>
    <w:rsid w:val="00D90657"/>
    <w:rsid w:val="00D90B87"/>
    <w:rsid w:val="00D90F21"/>
    <w:rsid w:val="00D910C5"/>
    <w:rsid w:val="00D91491"/>
    <w:rsid w:val="00D91705"/>
    <w:rsid w:val="00D91710"/>
    <w:rsid w:val="00D917A9"/>
    <w:rsid w:val="00D91B29"/>
    <w:rsid w:val="00D91D49"/>
    <w:rsid w:val="00D91DB9"/>
    <w:rsid w:val="00D91DC7"/>
    <w:rsid w:val="00D91E3B"/>
    <w:rsid w:val="00D9202D"/>
    <w:rsid w:val="00D9207F"/>
    <w:rsid w:val="00D92288"/>
    <w:rsid w:val="00D92639"/>
    <w:rsid w:val="00D929F8"/>
    <w:rsid w:val="00D92A21"/>
    <w:rsid w:val="00D92D7F"/>
    <w:rsid w:val="00D92F40"/>
    <w:rsid w:val="00D92F89"/>
    <w:rsid w:val="00D93253"/>
    <w:rsid w:val="00D9326B"/>
    <w:rsid w:val="00D934F5"/>
    <w:rsid w:val="00D93D06"/>
    <w:rsid w:val="00D93D1F"/>
    <w:rsid w:val="00D93D67"/>
    <w:rsid w:val="00D94122"/>
    <w:rsid w:val="00D9458D"/>
    <w:rsid w:val="00D94768"/>
    <w:rsid w:val="00D94936"/>
    <w:rsid w:val="00D94B51"/>
    <w:rsid w:val="00D94BDE"/>
    <w:rsid w:val="00D94E63"/>
    <w:rsid w:val="00D94EEA"/>
    <w:rsid w:val="00D95037"/>
    <w:rsid w:val="00D953D7"/>
    <w:rsid w:val="00D9563C"/>
    <w:rsid w:val="00D9593C"/>
    <w:rsid w:val="00D959D8"/>
    <w:rsid w:val="00D959FD"/>
    <w:rsid w:val="00D95BC6"/>
    <w:rsid w:val="00D95E6D"/>
    <w:rsid w:val="00D960C7"/>
    <w:rsid w:val="00D9633A"/>
    <w:rsid w:val="00D964F6"/>
    <w:rsid w:val="00D9652C"/>
    <w:rsid w:val="00D9664F"/>
    <w:rsid w:val="00D96770"/>
    <w:rsid w:val="00D96C8D"/>
    <w:rsid w:val="00D9722D"/>
    <w:rsid w:val="00D97451"/>
    <w:rsid w:val="00D977E5"/>
    <w:rsid w:val="00D9790D"/>
    <w:rsid w:val="00D97AE4"/>
    <w:rsid w:val="00D97E2C"/>
    <w:rsid w:val="00D97F04"/>
    <w:rsid w:val="00DA0602"/>
    <w:rsid w:val="00DA09CF"/>
    <w:rsid w:val="00DA0A6A"/>
    <w:rsid w:val="00DA0A97"/>
    <w:rsid w:val="00DA0ADE"/>
    <w:rsid w:val="00DA0CC5"/>
    <w:rsid w:val="00DA0D23"/>
    <w:rsid w:val="00DA1025"/>
    <w:rsid w:val="00DA10C3"/>
    <w:rsid w:val="00DA1496"/>
    <w:rsid w:val="00DA16D3"/>
    <w:rsid w:val="00DA1795"/>
    <w:rsid w:val="00DA1C74"/>
    <w:rsid w:val="00DA1D0D"/>
    <w:rsid w:val="00DA2498"/>
    <w:rsid w:val="00DA24F6"/>
    <w:rsid w:val="00DA302B"/>
    <w:rsid w:val="00DA309F"/>
    <w:rsid w:val="00DA30C0"/>
    <w:rsid w:val="00DA314B"/>
    <w:rsid w:val="00DA339F"/>
    <w:rsid w:val="00DA347D"/>
    <w:rsid w:val="00DA35A8"/>
    <w:rsid w:val="00DA37EC"/>
    <w:rsid w:val="00DA3870"/>
    <w:rsid w:val="00DA3BD1"/>
    <w:rsid w:val="00DA3CAE"/>
    <w:rsid w:val="00DA408E"/>
    <w:rsid w:val="00DA409E"/>
    <w:rsid w:val="00DA416E"/>
    <w:rsid w:val="00DA44CC"/>
    <w:rsid w:val="00DA471D"/>
    <w:rsid w:val="00DA48A3"/>
    <w:rsid w:val="00DA48BF"/>
    <w:rsid w:val="00DA4AF3"/>
    <w:rsid w:val="00DA4BE9"/>
    <w:rsid w:val="00DA4E00"/>
    <w:rsid w:val="00DA4FA3"/>
    <w:rsid w:val="00DA5514"/>
    <w:rsid w:val="00DA554B"/>
    <w:rsid w:val="00DA56CB"/>
    <w:rsid w:val="00DA576A"/>
    <w:rsid w:val="00DA5837"/>
    <w:rsid w:val="00DA5CBB"/>
    <w:rsid w:val="00DA5E5F"/>
    <w:rsid w:val="00DA6233"/>
    <w:rsid w:val="00DA662E"/>
    <w:rsid w:val="00DA68A7"/>
    <w:rsid w:val="00DA68E3"/>
    <w:rsid w:val="00DA6A93"/>
    <w:rsid w:val="00DA6AB2"/>
    <w:rsid w:val="00DA6D53"/>
    <w:rsid w:val="00DA7137"/>
    <w:rsid w:val="00DA71BD"/>
    <w:rsid w:val="00DA726D"/>
    <w:rsid w:val="00DA756C"/>
    <w:rsid w:val="00DA7855"/>
    <w:rsid w:val="00DA786C"/>
    <w:rsid w:val="00DA7B05"/>
    <w:rsid w:val="00DA7C21"/>
    <w:rsid w:val="00DB008B"/>
    <w:rsid w:val="00DB028C"/>
    <w:rsid w:val="00DB04D1"/>
    <w:rsid w:val="00DB07EE"/>
    <w:rsid w:val="00DB0A5E"/>
    <w:rsid w:val="00DB0C39"/>
    <w:rsid w:val="00DB1898"/>
    <w:rsid w:val="00DB19D5"/>
    <w:rsid w:val="00DB1A14"/>
    <w:rsid w:val="00DB1BDA"/>
    <w:rsid w:val="00DB1E66"/>
    <w:rsid w:val="00DB1F82"/>
    <w:rsid w:val="00DB1FF0"/>
    <w:rsid w:val="00DB20D4"/>
    <w:rsid w:val="00DB210D"/>
    <w:rsid w:val="00DB2395"/>
    <w:rsid w:val="00DB23D3"/>
    <w:rsid w:val="00DB29CC"/>
    <w:rsid w:val="00DB2AA6"/>
    <w:rsid w:val="00DB2DFB"/>
    <w:rsid w:val="00DB2FC6"/>
    <w:rsid w:val="00DB3000"/>
    <w:rsid w:val="00DB3096"/>
    <w:rsid w:val="00DB34D3"/>
    <w:rsid w:val="00DB35A8"/>
    <w:rsid w:val="00DB3C19"/>
    <w:rsid w:val="00DB3CE2"/>
    <w:rsid w:val="00DB41BD"/>
    <w:rsid w:val="00DB434B"/>
    <w:rsid w:val="00DB4783"/>
    <w:rsid w:val="00DB4BB7"/>
    <w:rsid w:val="00DB4C85"/>
    <w:rsid w:val="00DB5301"/>
    <w:rsid w:val="00DB530D"/>
    <w:rsid w:val="00DB5338"/>
    <w:rsid w:val="00DB547A"/>
    <w:rsid w:val="00DB5975"/>
    <w:rsid w:val="00DB6574"/>
    <w:rsid w:val="00DB658A"/>
    <w:rsid w:val="00DB65F5"/>
    <w:rsid w:val="00DB68B8"/>
    <w:rsid w:val="00DB6BEF"/>
    <w:rsid w:val="00DB723B"/>
    <w:rsid w:val="00DB7317"/>
    <w:rsid w:val="00DB778C"/>
    <w:rsid w:val="00DB7C38"/>
    <w:rsid w:val="00DB7E18"/>
    <w:rsid w:val="00DB7E99"/>
    <w:rsid w:val="00DC0336"/>
    <w:rsid w:val="00DC036A"/>
    <w:rsid w:val="00DC04AA"/>
    <w:rsid w:val="00DC058D"/>
    <w:rsid w:val="00DC0725"/>
    <w:rsid w:val="00DC09A4"/>
    <w:rsid w:val="00DC0D48"/>
    <w:rsid w:val="00DC0EF8"/>
    <w:rsid w:val="00DC12B3"/>
    <w:rsid w:val="00DC1429"/>
    <w:rsid w:val="00DC1437"/>
    <w:rsid w:val="00DC15DA"/>
    <w:rsid w:val="00DC1639"/>
    <w:rsid w:val="00DC1673"/>
    <w:rsid w:val="00DC1B1A"/>
    <w:rsid w:val="00DC1CBF"/>
    <w:rsid w:val="00DC1D6E"/>
    <w:rsid w:val="00DC1DB4"/>
    <w:rsid w:val="00DC2015"/>
    <w:rsid w:val="00DC23DC"/>
    <w:rsid w:val="00DC26A8"/>
    <w:rsid w:val="00DC2701"/>
    <w:rsid w:val="00DC289B"/>
    <w:rsid w:val="00DC290B"/>
    <w:rsid w:val="00DC290D"/>
    <w:rsid w:val="00DC2AF5"/>
    <w:rsid w:val="00DC2BB8"/>
    <w:rsid w:val="00DC2FAB"/>
    <w:rsid w:val="00DC30F2"/>
    <w:rsid w:val="00DC3116"/>
    <w:rsid w:val="00DC334C"/>
    <w:rsid w:val="00DC33C5"/>
    <w:rsid w:val="00DC351A"/>
    <w:rsid w:val="00DC3544"/>
    <w:rsid w:val="00DC3558"/>
    <w:rsid w:val="00DC35BD"/>
    <w:rsid w:val="00DC35F8"/>
    <w:rsid w:val="00DC39AB"/>
    <w:rsid w:val="00DC3D9A"/>
    <w:rsid w:val="00DC3DEB"/>
    <w:rsid w:val="00DC3E77"/>
    <w:rsid w:val="00DC43EA"/>
    <w:rsid w:val="00DC4404"/>
    <w:rsid w:val="00DC4491"/>
    <w:rsid w:val="00DC4633"/>
    <w:rsid w:val="00DC4887"/>
    <w:rsid w:val="00DC492D"/>
    <w:rsid w:val="00DC4959"/>
    <w:rsid w:val="00DC497B"/>
    <w:rsid w:val="00DC4ABC"/>
    <w:rsid w:val="00DC4E6E"/>
    <w:rsid w:val="00DC4FC7"/>
    <w:rsid w:val="00DC5406"/>
    <w:rsid w:val="00DC54FE"/>
    <w:rsid w:val="00DC5554"/>
    <w:rsid w:val="00DC5C67"/>
    <w:rsid w:val="00DC5EF4"/>
    <w:rsid w:val="00DC6049"/>
    <w:rsid w:val="00DC608F"/>
    <w:rsid w:val="00DC616E"/>
    <w:rsid w:val="00DC6215"/>
    <w:rsid w:val="00DC62AA"/>
    <w:rsid w:val="00DC63F1"/>
    <w:rsid w:val="00DC6529"/>
    <w:rsid w:val="00DC668C"/>
    <w:rsid w:val="00DC66D3"/>
    <w:rsid w:val="00DC6854"/>
    <w:rsid w:val="00DC6987"/>
    <w:rsid w:val="00DC6ADA"/>
    <w:rsid w:val="00DC6BEC"/>
    <w:rsid w:val="00DC6C1B"/>
    <w:rsid w:val="00DC749F"/>
    <w:rsid w:val="00DC74EC"/>
    <w:rsid w:val="00DC75E1"/>
    <w:rsid w:val="00DC7A7D"/>
    <w:rsid w:val="00DC7B11"/>
    <w:rsid w:val="00DC7BB7"/>
    <w:rsid w:val="00DC7E32"/>
    <w:rsid w:val="00DD002F"/>
    <w:rsid w:val="00DD0134"/>
    <w:rsid w:val="00DD06FF"/>
    <w:rsid w:val="00DD0855"/>
    <w:rsid w:val="00DD0B19"/>
    <w:rsid w:val="00DD0C79"/>
    <w:rsid w:val="00DD0CBD"/>
    <w:rsid w:val="00DD0CD1"/>
    <w:rsid w:val="00DD0ED0"/>
    <w:rsid w:val="00DD1051"/>
    <w:rsid w:val="00DD10E1"/>
    <w:rsid w:val="00DD110E"/>
    <w:rsid w:val="00DD113D"/>
    <w:rsid w:val="00DD1313"/>
    <w:rsid w:val="00DD14EB"/>
    <w:rsid w:val="00DD15EB"/>
    <w:rsid w:val="00DD1679"/>
    <w:rsid w:val="00DD17CD"/>
    <w:rsid w:val="00DD17EE"/>
    <w:rsid w:val="00DD182B"/>
    <w:rsid w:val="00DD18EA"/>
    <w:rsid w:val="00DD19CD"/>
    <w:rsid w:val="00DD1B72"/>
    <w:rsid w:val="00DD1D2C"/>
    <w:rsid w:val="00DD1E73"/>
    <w:rsid w:val="00DD1E74"/>
    <w:rsid w:val="00DD220B"/>
    <w:rsid w:val="00DD23CC"/>
    <w:rsid w:val="00DD2593"/>
    <w:rsid w:val="00DD25EC"/>
    <w:rsid w:val="00DD26A0"/>
    <w:rsid w:val="00DD2920"/>
    <w:rsid w:val="00DD2B70"/>
    <w:rsid w:val="00DD2E03"/>
    <w:rsid w:val="00DD31DB"/>
    <w:rsid w:val="00DD3203"/>
    <w:rsid w:val="00DD346D"/>
    <w:rsid w:val="00DD379C"/>
    <w:rsid w:val="00DD3817"/>
    <w:rsid w:val="00DD3941"/>
    <w:rsid w:val="00DD3942"/>
    <w:rsid w:val="00DD3A13"/>
    <w:rsid w:val="00DD3AB9"/>
    <w:rsid w:val="00DD3E1A"/>
    <w:rsid w:val="00DD4398"/>
    <w:rsid w:val="00DD451F"/>
    <w:rsid w:val="00DD4802"/>
    <w:rsid w:val="00DD4C80"/>
    <w:rsid w:val="00DD4CB9"/>
    <w:rsid w:val="00DD4DD4"/>
    <w:rsid w:val="00DD52B6"/>
    <w:rsid w:val="00DD54F9"/>
    <w:rsid w:val="00DD5561"/>
    <w:rsid w:val="00DD55CC"/>
    <w:rsid w:val="00DD5D46"/>
    <w:rsid w:val="00DD613A"/>
    <w:rsid w:val="00DD6451"/>
    <w:rsid w:val="00DD64E2"/>
    <w:rsid w:val="00DD66B2"/>
    <w:rsid w:val="00DD69AD"/>
    <w:rsid w:val="00DD6A25"/>
    <w:rsid w:val="00DD6B6D"/>
    <w:rsid w:val="00DD6CBF"/>
    <w:rsid w:val="00DD6E27"/>
    <w:rsid w:val="00DD6EBD"/>
    <w:rsid w:val="00DD6F7A"/>
    <w:rsid w:val="00DD7417"/>
    <w:rsid w:val="00DD754C"/>
    <w:rsid w:val="00DD763C"/>
    <w:rsid w:val="00DD7737"/>
    <w:rsid w:val="00DD7915"/>
    <w:rsid w:val="00DD7989"/>
    <w:rsid w:val="00DD7AC4"/>
    <w:rsid w:val="00DD7ADB"/>
    <w:rsid w:val="00DD7BD4"/>
    <w:rsid w:val="00DD7C1C"/>
    <w:rsid w:val="00DD7D9E"/>
    <w:rsid w:val="00DD7E54"/>
    <w:rsid w:val="00DD7EB3"/>
    <w:rsid w:val="00DE01B8"/>
    <w:rsid w:val="00DE02EC"/>
    <w:rsid w:val="00DE0653"/>
    <w:rsid w:val="00DE0707"/>
    <w:rsid w:val="00DE07AD"/>
    <w:rsid w:val="00DE0815"/>
    <w:rsid w:val="00DE09DB"/>
    <w:rsid w:val="00DE0ADB"/>
    <w:rsid w:val="00DE0AFB"/>
    <w:rsid w:val="00DE0C34"/>
    <w:rsid w:val="00DE0CE4"/>
    <w:rsid w:val="00DE0D45"/>
    <w:rsid w:val="00DE1028"/>
    <w:rsid w:val="00DE16C5"/>
    <w:rsid w:val="00DE176F"/>
    <w:rsid w:val="00DE1794"/>
    <w:rsid w:val="00DE1854"/>
    <w:rsid w:val="00DE1C01"/>
    <w:rsid w:val="00DE1CCD"/>
    <w:rsid w:val="00DE1D93"/>
    <w:rsid w:val="00DE21E3"/>
    <w:rsid w:val="00DE241F"/>
    <w:rsid w:val="00DE2494"/>
    <w:rsid w:val="00DE24ED"/>
    <w:rsid w:val="00DE2A6D"/>
    <w:rsid w:val="00DE2B56"/>
    <w:rsid w:val="00DE2CFD"/>
    <w:rsid w:val="00DE2EF2"/>
    <w:rsid w:val="00DE2FF0"/>
    <w:rsid w:val="00DE30D5"/>
    <w:rsid w:val="00DE316D"/>
    <w:rsid w:val="00DE33E2"/>
    <w:rsid w:val="00DE346E"/>
    <w:rsid w:val="00DE371D"/>
    <w:rsid w:val="00DE3B77"/>
    <w:rsid w:val="00DE3BFF"/>
    <w:rsid w:val="00DE3D70"/>
    <w:rsid w:val="00DE3D95"/>
    <w:rsid w:val="00DE3F5C"/>
    <w:rsid w:val="00DE3F90"/>
    <w:rsid w:val="00DE4328"/>
    <w:rsid w:val="00DE44BD"/>
    <w:rsid w:val="00DE4595"/>
    <w:rsid w:val="00DE4623"/>
    <w:rsid w:val="00DE462D"/>
    <w:rsid w:val="00DE46A6"/>
    <w:rsid w:val="00DE4811"/>
    <w:rsid w:val="00DE496A"/>
    <w:rsid w:val="00DE4A31"/>
    <w:rsid w:val="00DE4BEA"/>
    <w:rsid w:val="00DE4C1F"/>
    <w:rsid w:val="00DE4F28"/>
    <w:rsid w:val="00DE51B8"/>
    <w:rsid w:val="00DE52FC"/>
    <w:rsid w:val="00DE552D"/>
    <w:rsid w:val="00DE55B0"/>
    <w:rsid w:val="00DE5600"/>
    <w:rsid w:val="00DE57D8"/>
    <w:rsid w:val="00DE5CCE"/>
    <w:rsid w:val="00DE5CF3"/>
    <w:rsid w:val="00DE5DED"/>
    <w:rsid w:val="00DE5ED9"/>
    <w:rsid w:val="00DE6260"/>
    <w:rsid w:val="00DE6366"/>
    <w:rsid w:val="00DE6450"/>
    <w:rsid w:val="00DE6479"/>
    <w:rsid w:val="00DE6708"/>
    <w:rsid w:val="00DE6B65"/>
    <w:rsid w:val="00DE6F5C"/>
    <w:rsid w:val="00DE7065"/>
    <w:rsid w:val="00DE70ED"/>
    <w:rsid w:val="00DE724D"/>
    <w:rsid w:val="00DE74E2"/>
    <w:rsid w:val="00DE74F4"/>
    <w:rsid w:val="00DE75B5"/>
    <w:rsid w:val="00DE760C"/>
    <w:rsid w:val="00DE7775"/>
    <w:rsid w:val="00DE7A02"/>
    <w:rsid w:val="00DE7B77"/>
    <w:rsid w:val="00DE7BA1"/>
    <w:rsid w:val="00DE7D12"/>
    <w:rsid w:val="00DE7F8C"/>
    <w:rsid w:val="00DF011B"/>
    <w:rsid w:val="00DF0197"/>
    <w:rsid w:val="00DF0228"/>
    <w:rsid w:val="00DF0244"/>
    <w:rsid w:val="00DF0442"/>
    <w:rsid w:val="00DF04B1"/>
    <w:rsid w:val="00DF069E"/>
    <w:rsid w:val="00DF06E4"/>
    <w:rsid w:val="00DF0A5A"/>
    <w:rsid w:val="00DF0B81"/>
    <w:rsid w:val="00DF0CD8"/>
    <w:rsid w:val="00DF0D40"/>
    <w:rsid w:val="00DF0DF1"/>
    <w:rsid w:val="00DF0E86"/>
    <w:rsid w:val="00DF1199"/>
    <w:rsid w:val="00DF137A"/>
    <w:rsid w:val="00DF13A1"/>
    <w:rsid w:val="00DF150F"/>
    <w:rsid w:val="00DF1604"/>
    <w:rsid w:val="00DF1678"/>
    <w:rsid w:val="00DF17D9"/>
    <w:rsid w:val="00DF1916"/>
    <w:rsid w:val="00DF1AFD"/>
    <w:rsid w:val="00DF1B13"/>
    <w:rsid w:val="00DF1B2A"/>
    <w:rsid w:val="00DF1B99"/>
    <w:rsid w:val="00DF1C6C"/>
    <w:rsid w:val="00DF2014"/>
    <w:rsid w:val="00DF22AB"/>
    <w:rsid w:val="00DF2356"/>
    <w:rsid w:val="00DF2547"/>
    <w:rsid w:val="00DF25D4"/>
    <w:rsid w:val="00DF262B"/>
    <w:rsid w:val="00DF269D"/>
    <w:rsid w:val="00DF276D"/>
    <w:rsid w:val="00DF295A"/>
    <w:rsid w:val="00DF2B65"/>
    <w:rsid w:val="00DF2BB7"/>
    <w:rsid w:val="00DF2DB4"/>
    <w:rsid w:val="00DF2E3D"/>
    <w:rsid w:val="00DF2E42"/>
    <w:rsid w:val="00DF2E54"/>
    <w:rsid w:val="00DF2E58"/>
    <w:rsid w:val="00DF2E6C"/>
    <w:rsid w:val="00DF31B4"/>
    <w:rsid w:val="00DF357E"/>
    <w:rsid w:val="00DF3598"/>
    <w:rsid w:val="00DF35C5"/>
    <w:rsid w:val="00DF37B7"/>
    <w:rsid w:val="00DF38BB"/>
    <w:rsid w:val="00DF3929"/>
    <w:rsid w:val="00DF398A"/>
    <w:rsid w:val="00DF3C47"/>
    <w:rsid w:val="00DF3DFD"/>
    <w:rsid w:val="00DF3F8E"/>
    <w:rsid w:val="00DF3FC3"/>
    <w:rsid w:val="00DF420C"/>
    <w:rsid w:val="00DF476B"/>
    <w:rsid w:val="00DF48C2"/>
    <w:rsid w:val="00DF4ADE"/>
    <w:rsid w:val="00DF4CBC"/>
    <w:rsid w:val="00DF4EBA"/>
    <w:rsid w:val="00DF5144"/>
    <w:rsid w:val="00DF545D"/>
    <w:rsid w:val="00DF554B"/>
    <w:rsid w:val="00DF581E"/>
    <w:rsid w:val="00DF5933"/>
    <w:rsid w:val="00DF5B49"/>
    <w:rsid w:val="00DF5D22"/>
    <w:rsid w:val="00DF6143"/>
    <w:rsid w:val="00DF6613"/>
    <w:rsid w:val="00DF66D6"/>
    <w:rsid w:val="00DF6B7A"/>
    <w:rsid w:val="00DF6E1D"/>
    <w:rsid w:val="00DF6E64"/>
    <w:rsid w:val="00DF754E"/>
    <w:rsid w:val="00DF7682"/>
    <w:rsid w:val="00DF77A1"/>
    <w:rsid w:val="00DF7845"/>
    <w:rsid w:val="00DF7CFA"/>
    <w:rsid w:val="00DF7E2B"/>
    <w:rsid w:val="00DF7F94"/>
    <w:rsid w:val="00E0001A"/>
    <w:rsid w:val="00E000E1"/>
    <w:rsid w:val="00E00361"/>
    <w:rsid w:val="00E00673"/>
    <w:rsid w:val="00E006F9"/>
    <w:rsid w:val="00E0095E"/>
    <w:rsid w:val="00E009CA"/>
    <w:rsid w:val="00E00BDA"/>
    <w:rsid w:val="00E00D04"/>
    <w:rsid w:val="00E00FD9"/>
    <w:rsid w:val="00E012BE"/>
    <w:rsid w:val="00E01462"/>
    <w:rsid w:val="00E014F0"/>
    <w:rsid w:val="00E016CA"/>
    <w:rsid w:val="00E01798"/>
    <w:rsid w:val="00E01A49"/>
    <w:rsid w:val="00E01C24"/>
    <w:rsid w:val="00E01FCD"/>
    <w:rsid w:val="00E021FE"/>
    <w:rsid w:val="00E024D3"/>
    <w:rsid w:val="00E0273F"/>
    <w:rsid w:val="00E02761"/>
    <w:rsid w:val="00E02A6C"/>
    <w:rsid w:val="00E02C7C"/>
    <w:rsid w:val="00E02D41"/>
    <w:rsid w:val="00E02E28"/>
    <w:rsid w:val="00E02E8F"/>
    <w:rsid w:val="00E02F14"/>
    <w:rsid w:val="00E03084"/>
    <w:rsid w:val="00E03320"/>
    <w:rsid w:val="00E03431"/>
    <w:rsid w:val="00E03664"/>
    <w:rsid w:val="00E03677"/>
    <w:rsid w:val="00E0376A"/>
    <w:rsid w:val="00E03865"/>
    <w:rsid w:val="00E038F9"/>
    <w:rsid w:val="00E03B76"/>
    <w:rsid w:val="00E03BCF"/>
    <w:rsid w:val="00E03D50"/>
    <w:rsid w:val="00E03D9F"/>
    <w:rsid w:val="00E03DC8"/>
    <w:rsid w:val="00E03DE4"/>
    <w:rsid w:val="00E043C8"/>
    <w:rsid w:val="00E045C0"/>
    <w:rsid w:val="00E04705"/>
    <w:rsid w:val="00E0479F"/>
    <w:rsid w:val="00E04860"/>
    <w:rsid w:val="00E04980"/>
    <w:rsid w:val="00E04A1B"/>
    <w:rsid w:val="00E04B0D"/>
    <w:rsid w:val="00E04C63"/>
    <w:rsid w:val="00E05236"/>
    <w:rsid w:val="00E053BC"/>
    <w:rsid w:val="00E05B3D"/>
    <w:rsid w:val="00E05BFD"/>
    <w:rsid w:val="00E05DBE"/>
    <w:rsid w:val="00E05F6C"/>
    <w:rsid w:val="00E0623F"/>
    <w:rsid w:val="00E06413"/>
    <w:rsid w:val="00E066A4"/>
    <w:rsid w:val="00E06EEC"/>
    <w:rsid w:val="00E06F11"/>
    <w:rsid w:val="00E0708D"/>
    <w:rsid w:val="00E07615"/>
    <w:rsid w:val="00E07A6E"/>
    <w:rsid w:val="00E07CC5"/>
    <w:rsid w:val="00E07D8C"/>
    <w:rsid w:val="00E07D93"/>
    <w:rsid w:val="00E07E26"/>
    <w:rsid w:val="00E1006D"/>
    <w:rsid w:val="00E100FB"/>
    <w:rsid w:val="00E1017B"/>
    <w:rsid w:val="00E1027C"/>
    <w:rsid w:val="00E103E8"/>
    <w:rsid w:val="00E10632"/>
    <w:rsid w:val="00E10724"/>
    <w:rsid w:val="00E1081A"/>
    <w:rsid w:val="00E108C8"/>
    <w:rsid w:val="00E10E3C"/>
    <w:rsid w:val="00E111CA"/>
    <w:rsid w:val="00E11599"/>
    <w:rsid w:val="00E11965"/>
    <w:rsid w:val="00E11A9F"/>
    <w:rsid w:val="00E11DC0"/>
    <w:rsid w:val="00E11DCF"/>
    <w:rsid w:val="00E11F3F"/>
    <w:rsid w:val="00E11F68"/>
    <w:rsid w:val="00E12144"/>
    <w:rsid w:val="00E12245"/>
    <w:rsid w:val="00E12286"/>
    <w:rsid w:val="00E1273F"/>
    <w:rsid w:val="00E12833"/>
    <w:rsid w:val="00E128AC"/>
    <w:rsid w:val="00E1298F"/>
    <w:rsid w:val="00E12A41"/>
    <w:rsid w:val="00E12D13"/>
    <w:rsid w:val="00E12F7C"/>
    <w:rsid w:val="00E13352"/>
    <w:rsid w:val="00E13807"/>
    <w:rsid w:val="00E1380C"/>
    <w:rsid w:val="00E13972"/>
    <w:rsid w:val="00E139BE"/>
    <w:rsid w:val="00E13BE1"/>
    <w:rsid w:val="00E13CE2"/>
    <w:rsid w:val="00E13CFA"/>
    <w:rsid w:val="00E14475"/>
    <w:rsid w:val="00E14975"/>
    <w:rsid w:val="00E1497E"/>
    <w:rsid w:val="00E14A63"/>
    <w:rsid w:val="00E14A6B"/>
    <w:rsid w:val="00E14A8E"/>
    <w:rsid w:val="00E14B96"/>
    <w:rsid w:val="00E14C67"/>
    <w:rsid w:val="00E14D2F"/>
    <w:rsid w:val="00E14EEE"/>
    <w:rsid w:val="00E14F55"/>
    <w:rsid w:val="00E15882"/>
    <w:rsid w:val="00E158AE"/>
    <w:rsid w:val="00E15BEB"/>
    <w:rsid w:val="00E15DBD"/>
    <w:rsid w:val="00E15EE4"/>
    <w:rsid w:val="00E1623F"/>
    <w:rsid w:val="00E1630E"/>
    <w:rsid w:val="00E1664B"/>
    <w:rsid w:val="00E16816"/>
    <w:rsid w:val="00E1681F"/>
    <w:rsid w:val="00E1683A"/>
    <w:rsid w:val="00E16935"/>
    <w:rsid w:val="00E16B37"/>
    <w:rsid w:val="00E16B90"/>
    <w:rsid w:val="00E16C1D"/>
    <w:rsid w:val="00E16CF7"/>
    <w:rsid w:val="00E16E79"/>
    <w:rsid w:val="00E16FE0"/>
    <w:rsid w:val="00E172D0"/>
    <w:rsid w:val="00E173CE"/>
    <w:rsid w:val="00E175F1"/>
    <w:rsid w:val="00E176EB"/>
    <w:rsid w:val="00E17E2F"/>
    <w:rsid w:val="00E201F2"/>
    <w:rsid w:val="00E203A2"/>
    <w:rsid w:val="00E20718"/>
    <w:rsid w:val="00E208A0"/>
    <w:rsid w:val="00E2091F"/>
    <w:rsid w:val="00E20B0B"/>
    <w:rsid w:val="00E21062"/>
    <w:rsid w:val="00E21422"/>
    <w:rsid w:val="00E2143E"/>
    <w:rsid w:val="00E2161D"/>
    <w:rsid w:val="00E217B0"/>
    <w:rsid w:val="00E21941"/>
    <w:rsid w:val="00E2197A"/>
    <w:rsid w:val="00E219BB"/>
    <w:rsid w:val="00E219CA"/>
    <w:rsid w:val="00E21DAD"/>
    <w:rsid w:val="00E220F8"/>
    <w:rsid w:val="00E22180"/>
    <w:rsid w:val="00E223F8"/>
    <w:rsid w:val="00E22476"/>
    <w:rsid w:val="00E225A7"/>
    <w:rsid w:val="00E225C8"/>
    <w:rsid w:val="00E226FF"/>
    <w:rsid w:val="00E22851"/>
    <w:rsid w:val="00E22944"/>
    <w:rsid w:val="00E22CF1"/>
    <w:rsid w:val="00E22D0A"/>
    <w:rsid w:val="00E22DBD"/>
    <w:rsid w:val="00E22EDA"/>
    <w:rsid w:val="00E23041"/>
    <w:rsid w:val="00E23056"/>
    <w:rsid w:val="00E2307B"/>
    <w:rsid w:val="00E2312C"/>
    <w:rsid w:val="00E23314"/>
    <w:rsid w:val="00E2345F"/>
    <w:rsid w:val="00E234A8"/>
    <w:rsid w:val="00E2378D"/>
    <w:rsid w:val="00E238A8"/>
    <w:rsid w:val="00E23BD4"/>
    <w:rsid w:val="00E23C00"/>
    <w:rsid w:val="00E23D9C"/>
    <w:rsid w:val="00E23DFC"/>
    <w:rsid w:val="00E23E28"/>
    <w:rsid w:val="00E241BD"/>
    <w:rsid w:val="00E242E0"/>
    <w:rsid w:val="00E243E9"/>
    <w:rsid w:val="00E2469A"/>
    <w:rsid w:val="00E24808"/>
    <w:rsid w:val="00E24B56"/>
    <w:rsid w:val="00E24BBE"/>
    <w:rsid w:val="00E25096"/>
    <w:rsid w:val="00E2539E"/>
    <w:rsid w:val="00E2571F"/>
    <w:rsid w:val="00E25AAD"/>
    <w:rsid w:val="00E25B40"/>
    <w:rsid w:val="00E25CB8"/>
    <w:rsid w:val="00E25E31"/>
    <w:rsid w:val="00E25E64"/>
    <w:rsid w:val="00E25E6E"/>
    <w:rsid w:val="00E2605C"/>
    <w:rsid w:val="00E263A9"/>
    <w:rsid w:val="00E26525"/>
    <w:rsid w:val="00E26623"/>
    <w:rsid w:val="00E26693"/>
    <w:rsid w:val="00E26A2E"/>
    <w:rsid w:val="00E27404"/>
    <w:rsid w:val="00E27488"/>
    <w:rsid w:val="00E27884"/>
    <w:rsid w:val="00E27A03"/>
    <w:rsid w:val="00E27B43"/>
    <w:rsid w:val="00E27C28"/>
    <w:rsid w:val="00E27DAF"/>
    <w:rsid w:val="00E27DFB"/>
    <w:rsid w:val="00E27E8D"/>
    <w:rsid w:val="00E2CEA7"/>
    <w:rsid w:val="00E3004F"/>
    <w:rsid w:val="00E3009E"/>
    <w:rsid w:val="00E300FB"/>
    <w:rsid w:val="00E3056F"/>
    <w:rsid w:val="00E30819"/>
    <w:rsid w:val="00E30B1C"/>
    <w:rsid w:val="00E30CF2"/>
    <w:rsid w:val="00E30F0D"/>
    <w:rsid w:val="00E31186"/>
    <w:rsid w:val="00E31480"/>
    <w:rsid w:val="00E3168F"/>
    <w:rsid w:val="00E3173F"/>
    <w:rsid w:val="00E31817"/>
    <w:rsid w:val="00E31A45"/>
    <w:rsid w:val="00E31FFB"/>
    <w:rsid w:val="00E320FE"/>
    <w:rsid w:val="00E3237E"/>
    <w:rsid w:val="00E32717"/>
    <w:rsid w:val="00E32785"/>
    <w:rsid w:val="00E327EC"/>
    <w:rsid w:val="00E32B3B"/>
    <w:rsid w:val="00E32D00"/>
    <w:rsid w:val="00E32E8D"/>
    <w:rsid w:val="00E330D5"/>
    <w:rsid w:val="00E33189"/>
    <w:rsid w:val="00E33243"/>
    <w:rsid w:val="00E335B8"/>
    <w:rsid w:val="00E33665"/>
    <w:rsid w:val="00E338E2"/>
    <w:rsid w:val="00E33AB4"/>
    <w:rsid w:val="00E33AF8"/>
    <w:rsid w:val="00E33E26"/>
    <w:rsid w:val="00E3402A"/>
    <w:rsid w:val="00E340A4"/>
    <w:rsid w:val="00E34416"/>
    <w:rsid w:val="00E3443E"/>
    <w:rsid w:val="00E345A3"/>
    <w:rsid w:val="00E345C8"/>
    <w:rsid w:val="00E34839"/>
    <w:rsid w:val="00E34849"/>
    <w:rsid w:val="00E34CA5"/>
    <w:rsid w:val="00E34DA2"/>
    <w:rsid w:val="00E34F76"/>
    <w:rsid w:val="00E35318"/>
    <w:rsid w:val="00E35456"/>
    <w:rsid w:val="00E35595"/>
    <w:rsid w:val="00E356FB"/>
    <w:rsid w:val="00E35904"/>
    <w:rsid w:val="00E35D1B"/>
    <w:rsid w:val="00E35DC8"/>
    <w:rsid w:val="00E35ED0"/>
    <w:rsid w:val="00E35FB0"/>
    <w:rsid w:val="00E360AB"/>
    <w:rsid w:val="00E36204"/>
    <w:rsid w:val="00E365BE"/>
    <w:rsid w:val="00E367E8"/>
    <w:rsid w:val="00E36A1A"/>
    <w:rsid w:val="00E36BE1"/>
    <w:rsid w:val="00E36C94"/>
    <w:rsid w:val="00E36F8B"/>
    <w:rsid w:val="00E37291"/>
    <w:rsid w:val="00E37873"/>
    <w:rsid w:val="00E3793F"/>
    <w:rsid w:val="00E379C0"/>
    <w:rsid w:val="00E379F0"/>
    <w:rsid w:val="00E37B80"/>
    <w:rsid w:val="00E37EAA"/>
    <w:rsid w:val="00E40126"/>
    <w:rsid w:val="00E402CA"/>
    <w:rsid w:val="00E4049F"/>
    <w:rsid w:val="00E404ED"/>
    <w:rsid w:val="00E40620"/>
    <w:rsid w:val="00E4087C"/>
    <w:rsid w:val="00E40B79"/>
    <w:rsid w:val="00E40B87"/>
    <w:rsid w:val="00E40BA7"/>
    <w:rsid w:val="00E40CC2"/>
    <w:rsid w:val="00E40EE4"/>
    <w:rsid w:val="00E4138D"/>
    <w:rsid w:val="00E41423"/>
    <w:rsid w:val="00E415F5"/>
    <w:rsid w:val="00E41C1C"/>
    <w:rsid w:val="00E41D91"/>
    <w:rsid w:val="00E42048"/>
    <w:rsid w:val="00E42370"/>
    <w:rsid w:val="00E42445"/>
    <w:rsid w:val="00E425D6"/>
    <w:rsid w:val="00E425DB"/>
    <w:rsid w:val="00E4271E"/>
    <w:rsid w:val="00E42AB7"/>
    <w:rsid w:val="00E42B94"/>
    <w:rsid w:val="00E42BEE"/>
    <w:rsid w:val="00E42C48"/>
    <w:rsid w:val="00E42FDE"/>
    <w:rsid w:val="00E42FFF"/>
    <w:rsid w:val="00E43594"/>
    <w:rsid w:val="00E43675"/>
    <w:rsid w:val="00E436C6"/>
    <w:rsid w:val="00E43842"/>
    <w:rsid w:val="00E43B70"/>
    <w:rsid w:val="00E43DCB"/>
    <w:rsid w:val="00E43E6C"/>
    <w:rsid w:val="00E43EAA"/>
    <w:rsid w:val="00E440BA"/>
    <w:rsid w:val="00E440C3"/>
    <w:rsid w:val="00E440C5"/>
    <w:rsid w:val="00E4415E"/>
    <w:rsid w:val="00E4426A"/>
    <w:rsid w:val="00E44687"/>
    <w:rsid w:val="00E44758"/>
    <w:rsid w:val="00E44870"/>
    <w:rsid w:val="00E44A54"/>
    <w:rsid w:val="00E44DC4"/>
    <w:rsid w:val="00E44F72"/>
    <w:rsid w:val="00E45845"/>
    <w:rsid w:val="00E45AF0"/>
    <w:rsid w:val="00E45B16"/>
    <w:rsid w:val="00E4617F"/>
    <w:rsid w:val="00E46192"/>
    <w:rsid w:val="00E46286"/>
    <w:rsid w:val="00E46965"/>
    <w:rsid w:val="00E46968"/>
    <w:rsid w:val="00E46BB5"/>
    <w:rsid w:val="00E46E82"/>
    <w:rsid w:val="00E46F5B"/>
    <w:rsid w:val="00E4711D"/>
    <w:rsid w:val="00E471B6"/>
    <w:rsid w:val="00E47291"/>
    <w:rsid w:val="00E477EB"/>
    <w:rsid w:val="00E4787B"/>
    <w:rsid w:val="00E47CE1"/>
    <w:rsid w:val="00E47D79"/>
    <w:rsid w:val="00E500AF"/>
    <w:rsid w:val="00E5016D"/>
    <w:rsid w:val="00E502E4"/>
    <w:rsid w:val="00E503AB"/>
    <w:rsid w:val="00E50630"/>
    <w:rsid w:val="00E506AB"/>
    <w:rsid w:val="00E50756"/>
    <w:rsid w:val="00E508B6"/>
    <w:rsid w:val="00E50914"/>
    <w:rsid w:val="00E50A3C"/>
    <w:rsid w:val="00E50BA8"/>
    <w:rsid w:val="00E50EA5"/>
    <w:rsid w:val="00E50EB1"/>
    <w:rsid w:val="00E51022"/>
    <w:rsid w:val="00E512B0"/>
    <w:rsid w:val="00E512E0"/>
    <w:rsid w:val="00E51301"/>
    <w:rsid w:val="00E513FE"/>
    <w:rsid w:val="00E5162B"/>
    <w:rsid w:val="00E5178E"/>
    <w:rsid w:val="00E5182D"/>
    <w:rsid w:val="00E51CCF"/>
    <w:rsid w:val="00E51DD1"/>
    <w:rsid w:val="00E52089"/>
    <w:rsid w:val="00E5238C"/>
    <w:rsid w:val="00E52661"/>
    <w:rsid w:val="00E52705"/>
    <w:rsid w:val="00E52A14"/>
    <w:rsid w:val="00E52C35"/>
    <w:rsid w:val="00E52E1A"/>
    <w:rsid w:val="00E52E6E"/>
    <w:rsid w:val="00E52FE1"/>
    <w:rsid w:val="00E53061"/>
    <w:rsid w:val="00E5317C"/>
    <w:rsid w:val="00E5326C"/>
    <w:rsid w:val="00E533BD"/>
    <w:rsid w:val="00E535E0"/>
    <w:rsid w:val="00E53633"/>
    <w:rsid w:val="00E5392F"/>
    <w:rsid w:val="00E53BB5"/>
    <w:rsid w:val="00E53C3F"/>
    <w:rsid w:val="00E53F50"/>
    <w:rsid w:val="00E54069"/>
    <w:rsid w:val="00E5406B"/>
    <w:rsid w:val="00E540C4"/>
    <w:rsid w:val="00E54353"/>
    <w:rsid w:val="00E54416"/>
    <w:rsid w:val="00E545BB"/>
    <w:rsid w:val="00E548E2"/>
    <w:rsid w:val="00E54DDA"/>
    <w:rsid w:val="00E55059"/>
    <w:rsid w:val="00E550F9"/>
    <w:rsid w:val="00E5511A"/>
    <w:rsid w:val="00E55121"/>
    <w:rsid w:val="00E55166"/>
    <w:rsid w:val="00E551E0"/>
    <w:rsid w:val="00E557A2"/>
    <w:rsid w:val="00E55972"/>
    <w:rsid w:val="00E55A7F"/>
    <w:rsid w:val="00E55A85"/>
    <w:rsid w:val="00E55BA5"/>
    <w:rsid w:val="00E55C90"/>
    <w:rsid w:val="00E55DBF"/>
    <w:rsid w:val="00E55F09"/>
    <w:rsid w:val="00E55F29"/>
    <w:rsid w:val="00E561C0"/>
    <w:rsid w:val="00E5637A"/>
    <w:rsid w:val="00E56887"/>
    <w:rsid w:val="00E56894"/>
    <w:rsid w:val="00E569ED"/>
    <w:rsid w:val="00E56C45"/>
    <w:rsid w:val="00E56FDB"/>
    <w:rsid w:val="00E57162"/>
    <w:rsid w:val="00E576B0"/>
    <w:rsid w:val="00E5776B"/>
    <w:rsid w:val="00E579C3"/>
    <w:rsid w:val="00E57B6A"/>
    <w:rsid w:val="00E57D47"/>
    <w:rsid w:val="00E57EB6"/>
    <w:rsid w:val="00E57FFD"/>
    <w:rsid w:val="00E60093"/>
    <w:rsid w:val="00E602F2"/>
    <w:rsid w:val="00E605BE"/>
    <w:rsid w:val="00E60C0D"/>
    <w:rsid w:val="00E61730"/>
    <w:rsid w:val="00E61740"/>
    <w:rsid w:val="00E61A3D"/>
    <w:rsid w:val="00E61B73"/>
    <w:rsid w:val="00E61BD3"/>
    <w:rsid w:val="00E61E84"/>
    <w:rsid w:val="00E61FD2"/>
    <w:rsid w:val="00E62025"/>
    <w:rsid w:val="00E6208C"/>
    <w:rsid w:val="00E62275"/>
    <w:rsid w:val="00E62627"/>
    <w:rsid w:val="00E6271B"/>
    <w:rsid w:val="00E6271C"/>
    <w:rsid w:val="00E62C9A"/>
    <w:rsid w:val="00E630BC"/>
    <w:rsid w:val="00E63206"/>
    <w:rsid w:val="00E63233"/>
    <w:rsid w:val="00E63562"/>
    <w:rsid w:val="00E6374D"/>
    <w:rsid w:val="00E63800"/>
    <w:rsid w:val="00E639E9"/>
    <w:rsid w:val="00E63C45"/>
    <w:rsid w:val="00E63F3E"/>
    <w:rsid w:val="00E64007"/>
    <w:rsid w:val="00E64891"/>
    <w:rsid w:val="00E64BD9"/>
    <w:rsid w:val="00E64EFA"/>
    <w:rsid w:val="00E652B1"/>
    <w:rsid w:val="00E65342"/>
    <w:rsid w:val="00E6541D"/>
    <w:rsid w:val="00E65862"/>
    <w:rsid w:val="00E65A6F"/>
    <w:rsid w:val="00E65A7D"/>
    <w:rsid w:val="00E65BB3"/>
    <w:rsid w:val="00E65C54"/>
    <w:rsid w:val="00E65DEF"/>
    <w:rsid w:val="00E65FCC"/>
    <w:rsid w:val="00E66277"/>
    <w:rsid w:val="00E6636A"/>
    <w:rsid w:val="00E6649F"/>
    <w:rsid w:val="00E66698"/>
    <w:rsid w:val="00E66AC3"/>
    <w:rsid w:val="00E66AFE"/>
    <w:rsid w:val="00E66B6C"/>
    <w:rsid w:val="00E66EA4"/>
    <w:rsid w:val="00E66F50"/>
    <w:rsid w:val="00E6741C"/>
    <w:rsid w:val="00E677A2"/>
    <w:rsid w:val="00E67BDE"/>
    <w:rsid w:val="00E67E6E"/>
    <w:rsid w:val="00E67FF6"/>
    <w:rsid w:val="00E70235"/>
    <w:rsid w:val="00E7031C"/>
    <w:rsid w:val="00E7045E"/>
    <w:rsid w:val="00E70499"/>
    <w:rsid w:val="00E706AE"/>
    <w:rsid w:val="00E7073B"/>
    <w:rsid w:val="00E707DF"/>
    <w:rsid w:val="00E70DFB"/>
    <w:rsid w:val="00E71117"/>
    <w:rsid w:val="00E711CF"/>
    <w:rsid w:val="00E7123B"/>
    <w:rsid w:val="00E71258"/>
    <w:rsid w:val="00E712BF"/>
    <w:rsid w:val="00E71452"/>
    <w:rsid w:val="00E716B1"/>
    <w:rsid w:val="00E716E2"/>
    <w:rsid w:val="00E7192C"/>
    <w:rsid w:val="00E71D8F"/>
    <w:rsid w:val="00E71ECB"/>
    <w:rsid w:val="00E71F09"/>
    <w:rsid w:val="00E7223F"/>
    <w:rsid w:val="00E723EB"/>
    <w:rsid w:val="00E72427"/>
    <w:rsid w:val="00E725A4"/>
    <w:rsid w:val="00E72920"/>
    <w:rsid w:val="00E72944"/>
    <w:rsid w:val="00E72964"/>
    <w:rsid w:val="00E72CE8"/>
    <w:rsid w:val="00E72E35"/>
    <w:rsid w:val="00E72FE1"/>
    <w:rsid w:val="00E7300A"/>
    <w:rsid w:val="00E731D7"/>
    <w:rsid w:val="00E73209"/>
    <w:rsid w:val="00E73383"/>
    <w:rsid w:val="00E7385B"/>
    <w:rsid w:val="00E73A34"/>
    <w:rsid w:val="00E740D4"/>
    <w:rsid w:val="00E74115"/>
    <w:rsid w:val="00E74320"/>
    <w:rsid w:val="00E74336"/>
    <w:rsid w:val="00E74929"/>
    <w:rsid w:val="00E74ABD"/>
    <w:rsid w:val="00E74B9E"/>
    <w:rsid w:val="00E75011"/>
    <w:rsid w:val="00E7505E"/>
    <w:rsid w:val="00E753AE"/>
    <w:rsid w:val="00E75497"/>
    <w:rsid w:val="00E75660"/>
    <w:rsid w:val="00E756B3"/>
    <w:rsid w:val="00E7589D"/>
    <w:rsid w:val="00E759A6"/>
    <w:rsid w:val="00E75A55"/>
    <w:rsid w:val="00E75B71"/>
    <w:rsid w:val="00E75D6B"/>
    <w:rsid w:val="00E75F0D"/>
    <w:rsid w:val="00E75FBA"/>
    <w:rsid w:val="00E7605C"/>
    <w:rsid w:val="00E76217"/>
    <w:rsid w:val="00E764BC"/>
    <w:rsid w:val="00E7658B"/>
    <w:rsid w:val="00E7679B"/>
    <w:rsid w:val="00E76FC0"/>
    <w:rsid w:val="00E77412"/>
    <w:rsid w:val="00E7744E"/>
    <w:rsid w:val="00E77508"/>
    <w:rsid w:val="00E77545"/>
    <w:rsid w:val="00E775D6"/>
    <w:rsid w:val="00E77B63"/>
    <w:rsid w:val="00E77BCC"/>
    <w:rsid w:val="00E77D03"/>
    <w:rsid w:val="00E77EF4"/>
    <w:rsid w:val="00E8006D"/>
    <w:rsid w:val="00E80083"/>
    <w:rsid w:val="00E800AC"/>
    <w:rsid w:val="00E80110"/>
    <w:rsid w:val="00E8017F"/>
    <w:rsid w:val="00E802F9"/>
    <w:rsid w:val="00E8036F"/>
    <w:rsid w:val="00E80693"/>
    <w:rsid w:val="00E806C0"/>
    <w:rsid w:val="00E807B2"/>
    <w:rsid w:val="00E80878"/>
    <w:rsid w:val="00E80AA2"/>
    <w:rsid w:val="00E80DC5"/>
    <w:rsid w:val="00E80FC7"/>
    <w:rsid w:val="00E81272"/>
    <w:rsid w:val="00E813B7"/>
    <w:rsid w:val="00E81433"/>
    <w:rsid w:val="00E814E2"/>
    <w:rsid w:val="00E8165A"/>
    <w:rsid w:val="00E81696"/>
    <w:rsid w:val="00E8177A"/>
    <w:rsid w:val="00E81C5E"/>
    <w:rsid w:val="00E81FFB"/>
    <w:rsid w:val="00E81FFF"/>
    <w:rsid w:val="00E82064"/>
    <w:rsid w:val="00E82299"/>
    <w:rsid w:val="00E82348"/>
    <w:rsid w:val="00E82659"/>
    <w:rsid w:val="00E8292F"/>
    <w:rsid w:val="00E82EEC"/>
    <w:rsid w:val="00E82F4E"/>
    <w:rsid w:val="00E83005"/>
    <w:rsid w:val="00E83085"/>
    <w:rsid w:val="00E83363"/>
    <w:rsid w:val="00E8337B"/>
    <w:rsid w:val="00E83736"/>
    <w:rsid w:val="00E8376D"/>
    <w:rsid w:val="00E837D4"/>
    <w:rsid w:val="00E839EA"/>
    <w:rsid w:val="00E83AB7"/>
    <w:rsid w:val="00E83C77"/>
    <w:rsid w:val="00E83CD8"/>
    <w:rsid w:val="00E83D2E"/>
    <w:rsid w:val="00E83E6C"/>
    <w:rsid w:val="00E83F6D"/>
    <w:rsid w:val="00E84089"/>
    <w:rsid w:val="00E842A7"/>
    <w:rsid w:val="00E84465"/>
    <w:rsid w:val="00E84D96"/>
    <w:rsid w:val="00E84DBC"/>
    <w:rsid w:val="00E85275"/>
    <w:rsid w:val="00E855BF"/>
    <w:rsid w:val="00E855FD"/>
    <w:rsid w:val="00E85968"/>
    <w:rsid w:val="00E859C1"/>
    <w:rsid w:val="00E85B19"/>
    <w:rsid w:val="00E85CD9"/>
    <w:rsid w:val="00E861A6"/>
    <w:rsid w:val="00E86244"/>
    <w:rsid w:val="00E862D0"/>
    <w:rsid w:val="00E86423"/>
    <w:rsid w:val="00E865FC"/>
    <w:rsid w:val="00E866B3"/>
    <w:rsid w:val="00E8674A"/>
    <w:rsid w:val="00E867C5"/>
    <w:rsid w:val="00E8694B"/>
    <w:rsid w:val="00E86ACB"/>
    <w:rsid w:val="00E86BC8"/>
    <w:rsid w:val="00E86DA3"/>
    <w:rsid w:val="00E8716F"/>
    <w:rsid w:val="00E87377"/>
    <w:rsid w:val="00E877A3"/>
    <w:rsid w:val="00E9033C"/>
    <w:rsid w:val="00E903DE"/>
    <w:rsid w:val="00E905D9"/>
    <w:rsid w:val="00E90D2D"/>
    <w:rsid w:val="00E90EDB"/>
    <w:rsid w:val="00E90F93"/>
    <w:rsid w:val="00E90FD5"/>
    <w:rsid w:val="00E913E8"/>
    <w:rsid w:val="00E914B5"/>
    <w:rsid w:val="00E914EF"/>
    <w:rsid w:val="00E9186C"/>
    <w:rsid w:val="00E918B4"/>
    <w:rsid w:val="00E91B7E"/>
    <w:rsid w:val="00E91CF1"/>
    <w:rsid w:val="00E91DCF"/>
    <w:rsid w:val="00E91E1E"/>
    <w:rsid w:val="00E91E87"/>
    <w:rsid w:val="00E91F6A"/>
    <w:rsid w:val="00E9203A"/>
    <w:rsid w:val="00E920E2"/>
    <w:rsid w:val="00E924FB"/>
    <w:rsid w:val="00E925D1"/>
    <w:rsid w:val="00E92670"/>
    <w:rsid w:val="00E92A19"/>
    <w:rsid w:val="00E92A79"/>
    <w:rsid w:val="00E92AB3"/>
    <w:rsid w:val="00E92B88"/>
    <w:rsid w:val="00E92DD2"/>
    <w:rsid w:val="00E92E92"/>
    <w:rsid w:val="00E92EDE"/>
    <w:rsid w:val="00E92EED"/>
    <w:rsid w:val="00E93000"/>
    <w:rsid w:val="00E9315A"/>
    <w:rsid w:val="00E935C8"/>
    <w:rsid w:val="00E939C5"/>
    <w:rsid w:val="00E93BCF"/>
    <w:rsid w:val="00E93D63"/>
    <w:rsid w:val="00E94054"/>
    <w:rsid w:val="00E94A6D"/>
    <w:rsid w:val="00E94AE5"/>
    <w:rsid w:val="00E94B1A"/>
    <w:rsid w:val="00E94C32"/>
    <w:rsid w:val="00E94EA7"/>
    <w:rsid w:val="00E95358"/>
    <w:rsid w:val="00E953ED"/>
    <w:rsid w:val="00E95409"/>
    <w:rsid w:val="00E9544F"/>
    <w:rsid w:val="00E95A8A"/>
    <w:rsid w:val="00E95D4F"/>
    <w:rsid w:val="00E95E1B"/>
    <w:rsid w:val="00E9601E"/>
    <w:rsid w:val="00E96073"/>
    <w:rsid w:val="00E9612A"/>
    <w:rsid w:val="00E961EA"/>
    <w:rsid w:val="00E9631D"/>
    <w:rsid w:val="00E96805"/>
    <w:rsid w:val="00E96AB6"/>
    <w:rsid w:val="00E96C6E"/>
    <w:rsid w:val="00E96DB9"/>
    <w:rsid w:val="00E96F48"/>
    <w:rsid w:val="00E9715E"/>
    <w:rsid w:val="00E97368"/>
    <w:rsid w:val="00E97567"/>
    <w:rsid w:val="00E9760D"/>
    <w:rsid w:val="00E977DF"/>
    <w:rsid w:val="00E97A4E"/>
    <w:rsid w:val="00E97B94"/>
    <w:rsid w:val="00E97CAF"/>
    <w:rsid w:val="00E97EE4"/>
    <w:rsid w:val="00E97F74"/>
    <w:rsid w:val="00E97FA9"/>
    <w:rsid w:val="00E97FEA"/>
    <w:rsid w:val="00EA008C"/>
    <w:rsid w:val="00EA01DB"/>
    <w:rsid w:val="00EA020F"/>
    <w:rsid w:val="00EA071B"/>
    <w:rsid w:val="00EA0737"/>
    <w:rsid w:val="00EA0830"/>
    <w:rsid w:val="00EA0918"/>
    <w:rsid w:val="00EA0D10"/>
    <w:rsid w:val="00EA0F0F"/>
    <w:rsid w:val="00EA1122"/>
    <w:rsid w:val="00EA1549"/>
    <w:rsid w:val="00EA15FF"/>
    <w:rsid w:val="00EA17BA"/>
    <w:rsid w:val="00EA187F"/>
    <w:rsid w:val="00EA1C9F"/>
    <w:rsid w:val="00EA1CB5"/>
    <w:rsid w:val="00EA1E9D"/>
    <w:rsid w:val="00EA1F81"/>
    <w:rsid w:val="00EA2099"/>
    <w:rsid w:val="00EA223F"/>
    <w:rsid w:val="00EA262C"/>
    <w:rsid w:val="00EA2A28"/>
    <w:rsid w:val="00EA2BC6"/>
    <w:rsid w:val="00EA2C86"/>
    <w:rsid w:val="00EA3028"/>
    <w:rsid w:val="00EA31C1"/>
    <w:rsid w:val="00EA35B0"/>
    <w:rsid w:val="00EA36F0"/>
    <w:rsid w:val="00EA3738"/>
    <w:rsid w:val="00EA3937"/>
    <w:rsid w:val="00EA394F"/>
    <w:rsid w:val="00EA39B0"/>
    <w:rsid w:val="00EA3C0A"/>
    <w:rsid w:val="00EA3D7B"/>
    <w:rsid w:val="00EA3F21"/>
    <w:rsid w:val="00EA40CD"/>
    <w:rsid w:val="00EA416D"/>
    <w:rsid w:val="00EA45DF"/>
    <w:rsid w:val="00EA46EE"/>
    <w:rsid w:val="00EA4993"/>
    <w:rsid w:val="00EA4BD0"/>
    <w:rsid w:val="00EA4E17"/>
    <w:rsid w:val="00EA4F20"/>
    <w:rsid w:val="00EA4F57"/>
    <w:rsid w:val="00EA530D"/>
    <w:rsid w:val="00EA5620"/>
    <w:rsid w:val="00EA580C"/>
    <w:rsid w:val="00EA5877"/>
    <w:rsid w:val="00EA58D5"/>
    <w:rsid w:val="00EA5B51"/>
    <w:rsid w:val="00EA5D30"/>
    <w:rsid w:val="00EA5E2E"/>
    <w:rsid w:val="00EA609B"/>
    <w:rsid w:val="00EA6203"/>
    <w:rsid w:val="00EA6223"/>
    <w:rsid w:val="00EA6305"/>
    <w:rsid w:val="00EA64E0"/>
    <w:rsid w:val="00EA6872"/>
    <w:rsid w:val="00EA68CD"/>
    <w:rsid w:val="00EA6A5E"/>
    <w:rsid w:val="00EA6AB7"/>
    <w:rsid w:val="00EA6BFC"/>
    <w:rsid w:val="00EA6C83"/>
    <w:rsid w:val="00EA6E14"/>
    <w:rsid w:val="00EA6F81"/>
    <w:rsid w:val="00EA7038"/>
    <w:rsid w:val="00EA712D"/>
    <w:rsid w:val="00EA76C4"/>
    <w:rsid w:val="00EA778E"/>
    <w:rsid w:val="00EA79D9"/>
    <w:rsid w:val="00EA7A4C"/>
    <w:rsid w:val="00EA7AA7"/>
    <w:rsid w:val="00EA7B6F"/>
    <w:rsid w:val="00EA7E23"/>
    <w:rsid w:val="00EA7FE5"/>
    <w:rsid w:val="00EB02C4"/>
    <w:rsid w:val="00EB0804"/>
    <w:rsid w:val="00EB09CA"/>
    <w:rsid w:val="00EB0CB0"/>
    <w:rsid w:val="00EB0DC3"/>
    <w:rsid w:val="00EB0DD2"/>
    <w:rsid w:val="00EB0E3D"/>
    <w:rsid w:val="00EB0E7A"/>
    <w:rsid w:val="00EB0F1E"/>
    <w:rsid w:val="00EB11DC"/>
    <w:rsid w:val="00EB138D"/>
    <w:rsid w:val="00EB1832"/>
    <w:rsid w:val="00EB1AD6"/>
    <w:rsid w:val="00EB1CCB"/>
    <w:rsid w:val="00EB1F7C"/>
    <w:rsid w:val="00EB20F0"/>
    <w:rsid w:val="00EB2334"/>
    <w:rsid w:val="00EB25D0"/>
    <w:rsid w:val="00EB296C"/>
    <w:rsid w:val="00EB2C7B"/>
    <w:rsid w:val="00EB2EC1"/>
    <w:rsid w:val="00EB2EFE"/>
    <w:rsid w:val="00EB2FC8"/>
    <w:rsid w:val="00EB33E8"/>
    <w:rsid w:val="00EB34E6"/>
    <w:rsid w:val="00EB39EC"/>
    <w:rsid w:val="00EB3AED"/>
    <w:rsid w:val="00EB3B90"/>
    <w:rsid w:val="00EB3D45"/>
    <w:rsid w:val="00EB3EAC"/>
    <w:rsid w:val="00EB414B"/>
    <w:rsid w:val="00EB42EA"/>
    <w:rsid w:val="00EB4C22"/>
    <w:rsid w:val="00EB4CE2"/>
    <w:rsid w:val="00EB4E2C"/>
    <w:rsid w:val="00EB51BD"/>
    <w:rsid w:val="00EB5264"/>
    <w:rsid w:val="00EB55E4"/>
    <w:rsid w:val="00EB56A0"/>
    <w:rsid w:val="00EB577B"/>
    <w:rsid w:val="00EB5923"/>
    <w:rsid w:val="00EB59FB"/>
    <w:rsid w:val="00EB5BE6"/>
    <w:rsid w:val="00EB5E57"/>
    <w:rsid w:val="00EB5F7A"/>
    <w:rsid w:val="00EB605F"/>
    <w:rsid w:val="00EB6323"/>
    <w:rsid w:val="00EB6441"/>
    <w:rsid w:val="00EB67E7"/>
    <w:rsid w:val="00EB68A5"/>
    <w:rsid w:val="00EB6986"/>
    <w:rsid w:val="00EB6EB5"/>
    <w:rsid w:val="00EB7233"/>
    <w:rsid w:val="00EB745F"/>
    <w:rsid w:val="00EB75AD"/>
    <w:rsid w:val="00EB77A3"/>
    <w:rsid w:val="00EB79DD"/>
    <w:rsid w:val="00EB79E9"/>
    <w:rsid w:val="00EB7A2F"/>
    <w:rsid w:val="00EB7A76"/>
    <w:rsid w:val="00EB7C32"/>
    <w:rsid w:val="00EB7F4C"/>
    <w:rsid w:val="00EB7F97"/>
    <w:rsid w:val="00EB7FCE"/>
    <w:rsid w:val="00EC023B"/>
    <w:rsid w:val="00EC051E"/>
    <w:rsid w:val="00EC0621"/>
    <w:rsid w:val="00EC08FD"/>
    <w:rsid w:val="00EC0A78"/>
    <w:rsid w:val="00EC0C76"/>
    <w:rsid w:val="00EC0CCF"/>
    <w:rsid w:val="00EC109B"/>
    <w:rsid w:val="00EC1108"/>
    <w:rsid w:val="00EC14E5"/>
    <w:rsid w:val="00EC1581"/>
    <w:rsid w:val="00EC17C2"/>
    <w:rsid w:val="00EC1834"/>
    <w:rsid w:val="00EC1987"/>
    <w:rsid w:val="00EC19FB"/>
    <w:rsid w:val="00EC1EB1"/>
    <w:rsid w:val="00EC25AD"/>
    <w:rsid w:val="00EC263A"/>
    <w:rsid w:val="00EC2658"/>
    <w:rsid w:val="00EC290B"/>
    <w:rsid w:val="00EC2A68"/>
    <w:rsid w:val="00EC2C7E"/>
    <w:rsid w:val="00EC2CB0"/>
    <w:rsid w:val="00EC2D1C"/>
    <w:rsid w:val="00EC2FDA"/>
    <w:rsid w:val="00EC30E5"/>
    <w:rsid w:val="00EC332B"/>
    <w:rsid w:val="00EC3330"/>
    <w:rsid w:val="00EC33CF"/>
    <w:rsid w:val="00EC36BE"/>
    <w:rsid w:val="00EC3AF7"/>
    <w:rsid w:val="00EC3BB9"/>
    <w:rsid w:val="00EC3D59"/>
    <w:rsid w:val="00EC410E"/>
    <w:rsid w:val="00EC4806"/>
    <w:rsid w:val="00EC4E90"/>
    <w:rsid w:val="00EC4F43"/>
    <w:rsid w:val="00EC4F5C"/>
    <w:rsid w:val="00EC4F88"/>
    <w:rsid w:val="00EC4FB1"/>
    <w:rsid w:val="00EC5467"/>
    <w:rsid w:val="00EC54ED"/>
    <w:rsid w:val="00EC581D"/>
    <w:rsid w:val="00EC5980"/>
    <w:rsid w:val="00EC5A11"/>
    <w:rsid w:val="00EC5E8C"/>
    <w:rsid w:val="00EC62F1"/>
    <w:rsid w:val="00EC64FB"/>
    <w:rsid w:val="00EC6685"/>
    <w:rsid w:val="00EC6895"/>
    <w:rsid w:val="00EC6AE5"/>
    <w:rsid w:val="00EC6EF3"/>
    <w:rsid w:val="00EC7063"/>
    <w:rsid w:val="00EC7717"/>
    <w:rsid w:val="00EC7878"/>
    <w:rsid w:val="00EC78FE"/>
    <w:rsid w:val="00EC7B5C"/>
    <w:rsid w:val="00EC7BCD"/>
    <w:rsid w:val="00ED0040"/>
    <w:rsid w:val="00ED0199"/>
    <w:rsid w:val="00ED0326"/>
    <w:rsid w:val="00ED0476"/>
    <w:rsid w:val="00ED058B"/>
    <w:rsid w:val="00ED084F"/>
    <w:rsid w:val="00ED0A54"/>
    <w:rsid w:val="00ED0C6E"/>
    <w:rsid w:val="00ED0EB1"/>
    <w:rsid w:val="00ED105F"/>
    <w:rsid w:val="00ED11DD"/>
    <w:rsid w:val="00ED134B"/>
    <w:rsid w:val="00ED13A8"/>
    <w:rsid w:val="00ED1A9F"/>
    <w:rsid w:val="00ED1AE3"/>
    <w:rsid w:val="00ED1B9B"/>
    <w:rsid w:val="00ED1D6A"/>
    <w:rsid w:val="00ED1EA8"/>
    <w:rsid w:val="00ED1ECA"/>
    <w:rsid w:val="00ED2119"/>
    <w:rsid w:val="00ED2219"/>
    <w:rsid w:val="00ED24CF"/>
    <w:rsid w:val="00ED2556"/>
    <w:rsid w:val="00ED2BC9"/>
    <w:rsid w:val="00ED2C19"/>
    <w:rsid w:val="00ED2F77"/>
    <w:rsid w:val="00ED30CC"/>
    <w:rsid w:val="00ED3203"/>
    <w:rsid w:val="00ED3222"/>
    <w:rsid w:val="00ED332B"/>
    <w:rsid w:val="00ED337C"/>
    <w:rsid w:val="00ED35EF"/>
    <w:rsid w:val="00ED3716"/>
    <w:rsid w:val="00ED3AE8"/>
    <w:rsid w:val="00ED3F43"/>
    <w:rsid w:val="00ED3FE2"/>
    <w:rsid w:val="00ED43E0"/>
    <w:rsid w:val="00ED4430"/>
    <w:rsid w:val="00ED44AC"/>
    <w:rsid w:val="00ED4598"/>
    <w:rsid w:val="00ED45C1"/>
    <w:rsid w:val="00ED4C2B"/>
    <w:rsid w:val="00ED4F1B"/>
    <w:rsid w:val="00ED5219"/>
    <w:rsid w:val="00ED528E"/>
    <w:rsid w:val="00ED53FB"/>
    <w:rsid w:val="00ED5802"/>
    <w:rsid w:val="00ED58A1"/>
    <w:rsid w:val="00ED58D0"/>
    <w:rsid w:val="00ED59A6"/>
    <w:rsid w:val="00ED59D8"/>
    <w:rsid w:val="00ED5B7F"/>
    <w:rsid w:val="00ED5CE4"/>
    <w:rsid w:val="00ED5DFD"/>
    <w:rsid w:val="00ED5E49"/>
    <w:rsid w:val="00ED617B"/>
    <w:rsid w:val="00ED61BF"/>
    <w:rsid w:val="00ED61CB"/>
    <w:rsid w:val="00ED61CF"/>
    <w:rsid w:val="00ED6205"/>
    <w:rsid w:val="00ED630A"/>
    <w:rsid w:val="00ED643E"/>
    <w:rsid w:val="00ED66EB"/>
    <w:rsid w:val="00ED67F6"/>
    <w:rsid w:val="00ED69E4"/>
    <w:rsid w:val="00ED6BB2"/>
    <w:rsid w:val="00ED6C57"/>
    <w:rsid w:val="00ED6E3E"/>
    <w:rsid w:val="00ED6EE9"/>
    <w:rsid w:val="00ED7182"/>
    <w:rsid w:val="00ED73D9"/>
    <w:rsid w:val="00ED744F"/>
    <w:rsid w:val="00ED78F5"/>
    <w:rsid w:val="00ED7900"/>
    <w:rsid w:val="00ED7946"/>
    <w:rsid w:val="00ED7EE9"/>
    <w:rsid w:val="00ED7FB0"/>
    <w:rsid w:val="00EE02BE"/>
    <w:rsid w:val="00EE030E"/>
    <w:rsid w:val="00EE046A"/>
    <w:rsid w:val="00EE069B"/>
    <w:rsid w:val="00EE08EC"/>
    <w:rsid w:val="00EE09CF"/>
    <w:rsid w:val="00EE0BE6"/>
    <w:rsid w:val="00EE0D3B"/>
    <w:rsid w:val="00EE0E07"/>
    <w:rsid w:val="00EE0F3F"/>
    <w:rsid w:val="00EE10AA"/>
    <w:rsid w:val="00EE1184"/>
    <w:rsid w:val="00EE15A8"/>
    <w:rsid w:val="00EE1606"/>
    <w:rsid w:val="00EE1644"/>
    <w:rsid w:val="00EE1A6B"/>
    <w:rsid w:val="00EE201B"/>
    <w:rsid w:val="00EE2244"/>
    <w:rsid w:val="00EE22F3"/>
    <w:rsid w:val="00EE2449"/>
    <w:rsid w:val="00EE2598"/>
    <w:rsid w:val="00EE25E9"/>
    <w:rsid w:val="00EE2889"/>
    <w:rsid w:val="00EE2AD5"/>
    <w:rsid w:val="00EE2C45"/>
    <w:rsid w:val="00EE2E16"/>
    <w:rsid w:val="00EE2F81"/>
    <w:rsid w:val="00EE2FA9"/>
    <w:rsid w:val="00EE2FF7"/>
    <w:rsid w:val="00EE31A9"/>
    <w:rsid w:val="00EE32CE"/>
    <w:rsid w:val="00EE3348"/>
    <w:rsid w:val="00EE3468"/>
    <w:rsid w:val="00EE34B6"/>
    <w:rsid w:val="00EE3574"/>
    <w:rsid w:val="00EE3586"/>
    <w:rsid w:val="00EE3B34"/>
    <w:rsid w:val="00EE3F74"/>
    <w:rsid w:val="00EE40D1"/>
    <w:rsid w:val="00EE4319"/>
    <w:rsid w:val="00EE44D1"/>
    <w:rsid w:val="00EE4580"/>
    <w:rsid w:val="00EE4593"/>
    <w:rsid w:val="00EE49FB"/>
    <w:rsid w:val="00EE4A92"/>
    <w:rsid w:val="00EE54B2"/>
    <w:rsid w:val="00EE5646"/>
    <w:rsid w:val="00EE5774"/>
    <w:rsid w:val="00EE57AE"/>
    <w:rsid w:val="00EE5DF7"/>
    <w:rsid w:val="00EE60B3"/>
    <w:rsid w:val="00EE6119"/>
    <w:rsid w:val="00EE6194"/>
    <w:rsid w:val="00EE6221"/>
    <w:rsid w:val="00EE62EB"/>
    <w:rsid w:val="00EE6327"/>
    <w:rsid w:val="00EE63A9"/>
    <w:rsid w:val="00EE651D"/>
    <w:rsid w:val="00EE65FA"/>
    <w:rsid w:val="00EE6660"/>
    <w:rsid w:val="00EE69A8"/>
    <w:rsid w:val="00EE6B00"/>
    <w:rsid w:val="00EE6C1A"/>
    <w:rsid w:val="00EE6C43"/>
    <w:rsid w:val="00EE701F"/>
    <w:rsid w:val="00EE718C"/>
    <w:rsid w:val="00EE74A2"/>
    <w:rsid w:val="00EE7515"/>
    <w:rsid w:val="00EE753F"/>
    <w:rsid w:val="00EE76A9"/>
    <w:rsid w:val="00EE7DBE"/>
    <w:rsid w:val="00EE7F48"/>
    <w:rsid w:val="00EF0298"/>
    <w:rsid w:val="00EF02EE"/>
    <w:rsid w:val="00EF041D"/>
    <w:rsid w:val="00EF05CB"/>
    <w:rsid w:val="00EF06FC"/>
    <w:rsid w:val="00EF0A7D"/>
    <w:rsid w:val="00EF0EBF"/>
    <w:rsid w:val="00EF1481"/>
    <w:rsid w:val="00EF1776"/>
    <w:rsid w:val="00EF1832"/>
    <w:rsid w:val="00EF1941"/>
    <w:rsid w:val="00EF19A7"/>
    <w:rsid w:val="00EF1CD6"/>
    <w:rsid w:val="00EF21BF"/>
    <w:rsid w:val="00EF2307"/>
    <w:rsid w:val="00EF233A"/>
    <w:rsid w:val="00EF264A"/>
    <w:rsid w:val="00EF2689"/>
    <w:rsid w:val="00EF26CD"/>
    <w:rsid w:val="00EF271A"/>
    <w:rsid w:val="00EF279D"/>
    <w:rsid w:val="00EF286B"/>
    <w:rsid w:val="00EF299E"/>
    <w:rsid w:val="00EF29F8"/>
    <w:rsid w:val="00EF2A34"/>
    <w:rsid w:val="00EF2D67"/>
    <w:rsid w:val="00EF2E13"/>
    <w:rsid w:val="00EF2F12"/>
    <w:rsid w:val="00EF35C9"/>
    <w:rsid w:val="00EF3692"/>
    <w:rsid w:val="00EF382F"/>
    <w:rsid w:val="00EF3C49"/>
    <w:rsid w:val="00EF3CE2"/>
    <w:rsid w:val="00EF3E21"/>
    <w:rsid w:val="00EF4062"/>
    <w:rsid w:val="00EF4156"/>
    <w:rsid w:val="00EF4395"/>
    <w:rsid w:val="00EF4904"/>
    <w:rsid w:val="00EF4AA7"/>
    <w:rsid w:val="00EF4CB4"/>
    <w:rsid w:val="00EF510A"/>
    <w:rsid w:val="00EF5388"/>
    <w:rsid w:val="00EF55F2"/>
    <w:rsid w:val="00EF5EBD"/>
    <w:rsid w:val="00EF6038"/>
    <w:rsid w:val="00EF6778"/>
    <w:rsid w:val="00EF6CC4"/>
    <w:rsid w:val="00EF70F4"/>
    <w:rsid w:val="00EF73A7"/>
    <w:rsid w:val="00EF78D4"/>
    <w:rsid w:val="00EF7A53"/>
    <w:rsid w:val="00EF7BE8"/>
    <w:rsid w:val="00EF7BF3"/>
    <w:rsid w:val="00EF7E6D"/>
    <w:rsid w:val="00EF8DE4"/>
    <w:rsid w:val="00F00050"/>
    <w:rsid w:val="00F00123"/>
    <w:rsid w:val="00F00125"/>
    <w:rsid w:val="00F00428"/>
    <w:rsid w:val="00F005F8"/>
    <w:rsid w:val="00F0060D"/>
    <w:rsid w:val="00F00940"/>
    <w:rsid w:val="00F00C49"/>
    <w:rsid w:val="00F00E1B"/>
    <w:rsid w:val="00F01093"/>
    <w:rsid w:val="00F010F5"/>
    <w:rsid w:val="00F01467"/>
    <w:rsid w:val="00F01769"/>
    <w:rsid w:val="00F01BE2"/>
    <w:rsid w:val="00F01C5F"/>
    <w:rsid w:val="00F01E5F"/>
    <w:rsid w:val="00F02365"/>
    <w:rsid w:val="00F027CC"/>
    <w:rsid w:val="00F02CE9"/>
    <w:rsid w:val="00F02EAE"/>
    <w:rsid w:val="00F0313C"/>
    <w:rsid w:val="00F033CB"/>
    <w:rsid w:val="00F03445"/>
    <w:rsid w:val="00F038E2"/>
    <w:rsid w:val="00F03A72"/>
    <w:rsid w:val="00F03B11"/>
    <w:rsid w:val="00F03C19"/>
    <w:rsid w:val="00F042EF"/>
    <w:rsid w:val="00F0435F"/>
    <w:rsid w:val="00F04A19"/>
    <w:rsid w:val="00F04A4F"/>
    <w:rsid w:val="00F04CAB"/>
    <w:rsid w:val="00F04DFC"/>
    <w:rsid w:val="00F0502F"/>
    <w:rsid w:val="00F05070"/>
    <w:rsid w:val="00F050A4"/>
    <w:rsid w:val="00F0559A"/>
    <w:rsid w:val="00F0560C"/>
    <w:rsid w:val="00F0584A"/>
    <w:rsid w:val="00F05856"/>
    <w:rsid w:val="00F058B2"/>
    <w:rsid w:val="00F05966"/>
    <w:rsid w:val="00F059A5"/>
    <w:rsid w:val="00F05BD4"/>
    <w:rsid w:val="00F05C2C"/>
    <w:rsid w:val="00F06182"/>
    <w:rsid w:val="00F0653A"/>
    <w:rsid w:val="00F065BC"/>
    <w:rsid w:val="00F06646"/>
    <w:rsid w:val="00F0676F"/>
    <w:rsid w:val="00F0688A"/>
    <w:rsid w:val="00F06976"/>
    <w:rsid w:val="00F06B4A"/>
    <w:rsid w:val="00F06C64"/>
    <w:rsid w:val="00F06C70"/>
    <w:rsid w:val="00F06CF0"/>
    <w:rsid w:val="00F06DD4"/>
    <w:rsid w:val="00F06EE8"/>
    <w:rsid w:val="00F06F99"/>
    <w:rsid w:val="00F070A2"/>
    <w:rsid w:val="00F07268"/>
    <w:rsid w:val="00F0771F"/>
    <w:rsid w:val="00F0776D"/>
    <w:rsid w:val="00F078C6"/>
    <w:rsid w:val="00F079C1"/>
    <w:rsid w:val="00F07A83"/>
    <w:rsid w:val="00F07D6B"/>
    <w:rsid w:val="00F07E65"/>
    <w:rsid w:val="00F10648"/>
    <w:rsid w:val="00F10667"/>
    <w:rsid w:val="00F10673"/>
    <w:rsid w:val="00F10755"/>
    <w:rsid w:val="00F108FF"/>
    <w:rsid w:val="00F10A6E"/>
    <w:rsid w:val="00F10B9A"/>
    <w:rsid w:val="00F10F07"/>
    <w:rsid w:val="00F10F2B"/>
    <w:rsid w:val="00F10FC3"/>
    <w:rsid w:val="00F11084"/>
    <w:rsid w:val="00F1122A"/>
    <w:rsid w:val="00F1129D"/>
    <w:rsid w:val="00F1143C"/>
    <w:rsid w:val="00F114D0"/>
    <w:rsid w:val="00F1155F"/>
    <w:rsid w:val="00F11892"/>
    <w:rsid w:val="00F11A76"/>
    <w:rsid w:val="00F11A9D"/>
    <w:rsid w:val="00F11BB0"/>
    <w:rsid w:val="00F11CEB"/>
    <w:rsid w:val="00F11E33"/>
    <w:rsid w:val="00F11E86"/>
    <w:rsid w:val="00F12071"/>
    <w:rsid w:val="00F122FC"/>
    <w:rsid w:val="00F125BC"/>
    <w:rsid w:val="00F12A68"/>
    <w:rsid w:val="00F12F62"/>
    <w:rsid w:val="00F13192"/>
    <w:rsid w:val="00F13AA5"/>
    <w:rsid w:val="00F13C48"/>
    <w:rsid w:val="00F13E1C"/>
    <w:rsid w:val="00F14182"/>
    <w:rsid w:val="00F1425F"/>
    <w:rsid w:val="00F14269"/>
    <w:rsid w:val="00F142B8"/>
    <w:rsid w:val="00F143A2"/>
    <w:rsid w:val="00F1490B"/>
    <w:rsid w:val="00F14AA5"/>
    <w:rsid w:val="00F14BB7"/>
    <w:rsid w:val="00F14D3D"/>
    <w:rsid w:val="00F14E14"/>
    <w:rsid w:val="00F14FCA"/>
    <w:rsid w:val="00F1502F"/>
    <w:rsid w:val="00F1510B"/>
    <w:rsid w:val="00F151A4"/>
    <w:rsid w:val="00F153A2"/>
    <w:rsid w:val="00F154AD"/>
    <w:rsid w:val="00F1578C"/>
    <w:rsid w:val="00F157E5"/>
    <w:rsid w:val="00F15915"/>
    <w:rsid w:val="00F15C2A"/>
    <w:rsid w:val="00F15CF9"/>
    <w:rsid w:val="00F15E81"/>
    <w:rsid w:val="00F15F09"/>
    <w:rsid w:val="00F160CE"/>
    <w:rsid w:val="00F160DF"/>
    <w:rsid w:val="00F16151"/>
    <w:rsid w:val="00F166D6"/>
    <w:rsid w:val="00F16726"/>
    <w:rsid w:val="00F1685C"/>
    <w:rsid w:val="00F16D18"/>
    <w:rsid w:val="00F16DCF"/>
    <w:rsid w:val="00F16EF9"/>
    <w:rsid w:val="00F16F51"/>
    <w:rsid w:val="00F1702C"/>
    <w:rsid w:val="00F1710C"/>
    <w:rsid w:val="00F17216"/>
    <w:rsid w:val="00F17414"/>
    <w:rsid w:val="00F17A3D"/>
    <w:rsid w:val="00F17A63"/>
    <w:rsid w:val="00F17BD7"/>
    <w:rsid w:val="00F17C7E"/>
    <w:rsid w:val="00F17D77"/>
    <w:rsid w:val="00F17E28"/>
    <w:rsid w:val="00F17FE3"/>
    <w:rsid w:val="00F20088"/>
    <w:rsid w:val="00F20198"/>
    <w:rsid w:val="00F203A5"/>
    <w:rsid w:val="00F20429"/>
    <w:rsid w:val="00F204E3"/>
    <w:rsid w:val="00F20519"/>
    <w:rsid w:val="00F2075F"/>
    <w:rsid w:val="00F2077B"/>
    <w:rsid w:val="00F20A47"/>
    <w:rsid w:val="00F20D59"/>
    <w:rsid w:val="00F21089"/>
    <w:rsid w:val="00F211B8"/>
    <w:rsid w:val="00F21365"/>
    <w:rsid w:val="00F217C2"/>
    <w:rsid w:val="00F21888"/>
    <w:rsid w:val="00F219EA"/>
    <w:rsid w:val="00F21CA7"/>
    <w:rsid w:val="00F21DE5"/>
    <w:rsid w:val="00F21E5E"/>
    <w:rsid w:val="00F21E75"/>
    <w:rsid w:val="00F21F70"/>
    <w:rsid w:val="00F22110"/>
    <w:rsid w:val="00F22413"/>
    <w:rsid w:val="00F2254B"/>
    <w:rsid w:val="00F2264C"/>
    <w:rsid w:val="00F227ED"/>
    <w:rsid w:val="00F2286C"/>
    <w:rsid w:val="00F2289A"/>
    <w:rsid w:val="00F22954"/>
    <w:rsid w:val="00F22A71"/>
    <w:rsid w:val="00F233CD"/>
    <w:rsid w:val="00F2342E"/>
    <w:rsid w:val="00F23622"/>
    <w:rsid w:val="00F237A7"/>
    <w:rsid w:val="00F2383C"/>
    <w:rsid w:val="00F23A80"/>
    <w:rsid w:val="00F23CAA"/>
    <w:rsid w:val="00F23CDD"/>
    <w:rsid w:val="00F23DA8"/>
    <w:rsid w:val="00F2406F"/>
    <w:rsid w:val="00F2419D"/>
    <w:rsid w:val="00F243B6"/>
    <w:rsid w:val="00F243F7"/>
    <w:rsid w:val="00F2444C"/>
    <w:rsid w:val="00F244AE"/>
    <w:rsid w:val="00F24652"/>
    <w:rsid w:val="00F246EE"/>
    <w:rsid w:val="00F24830"/>
    <w:rsid w:val="00F24838"/>
    <w:rsid w:val="00F248E2"/>
    <w:rsid w:val="00F249CD"/>
    <w:rsid w:val="00F24C47"/>
    <w:rsid w:val="00F24DE5"/>
    <w:rsid w:val="00F24F95"/>
    <w:rsid w:val="00F250A4"/>
    <w:rsid w:val="00F254BB"/>
    <w:rsid w:val="00F256A8"/>
    <w:rsid w:val="00F25781"/>
    <w:rsid w:val="00F25913"/>
    <w:rsid w:val="00F25B9C"/>
    <w:rsid w:val="00F25C2E"/>
    <w:rsid w:val="00F25CAD"/>
    <w:rsid w:val="00F25EC6"/>
    <w:rsid w:val="00F26565"/>
    <w:rsid w:val="00F266BD"/>
    <w:rsid w:val="00F26791"/>
    <w:rsid w:val="00F269B5"/>
    <w:rsid w:val="00F269F8"/>
    <w:rsid w:val="00F26A6B"/>
    <w:rsid w:val="00F26B51"/>
    <w:rsid w:val="00F26DA9"/>
    <w:rsid w:val="00F2701C"/>
    <w:rsid w:val="00F271FA"/>
    <w:rsid w:val="00F272FF"/>
    <w:rsid w:val="00F27340"/>
    <w:rsid w:val="00F27443"/>
    <w:rsid w:val="00F277F1"/>
    <w:rsid w:val="00F2784E"/>
    <w:rsid w:val="00F27BA6"/>
    <w:rsid w:val="00F27C77"/>
    <w:rsid w:val="00F27CE3"/>
    <w:rsid w:val="00F27D2D"/>
    <w:rsid w:val="00F27D48"/>
    <w:rsid w:val="00F27E31"/>
    <w:rsid w:val="00F27FB5"/>
    <w:rsid w:val="00F30053"/>
    <w:rsid w:val="00F30161"/>
    <w:rsid w:val="00F308EC"/>
    <w:rsid w:val="00F3099B"/>
    <w:rsid w:val="00F30BC5"/>
    <w:rsid w:val="00F30C7E"/>
    <w:rsid w:val="00F30D7A"/>
    <w:rsid w:val="00F30DEB"/>
    <w:rsid w:val="00F30E0C"/>
    <w:rsid w:val="00F310CC"/>
    <w:rsid w:val="00F31131"/>
    <w:rsid w:val="00F312F0"/>
    <w:rsid w:val="00F31324"/>
    <w:rsid w:val="00F31415"/>
    <w:rsid w:val="00F315AD"/>
    <w:rsid w:val="00F315E6"/>
    <w:rsid w:val="00F31826"/>
    <w:rsid w:val="00F318ED"/>
    <w:rsid w:val="00F31BA6"/>
    <w:rsid w:val="00F31CCF"/>
    <w:rsid w:val="00F31E8C"/>
    <w:rsid w:val="00F3203B"/>
    <w:rsid w:val="00F3209C"/>
    <w:rsid w:val="00F320F5"/>
    <w:rsid w:val="00F322F6"/>
    <w:rsid w:val="00F324FC"/>
    <w:rsid w:val="00F325C5"/>
    <w:rsid w:val="00F326E9"/>
    <w:rsid w:val="00F32A38"/>
    <w:rsid w:val="00F32C41"/>
    <w:rsid w:val="00F330E8"/>
    <w:rsid w:val="00F33295"/>
    <w:rsid w:val="00F33296"/>
    <w:rsid w:val="00F33693"/>
    <w:rsid w:val="00F3369A"/>
    <w:rsid w:val="00F336A5"/>
    <w:rsid w:val="00F33727"/>
    <w:rsid w:val="00F3374F"/>
    <w:rsid w:val="00F33839"/>
    <w:rsid w:val="00F33953"/>
    <w:rsid w:val="00F33A54"/>
    <w:rsid w:val="00F33D60"/>
    <w:rsid w:val="00F33D7A"/>
    <w:rsid w:val="00F33F48"/>
    <w:rsid w:val="00F33F76"/>
    <w:rsid w:val="00F3457D"/>
    <w:rsid w:val="00F34EE8"/>
    <w:rsid w:val="00F35052"/>
    <w:rsid w:val="00F35160"/>
    <w:rsid w:val="00F351F5"/>
    <w:rsid w:val="00F35221"/>
    <w:rsid w:val="00F356B1"/>
    <w:rsid w:val="00F35ACA"/>
    <w:rsid w:val="00F35AF6"/>
    <w:rsid w:val="00F35F4F"/>
    <w:rsid w:val="00F35F6D"/>
    <w:rsid w:val="00F36465"/>
    <w:rsid w:val="00F3649A"/>
    <w:rsid w:val="00F3667C"/>
    <w:rsid w:val="00F36ACD"/>
    <w:rsid w:val="00F36C1A"/>
    <w:rsid w:val="00F36E6E"/>
    <w:rsid w:val="00F36E82"/>
    <w:rsid w:val="00F370FF"/>
    <w:rsid w:val="00F3711E"/>
    <w:rsid w:val="00F3762C"/>
    <w:rsid w:val="00F377A0"/>
    <w:rsid w:val="00F37804"/>
    <w:rsid w:val="00F37CE1"/>
    <w:rsid w:val="00F37DB8"/>
    <w:rsid w:val="00F4022B"/>
    <w:rsid w:val="00F40366"/>
    <w:rsid w:val="00F406C5"/>
    <w:rsid w:val="00F40A5A"/>
    <w:rsid w:val="00F40A5D"/>
    <w:rsid w:val="00F40A6A"/>
    <w:rsid w:val="00F40C57"/>
    <w:rsid w:val="00F40FAA"/>
    <w:rsid w:val="00F40FCC"/>
    <w:rsid w:val="00F4118B"/>
    <w:rsid w:val="00F413BE"/>
    <w:rsid w:val="00F4170F"/>
    <w:rsid w:val="00F417A0"/>
    <w:rsid w:val="00F417F6"/>
    <w:rsid w:val="00F41BCA"/>
    <w:rsid w:val="00F41C39"/>
    <w:rsid w:val="00F41D42"/>
    <w:rsid w:val="00F4205A"/>
    <w:rsid w:val="00F42145"/>
    <w:rsid w:val="00F422FB"/>
    <w:rsid w:val="00F42393"/>
    <w:rsid w:val="00F423F6"/>
    <w:rsid w:val="00F4249D"/>
    <w:rsid w:val="00F4267B"/>
    <w:rsid w:val="00F42735"/>
    <w:rsid w:val="00F429EF"/>
    <w:rsid w:val="00F42A9D"/>
    <w:rsid w:val="00F42B21"/>
    <w:rsid w:val="00F42C99"/>
    <w:rsid w:val="00F42E38"/>
    <w:rsid w:val="00F42F0A"/>
    <w:rsid w:val="00F43009"/>
    <w:rsid w:val="00F4305B"/>
    <w:rsid w:val="00F431A4"/>
    <w:rsid w:val="00F431BB"/>
    <w:rsid w:val="00F432FD"/>
    <w:rsid w:val="00F4337F"/>
    <w:rsid w:val="00F4347F"/>
    <w:rsid w:val="00F43483"/>
    <w:rsid w:val="00F434B1"/>
    <w:rsid w:val="00F4354D"/>
    <w:rsid w:val="00F435DE"/>
    <w:rsid w:val="00F4371D"/>
    <w:rsid w:val="00F437B4"/>
    <w:rsid w:val="00F43845"/>
    <w:rsid w:val="00F439FB"/>
    <w:rsid w:val="00F43CF1"/>
    <w:rsid w:val="00F44303"/>
    <w:rsid w:val="00F44387"/>
    <w:rsid w:val="00F445E7"/>
    <w:rsid w:val="00F446A5"/>
    <w:rsid w:val="00F44762"/>
    <w:rsid w:val="00F447DD"/>
    <w:rsid w:val="00F44A0A"/>
    <w:rsid w:val="00F44C26"/>
    <w:rsid w:val="00F450BA"/>
    <w:rsid w:val="00F45472"/>
    <w:rsid w:val="00F454EC"/>
    <w:rsid w:val="00F4553E"/>
    <w:rsid w:val="00F455CB"/>
    <w:rsid w:val="00F455DB"/>
    <w:rsid w:val="00F458FD"/>
    <w:rsid w:val="00F45937"/>
    <w:rsid w:val="00F45A8D"/>
    <w:rsid w:val="00F4679D"/>
    <w:rsid w:val="00F4688D"/>
    <w:rsid w:val="00F46B1B"/>
    <w:rsid w:val="00F4702D"/>
    <w:rsid w:val="00F4714D"/>
    <w:rsid w:val="00F473A3"/>
    <w:rsid w:val="00F4748F"/>
    <w:rsid w:val="00F477DE"/>
    <w:rsid w:val="00F47A49"/>
    <w:rsid w:val="00F47B13"/>
    <w:rsid w:val="00F501AA"/>
    <w:rsid w:val="00F5022C"/>
    <w:rsid w:val="00F5037A"/>
    <w:rsid w:val="00F504F3"/>
    <w:rsid w:val="00F505F5"/>
    <w:rsid w:val="00F506C4"/>
    <w:rsid w:val="00F50A3A"/>
    <w:rsid w:val="00F50E01"/>
    <w:rsid w:val="00F50F25"/>
    <w:rsid w:val="00F510DB"/>
    <w:rsid w:val="00F511C7"/>
    <w:rsid w:val="00F51277"/>
    <w:rsid w:val="00F512CF"/>
    <w:rsid w:val="00F515CF"/>
    <w:rsid w:val="00F51AC2"/>
    <w:rsid w:val="00F522E0"/>
    <w:rsid w:val="00F52424"/>
    <w:rsid w:val="00F526AE"/>
    <w:rsid w:val="00F52849"/>
    <w:rsid w:val="00F52DF1"/>
    <w:rsid w:val="00F52E08"/>
    <w:rsid w:val="00F5319A"/>
    <w:rsid w:val="00F531DE"/>
    <w:rsid w:val="00F534E9"/>
    <w:rsid w:val="00F5368C"/>
    <w:rsid w:val="00F53818"/>
    <w:rsid w:val="00F53962"/>
    <w:rsid w:val="00F53C43"/>
    <w:rsid w:val="00F53CD3"/>
    <w:rsid w:val="00F53EA6"/>
    <w:rsid w:val="00F53FBB"/>
    <w:rsid w:val="00F5416E"/>
    <w:rsid w:val="00F541E8"/>
    <w:rsid w:val="00F542D4"/>
    <w:rsid w:val="00F543D7"/>
    <w:rsid w:val="00F543FA"/>
    <w:rsid w:val="00F544B1"/>
    <w:rsid w:val="00F544B7"/>
    <w:rsid w:val="00F544BA"/>
    <w:rsid w:val="00F54766"/>
    <w:rsid w:val="00F54844"/>
    <w:rsid w:val="00F549FA"/>
    <w:rsid w:val="00F54A73"/>
    <w:rsid w:val="00F54A8A"/>
    <w:rsid w:val="00F54BD5"/>
    <w:rsid w:val="00F54D6E"/>
    <w:rsid w:val="00F54F70"/>
    <w:rsid w:val="00F54FE6"/>
    <w:rsid w:val="00F5507A"/>
    <w:rsid w:val="00F55790"/>
    <w:rsid w:val="00F55B22"/>
    <w:rsid w:val="00F55C1D"/>
    <w:rsid w:val="00F55F32"/>
    <w:rsid w:val="00F5609B"/>
    <w:rsid w:val="00F56203"/>
    <w:rsid w:val="00F562AF"/>
    <w:rsid w:val="00F562B2"/>
    <w:rsid w:val="00F56602"/>
    <w:rsid w:val="00F56684"/>
    <w:rsid w:val="00F567DB"/>
    <w:rsid w:val="00F56C2F"/>
    <w:rsid w:val="00F56DBD"/>
    <w:rsid w:val="00F56E79"/>
    <w:rsid w:val="00F56EE1"/>
    <w:rsid w:val="00F5717F"/>
    <w:rsid w:val="00F571D4"/>
    <w:rsid w:val="00F57361"/>
    <w:rsid w:val="00F574F6"/>
    <w:rsid w:val="00F57580"/>
    <w:rsid w:val="00F57676"/>
    <w:rsid w:val="00F57ADB"/>
    <w:rsid w:val="00F57C85"/>
    <w:rsid w:val="00F57CB1"/>
    <w:rsid w:val="00F57CDD"/>
    <w:rsid w:val="00F57EB0"/>
    <w:rsid w:val="00F57F26"/>
    <w:rsid w:val="00F60465"/>
    <w:rsid w:val="00F60A69"/>
    <w:rsid w:val="00F60D09"/>
    <w:rsid w:val="00F60D82"/>
    <w:rsid w:val="00F60EAC"/>
    <w:rsid w:val="00F60ED0"/>
    <w:rsid w:val="00F61007"/>
    <w:rsid w:val="00F61E9C"/>
    <w:rsid w:val="00F61F9D"/>
    <w:rsid w:val="00F62087"/>
    <w:rsid w:val="00F6217E"/>
    <w:rsid w:val="00F6218D"/>
    <w:rsid w:val="00F62252"/>
    <w:rsid w:val="00F62407"/>
    <w:rsid w:val="00F62448"/>
    <w:rsid w:val="00F624F5"/>
    <w:rsid w:val="00F62981"/>
    <w:rsid w:val="00F629EB"/>
    <w:rsid w:val="00F62AA5"/>
    <w:rsid w:val="00F62C0F"/>
    <w:rsid w:val="00F62C35"/>
    <w:rsid w:val="00F62C55"/>
    <w:rsid w:val="00F62D1A"/>
    <w:rsid w:val="00F62D86"/>
    <w:rsid w:val="00F63039"/>
    <w:rsid w:val="00F63340"/>
    <w:rsid w:val="00F633BD"/>
    <w:rsid w:val="00F6345F"/>
    <w:rsid w:val="00F635D8"/>
    <w:rsid w:val="00F63CBB"/>
    <w:rsid w:val="00F63CC6"/>
    <w:rsid w:val="00F64248"/>
    <w:rsid w:val="00F6429E"/>
    <w:rsid w:val="00F642A3"/>
    <w:rsid w:val="00F643D9"/>
    <w:rsid w:val="00F6446B"/>
    <w:rsid w:val="00F64525"/>
    <w:rsid w:val="00F646BF"/>
    <w:rsid w:val="00F648B4"/>
    <w:rsid w:val="00F64ADC"/>
    <w:rsid w:val="00F65089"/>
    <w:rsid w:val="00F6526D"/>
    <w:rsid w:val="00F6577A"/>
    <w:rsid w:val="00F65939"/>
    <w:rsid w:val="00F65A17"/>
    <w:rsid w:val="00F65BEE"/>
    <w:rsid w:val="00F66486"/>
    <w:rsid w:val="00F664CC"/>
    <w:rsid w:val="00F66564"/>
    <w:rsid w:val="00F6661A"/>
    <w:rsid w:val="00F66ACB"/>
    <w:rsid w:val="00F66B0C"/>
    <w:rsid w:val="00F66D05"/>
    <w:rsid w:val="00F66F6A"/>
    <w:rsid w:val="00F6701E"/>
    <w:rsid w:val="00F670E4"/>
    <w:rsid w:val="00F67573"/>
    <w:rsid w:val="00F675C7"/>
    <w:rsid w:val="00F67BD2"/>
    <w:rsid w:val="00F67BDB"/>
    <w:rsid w:val="00F67C42"/>
    <w:rsid w:val="00F67D78"/>
    <w:rsid w:val="00F67D80"/>
    <w:rsid w:val="00F701A3"/>
    <w:rsid w:val="00F7065C"/>
    <w:rsid w:val="00F70C61"/>
    <w:rsid w:val="00F70CAD"/>
    <w:rsid w:val="00F70CB5"/>
    <w:rsid w:val="00F70F12"/>
    <w:rsid w:val="00F714CF"/>
    <w:rsid w:val="00F71747"/>
    <w:rsid w:val="00F718B3"/>
    <w:rsid w:val="00F718C1"/>
    <w:rsid w:val="00F718FC"/>
    <w:rsid w:val="00F71B92"/>
    <w:rsid w:val="00F71D64"/>
    <w:rsid w:val="00F71FEB"/>
    <w:rsid w:val="00F72115"/>
    <w:rsid w:val="00F72248"/>
    <w:rsid w:val="00F723D6"/>
    <w:rsid w:val="00F72459"/>
    <w:rsid w:val="00F726A8"/>
    <w:rsid w:val="00F72712"/>
    <w:rsid w:val="00F72858"/>
    <w:rsid w:val="00F72865"/>
    <w:rsid w:val="00F729F2"/>
    <w:rsid w:val="00F72F4B"/>
    <w:rsid w:val="00F72FBC"/>
    <w:rsid w:val="00F73253"/>
    <w:rsid w:val="00F7374F"/>
    <w:rsid w:val="00F7376D"/>
    <w:rsid w:val="00F73872"/>
    <w:rsid w:val="00F738A0"/>
    <w:rsid w:val="00F739B5"/>
    <w:rsid w:val="00F73A78"/>
    <w:rsid w:val="00F73AD5"/>
    <w:rsid w:val="00F73BE3"/>
    <w:rsid w:val="00F73EC8"/>
    <w:rsid w:val="00F73FB7"/>
    <w:rsid w:val="00F73FE7"/>
    <w:rsid w:val="00F74014"/>
    <w:rsid w:val="00F74413"/>
    <w:rsid w:val="00F744E1"/>
    <w:rsid w:val="00F74CAC"/>
    <w:rsid w:val="00F74E3A"/>
    <w:rsid w:val="00F74F9F"/>
    <w:rsid w:val="00F750B3"/>
    <w:rsid w:val="00F75331"/>
    <w:rsid w:val="00F7592A"/>
    <w:rsid w:val="00F75993"/>
    <w:rsid w:val="00F75A66"/>
    <w:rsid w:val="00F75AFE"/>
    <w:rsid w:val="00F75F6E"/>
    <w:rsid w:val="00F762B9"/>
    <w:rsid w:val="00F763A2"/>
    <w:rsid w:val="00F766FC"/>
    <w:rsid w:val="00F767DB"/>
    <w:rsid w:val="00F767EF"/>
    <w:rsid w:val="00F76803"/>
    <w:rsid w:val="00F76ADA"/>
    <w:rsid w:val="00F76B8C"/>
    <w:rsid w:val="00F76C21"/>
    <w:rsid w:val="00F770FE"/>
    <w:rsid w:val="00F77305"/>
    <w:rsid w:val="00F77482"/>
    <w:rsid w:val="00F779F5"/>
    <w:rsid w:val="00F77A6C"/>
    <w:rsid w:val="00F77B19"/>
    <w:rsid w:val="00F77BE0"/>
    <w:rsid w:val="00F77C48"/>
    <w:rsid w:val="00F77D58"/>
    <w:rsid w:val="00F77D75"/>
    <w:rsid w:val="00F77E7E"/>
    <w:rsid w:val="00F77F83"/>
    <w:rsid w:val="00F80146"/>
    <w:rsid w:val="00F80267"/>
    <w:rsid w:val="00F802D3"/>
    <w:rsid w:val="00F80391"/>
    <w:rsid w:val="00F805BD"/>
    <w:rsid w:val="00F809D7"/>
    <w:rsid w:val="00F80A4D"/>
    <w:rsid w:val="00F80C53"/>
    <w:rsid w:val="00F80C54"/>
    <w:rsid w:val="00F80E87"/>
    <w:rsid w:val="00F80E91"/>
    <w:rsid w:val="00F80EC6"/>
    <w:rsid w:val="00F80F2A"/>
    <w:rsid w:val="00F80FEE"/>
    <w:rsid w:val="00F81171"/>
    <w:rsid w:val="00F81269"/>
    <w:rsid w:val="00F81DBE"/>
    <w:rsid w:val="00F81EA6"/>
    <w:rsid w:val="00F81F56"/>
    <w:rsid w:val="00F81FD4"/>
    <w:rsid w:val="00F820C5"/>
    <w:rsid w:val="00F82102"/>
    <w:rsid w:val="00F8226F"/>
    <w:rsid w:val="00F822D8"/>
    <w:rsid w:val="00F82419"/>
    <w:rsid w:val="00F8251C"/>
    <w:rsid w:val="00F827E2"/>
    <w:rsid w:val="00F827FC"/>
    <w:rsid w:val="00F82930"/>
    <w:rsid w:val="00F82B08"/>
    <w:rsid w:val="00F82D0B"/>
    <w:rsid w:val="00F830E9"/>
    <w:rsid w:val="00F833D4"/>
    <w:rsid w:val="00F836BA"/>
    <w:rsid w:val="00F83820"/>
    <w:rsid w:val="00F83B4E"/>
    <w:rsid w:val="00F83BCE"/>
    <w:rsid w:val="00F84179"/>
    <w:rsid w:val="00F8452B"/>
    <w:rsid w:val="00F846C0"/>
    <w:rsid w:val="00F84735"/>
    <w:rsid w:val="00F84E8D"/>
    <w:rsid w:val="00F85131"/>
    <w:rsid w:val="00F8539D"/>
    <w:rsid w:val="00F85703"/>
    <w:rsid w:val="00F85723"/>
    <w:rsid w:val="00F858F5"/>
    <w:rsid w:val="00F859FB"/>
    <w:rsid w:val="00F85AF2"/>
    <w:rsid w:val="00F85BAB"/>
    <w:rsid w:val="00F85CD5"/>
    <w:rsid w:val="00F861C0"/>
    <w:rsid w:val="00F864CF"/>
    <w:rsid w:val="00F86753"/>
    <w:rsid w:val="00F8686F"/>
    <w:rsid w:val="00F86967"/>
    <w:rsid w:val="00F86DBB"/>
    <w:rsid w:val="00F86F7F"/>
    <w:rsid w:val="00F87062"/>
    <w:rsid w:val="00F870A7"/>
    <w:rsid w:val="00F8743D"/>
    <w:rsid w:val="00F874C1"/>
    <w:rsid w:val="00F8757B"/>
    <w:rsid w:val="00F876E5"/>
    <w:rsid w:val="00F877AA"/>
    <w:rsid w:val="00F87919"/>
    <w:rsid w:val="00F879B7"/>
    <w:rsid w:val="00F87B1D"/>
    <w:rsid w:val="00F87DD6"/>
    <w:rsid w:val="00F90093"/>
    <w:rsid w:val="00F901DA"/>
    <w:rsid w:val="00F906B6"/>
    <w:rsid w:val="00F906DD"/>
    <w:rsid w:val="00F90887"/>
    <w:rsid w:val="00F90896"/>
    <w:rsid w:val="00F90A48"/>
    <w:rsid w:val="00F90B40"/>
    <w:rsid w:val="00F90B57"/>
    <w:rsid w:val="00F90C1C"/>
    <w:rsid w:val="00F90C4E"/>
    <w:rsid w:val="00F90C54"/>
    <w:rsid w:val="00F90E3F"/>
    <w:rsid w:val="00F90F0B"/>
    <w:rsid w:val="00F90F4E"/>
    <w:rsid w:val="00F91102"/>
    <w:rsid w:val="00F913BF"/>
    <w:rsid w:val="00F913CB"/>
    <w:rsid w:val="00F914B7"/>
    <w:rsid w:val="00F916B5"/>
    <w:rsid w:val="00F91918"/>
    <w:rsid w:val="00F91932"/>
    <w:rsid w:val="00F919C4"/>
    <w:rsid w:val="00F91C9F"/>
    <w:rsid w:val="00F91E6B"/>
    <w:rsid w:val="00F91F6B"/>
    <w:rsid w:val="00F920CB"/>
    <w:rsid w:val="00F923B5"/>
    <w:rsid w:val="00F9250D"/>
    <w:rsid w:val="00F92575"/>
    <w:rsid w:val="00F92A7F"/>
    <w:rsid w:val="00F92AE7"/>
    <w:rsid w:val="00F92FB7"/>
    <w:rsid w:val="00F93053"/>
    <w:rsid w:val="00F9357B"/>
    <w:rsid w:val="00F93620"/>
    <w:rsid w:val="00F937CB"/>
    <w:rsid w:val="00F93B14"/>
    <w:rsid w:val="00F93CA0"/>
    <w:rsid w:val="00F93F0C"/>
    <w:rsid w:val="00F93FFE"/>
    <w:rsid w:val="00F9407D"/>
    <w:rsid w:val="00F941DA"/>
    <w:rsid w:val="00F942AC"/>
    <w:rsid w:val="00F94500"/>
    <w:rsid w:val="00F945C5"/>
    <w:rsid w:val="00F945C8"/>
    <w:rsid w:val="00F94690"/>
    <w:rsid w:val="00F946BA"/>
    <w:rsid w:val="00F94C04"/>
    <w:rsid w:val="00F94C2E"/>
    <w:rsid w:val="00F94D26"/>
    <w:rsid w:val="00F957DD"/>
    <w:rsid w:val="00F95B03"/>
    <w:rsid w:val="00F95D52"/>
    <w:rsid w:val="00F960C9"/>
    <w:rsid w:val="00F963C3"/>
    <w:rsid w:val="00F96411"/>
    <w:rsid w:val="00F9691B"/>
    <w:rsid w:val="00F96ACA"/>
    <w:rsid w:val="00F96B40"/>
    <w:rsid w:val="00F96D51"/>
    <w:rsid w:val="00F96DD3"/>
    <w:rsid w:val="00F96EF1"/>
    <w:rsid w:val="00F96FA1"/>
    <w:rsid w:val="00F9721F"/>
    <w:rsid w:val="00F972F6"/>
    <w:rsid w:val="00F97363"/>
    <w:rsid w:val="00F9768C"/>
    <w:rsid w:val="00F9788E"/>
    <w:rsid w:val="00F97AAB"/>
    <w:rsid w:val="00F97B41"/>
    <w:rsid w:val="00F97B4E"/>
    <w:rsid w:val="00F97D22"/>
    <w:rsid w:val="00F97FF6"/>
    <w:rsid w:val="00FA02B2"/>
    <w:rsid w:val="00FA0306"/>
    <w:rsid w:val="00FA0346"/>
    <w:rsid w:val="00FA049B"/>
    <w:rsid w:val="00FA0CEB"/>
    <w:rsid w:val="00FA0ECC"/>
    <w:rsid w:val="00FA10CF"/>
    <w:rsid w:val="00FA1479"/>
    <w:rsid w:val="00FA14A3"/>
    <w:rsid w:val="00FA1AB6"/>
    <w:rsid w:val="00FA1BF5"/>
    <w:rsid w:val="00FA1E7A"/>
    <w:rsid w:val="00FA2219"/>
    <w:rsid w:val="00FA222F"/>
    <w:rsid w:val="00FA2370"/>
    <w:rsid w:val="00FA243C"/>
    <w:rsid w:val="00FA2460"/>
    <w:rsid w:val="00FA25CD"/>
    <w:rsid w:val="00FA264C"/>
    <w:rsid w:val="00FA2705"/>
    <w:rsid w:val="00FA2737"/>
    <w:rsid w:val="00FA2883"/>
    <w:rsid w:val="00FA2A2A"/>
    <w:rsid w:val="00FA2D97"/>
    <w:rsid w:val="00FA2DAA"/>
    <w:rsid w:val="00FA31D1"/>
    <w:rsid w:val="00FA3627"/>
    <w:rsid w:val="00FA374B"/>
    <w:rsid w:val="00FA3A54"/>
    <w:rsid w:val="00FA3D05"/>
    <w:rsid w:val="00FA3E3C"/>
    <w:rsid w:val="00FA3EED"/>
    <w:rsid w:val="00FA4125"/>
    <w:rsid w:val="00FA4486"/>
    <w:rsid w:val="00FA4553"/>
    <w:rsid w:val="00FA46AA"/>
    <w:rsid w:val="00FA49CB"/>
    <w:rsid w:val="00FA4A49"/>
    <w:rsid w:val="00FA4A87"/>
    <w:rsid w:val="00FA4D8F"/>
    <w:rsid w:val="00FA5010"/>
    <w:rsid w:val="00FA53D8"/>
    <w:rsid w:val="00FA566E"/>
    <w:rsid w:val="00FA56CC"/>
    <w:rsid w:val="00FA578A"/>
    <w:rsid w:val="00FA58DE"/>
    <w:rsid w:val="00FA5E18"/>
    <w:rsid w:val="00FA5E41"/>
    <w:rsid w:val="00FA6032"/>
    <w:rsid w:val="00FA621C"/>
    <w:rsid w:val="00FA643C"/>
    <w:rsid w:val="00FA64DC"/>
    <w:rsid w:val="00FA652D"/>
    <w:rsid w:val="00FA6893"/>
    <w:rsid w:val="00FA69BE"/>
    <w:rsid w:val="00FA6DA3"/>
    <w:rsid w:val="00FA6DCC"/>
    <w:rsid w:val="00FA6E4B"/>
    <w:rsid w:val="00FA7059"/>
    <w:rsid w:val="00FA738B"/>
    <w:rsid w:val="00FA7416"/>
    <w:rsid w:val="00FA7535"/>
    <w:rsid w:val="00FA7719"/>
    <w:rsid w:val="00FA7DD2"/>
    <w:rsid w:val="00FA7ED3"/>
    <w:rsid w:val="00FA7EE9"/>
    <w:rsid w:val="00FB0004"/>
    <w:rsid w:val="00FB040D"/>
    <w:rsid w:val="00FB04D9"/>
    <w:rsid w:val="00FB0685"/>
    <w:rsid w:val="00FB0A0C"/>
    <w:rsid w:val="00FB0D3F"/>
    <w:rsid w:val="00FB100B"/>
    <w:rsid w:val="00FB128A"/>
    <w:rsid w:val="00FB13C4"/>
    <w:rsid w:val="00FB1402"/>
    <w:rsid w:val="00FB1410"/>
    <w:rsid w:val="00FB1883"/>
    <w:rsid w:val="00FB1916"/>
    <w:rsid w:val="00FB194A"/>
    <w:rsid w:val="00FB1CEC"/>
    <w:rsid w:val="00FB1D47"/>
    <w:rsid w:val="00FB1F01"/>
    <w:rsid w:val="00FB239D"/>
    <w:rsid w:val="00FB23EB"/>
    <w:rsid w:val="00FB24A0"/>
    <w:rsid w:val="00FB26C8"/>
    <w:rsid w:val="00FB2775"/>
    <w:rsid w:val="00FB2899"/>
    <w:rsid w:val="00FB2915"/>
    <w:rsid w:val="00FB2C36"/>
    <w:rsid w:val="00FB2E5B"/>
    <w:rsid w:val="00FB2EC2"/>
    <w:rsid w:val="00FB2ECC"/>
    <w:rsid w:val="00FB315A"/>
    <w:rsid w:val="00FB3272"/>
    <w:rsid w:val="00FB372B"/>
    <w:rsid w:val="00FB3748"/>
    <w:rsid w:val="00FB3891"/>
    <w:rsid w:val="00FB3B45"/>
    <w:rsid w:val="00FB3ED3"/>
    <w:rsid w:val="00FB3F54"/>
    <w:rsid w:val="00FB4081"/>
    <w:rsid w:val="00FB42AF"/>
    <w:rsid w:val="00FB42B0"/>
    <w:rsid w:val="00FB42EE"/>
    <w:rsid w:val="00FB4395"/>
    <w:rsid w:val="00FB445D"/>
    <w:rsid w:val="00FB49B7"/>
    <w:rsid w:val="00FB510D"/>
    <w:rsid w:val="00FB51B0"/>
    <w:rsid w:val="00FB5255"/>
    <w:rsid w:val="00FB55B7"/>
    <w:rsid w:val="00FB5698"/>
    <w:rsid w:val="00FB5A93"/>
    <w:rsid w:val="00FB5B3E"/>
    <w:rsid w:val="00FB5BB2"/>
    <w:rsid w:val="00FB5C81"/>
    <w:rsid w:val="00FB5E71"/>
    <w:rsid w:val="00FB620D"/>
    <w:rsid w:val="00FB674E"/>
    <w:rsid w:val="00FB695D"/>
    <w:rsid w:val="00FB6B7C"/>
    <w:rsid w:val="00FB6BDC"/>
    <w:rsid w:val="00FB6F84"/>
    <w:rsid w:val="00FB7A1E"/>
    <w:rsid w:val="00FB7AD9"/>
    <w:rsid w:val="00FB7B4E"/>
    <w:rsid w:val="00FB7C40"/>
    <w:rsid w:val="00FC0198"/>
    <w:rsid w:val="00FC0281"/>
    <w:rsid w:val="00FC02ED"/>
    <w:rsid w:val="00FC05EA"/>
    <w:rsid w:val="00FC0873"/>
    <w:rsid w:val="00FC0925"/>
    <w:rsid w:val="00FC0F96"/>
    <w:rsid w:val="00FC139B"/>
    <w:rsid w:val="00FC13E0"/>
    <w:rsid w:val="00FC1400"/>
    <w:rsid w:val="00FC1580"/>
    <w:rsid w:val="00FC16B8"/>
    <w:rsid w:val="00FC1789"/>
    <w:rsid w:val="00FC17BF"/>
    <w:rsid w:val="00FC18E9"/>
    <w:rsid w:val="00FC1BA5"/>
    <w:rsid w:val="00FC1E0A"/>
    <w:rsid w:val="00FC1E1F"/>
    <w:rsid w:val="00FC1E4E"/>
    <w:rsid w:val="00FC1F8D"/>
    <w:rsid w:val="00FC21FA"/>
    <w:rsid w:val="00FC2341"/>
    <w:rsid w:val="00FC23F5"/>
    <w:rsid w:val="00FC2484"/>
    <w:rsid w:val="00FC2645"/>
    <w:rsid w:val="00FC27A2"/>
    <w:rsid w:val="00FC2AD5"/>
    <w:rsid w:val="00FC2AF5"/>
    <w:rsid w:val="00FC2D97"/>
    <w:rsid w:val="00FC2F62"/>
    <w:rsid w:val="00FC30D4"/>
    <w:rsid w:val="00FC3132"/>
    <w:rsid w:val="00FC3206"/>
    <w:rsid w:val="00FC33D0"/>
    <w:rsid w:val="00FC346E"/>
    <w:rsid w:val="00FC3676"/>
    <w:rsid w:val="00FC3F6A"/>
    <w:rsid w:val="00FC4044"/>
    <w:rsid w:val="00FC423B"/>
    <w:rsid w:val="00FC4317"/>
    <w:rsid w:val="00FC473D"/>
    <w:rsid w:val="00FC47EE"/>
    <w:rsid w:val="00FC49B8"/>
    <w:rsid w:val="00FC4C36"/>
    <w:rsid w:val="00FC4D08"/>
    <w:rsid w:val="00FC4DFC"/>
    <w:rsid w:val="00FC5022"/>
    <w:rsid w:val="00FC5489"/>
    <w:rsid w:val="00FC578E"/>
    <w:rsid w:val="00FC5790"/>
    <w:rsid w:val="00FC5803"/>
    <w:rsid w:val="00FC5995"/>
    <w:rsid w:val="00FC5DE8"/>
    <w:rsid w:val="00FC60D3"/>
    <w:rsid w:val="00FC6281"/>
    <w:rsid w:val="00FC6331"/>
    <w:rsid w:val="00FC64D5"/>
    <w:rsid w:val="00FC6745"/>
    <w:rsid w:val="00FC6847"/>
    <w:rsid w:val="00FC68C2"/>
    <w:rsid w:val="00FC6BFE"/>
    <w:rsid w:val="00FC709C"/>
    <w:rsid w:val="00FC726D"/>
    <w:rsid w:val="00FC7340"/>
    <w:rsid w:val="00FC74CA"/>
    <w:rsid w:val="00FC78FC"/>
    <w:rsid w:val="00FC7C32"/>
    <w:rsid w:val="00FC7DF8"/>
    <w:rsid w:val="00FC7E85"/>
    <w:rsid w:val="00FC7F16"/>
    <w:rsid w:val="00FC7FD3"/>
    <w:rsid w:val="00FD00F0"/>
    <w:rsid w:val="00FD0865"/>
    <w:rsid w:val="00FD0ABB"/>
    <w:rsid w:val="00FD0B21"/>
    <w:rsid w:val="00FD0CC3"/>
    <w:rsid w:val="00FD0FF8"/>
    <w:rsid w:val="00FD1032"/>
    <w:rsid w:val="00FD10F8"/>
    <w:rsid w:val="00FD114C"/>
    <w:rsid w:val="00FD1732"/>
    <w:rsid w:val="00FD17A8"/>
    <w:rsid w:val="00FD198B"/>
    <w:rsid w:val="00FD1CF6"/>
    <w:rsid w:val="00FD20AA"/>
    <w:rsid w:val="00FD2295"/>
    <w:rsid w:val="00FD2301"/>
    <w:rsid w:val="00FD2423"/>
    <w:rsid w:val="00FD2468"/>
    <w:rsid w:val="00FD2B30"/>
    <w:rsid w:val="00FD2D7E"/>
    <w:rsid w:val="00FD2E74"/>
    <w:rsid w:val="00FD31CB"/>
    <w:rsid w:val="00FD33F0"/>
    <w:rsid w:val="00FD34A6"/>
    <w:rsid w:val="00FD34B0"/>
    <w:rsid w:val="00FD36DB"/>
    <w:rsid w:val="00FD3807"/>
    <w:rsid w:val="00FD38D3"/>
    <w:rsid w:val="00FD39B6"/>
    <w:rsid w:val="00FD3B9B"/>
    <w:rsid w:val="00FD3CF3"/>
    <w:rsid w:val="00FD3E25"/>
    <w:rsid w:val="00FD3F32"/>
    <w:rsid w:val="00FD4162"/>
    <w:rsid w:val="00FD42C4"/>
    <w:rsid w:val="00FD4726"/>
    <w:rsid w:val="00FD476C"/>
    <w:rsid w:val="00FD48AA"/>
    <w:rsid w:val="00FD4C1F"/>
    <w:rsid w:val="00FD4C86"/>
    <w:rsid w:val="00FD4DAA"/>
    <w:rsid w:val="00FD4E9D"/>
    <w:rsid w:val="00FD51DA"/>
    <w:rsid w:val="00FD522B"/>
    <w:rsid w:val="00FD5415"/>
    <w:rsid w:val="00FD559B"/>
    <w:rsid w:val="00FD55ED"/>
    <w:rsid w:val="00FD57AD"/>
    <w:rsid w:val="00FD59D4"/>
    <w:rsid w:val="00FD5BC5"/>
    <w:rsid w:val="00FD5E07"/>
    <w:rsid w:val="00FD661F"/>
    <w:rsid w:val="00FD689E"/>
    <w:rsid w:val="00FD69CB"/>
    <w:rsid w:val="00FD6B41"/>
    <w:rsid w:val="00FD6C39"/>
    <w:rsid w:val="00FD6EAF"/>
    <w:rsid w:val="00FD6ECF"/>
    <w:rsid w:val="00FD713B"/>
    <w:rsid w:val="00FD759C"/>
    <w:rsid w:val="00FD7DBB"/>
    <w:rsid w:val="00FD7E2F"/>
    <w:rsid w:val="00FD7F1D"/>
    <w:rsid w:val="00FD7FC4"/>
    <w:rsid w:val="00FE049D"/>
    <w:rsid w:val="00FE04D9"/>
    <w:rsid w:val="00FE06D9"/>
    <w:rsid w:val="00FE07D5"/>
    <w:rsid w:val="00FE07FE"/>
    <w:rsid w:val="00FE0A4E"/>
    <w:rsid w:val="00FE0AD0"/>
    <w:rsid w:val="00FE0B5D"/>
    <w:rsid w:val="00FE1111"/>
    <w:rsid w:val="00FE1200"/>
    <w:rsid w:val="00FE12C1"/>
    <w:rsid w:val="00FE131C"/>
    <w:rsid w:val="00FE1550"/>
    <w:rsid w:val="00FE15D5"/>
    <w:rsid w:val="00FE1AC4"/>
    <w:rsid w:val="00FE1BD3"/>
    <w:rsid w:val="00FE24F9"/>
    <w:rsid w:val="00FE2782"/>
    <w:rsid w:val="00FE27B7"/>
    <w:rsid w:val="00FE2906"/>
    <w:rsid w:val="00FE2912"/>
    <w:rsid w:val="00FE2BAB"/>
    <w:rsid w:val="00FE2C92"/>
    <w:rsid w:val="00FE2DF6"/>
    <w:rsid w:val="00FE2EE5"/>
    <w:rsid w:val="00FE300E"/>
    <w:rsid w:val="00FE30BA"/>
    <w:rsid w:val="00FE3335"/>
    <w:rsid w:val="00FE33A2"/>
    <w:rsid w:val="00FE341A"/>
    <w:rsid w:val="00FE35B9"/>
    <w:rsid w:val="00FE39BC"/>
    <w:rsid w:val="00FE3A06"/>
    <w:rsid w:val="00FE3B41"/>
    <w:rsid w:val="00FE3BEF"/>
    <w:rsid w:val="00FE3E2F"/>
    <w:rsid w:val="00FE3F07"/>
    <w:rsid w:val="00FE409E"/>
    <w:rsid w:val="00FE440C"/>
    <w:rsid w:val="00FE443B"/>
    <w:rsid w:val="00FE44A5"/>
    <w:rsid w:val="00FE45A4"/>
    <w:rsid w:val="00FE45D3"/>
    <w:rsid w:val="00FE49D0"/>
    <w:rsid w:val="00FE5163"/>
    <w:rsid w:val="00FE5227"/>
    <w:rsid w:val="00FE53ED"/>
    <w:rsid w:val="00FE5400"/>
    <w:rsid w:val="00FE54B7"/>
    <w:rsid w:val="00FE5670"/>
    <w:rsid w:val="00FE58BE"/>
    <w:rsid w:val="00FE58E2"/>
    <w:rsid w:val="00FE5A15"/>
    <w:rsid w:val="00FE5CDF"/>
    <w:rsid w:val="00FE6010"/>
    <w:rsid w:val="00FE6141"/>
    <w:rsid w:val="00FE626D"/>
    <w:rsid w:val="00FE647D"/>
    <w:rsid w:val="00FE659E"/>
    <w:rsid w:val="00FE65A4"/>
    <w:rsid w:val="00FE66D3"/>
    <w:rsid w:val="00FE67E0"/>
    <w:rsid w:val="00FE67EB"/>
    <w:rsid w:val="00FE69A2"/>
    <w:rsid w:val="00FE6A8D"/>
    <w:rsid w:val="00FE6A92"/>
    <w:rsid w:val="00FE6AF6"/>
    <w:rsid w:val="00FE6CEE"/>
    <w:rsid w:val="00FE6F4A"/>
    <w:rsid w:val="00FE708E"/>
    <w:rsid w:val="00FE71B1"/>
    <w:rsid w:val="00FE71D0"/>
    <w:rsid w:val="00FE7264"/>
    <w:rsid w:val="00FE7B6D"/>
    <w:rsid w:val="00FE7E77"/>
    <w:rsid w:val="00FF00BE"/>
    <w:rsid w:val="00FF02A9"/>
    <w:rsid w:val="00FF035C"/>
    <w:rsid w:val="00FF0C53"/>
    <w:rsid w:val="00FF1E84"/>
    <w:rsid w:val="00FF2164"/>
    <w:rsid w:val="00FF225F"/>
    <w:rsid w:val="00FF27E2"/>
    <w:rsid w:val="00FF2924"/>
    <w:rsid w:val="00FF2D23"/>
    <w:rsid w:val="00FF2E81"/>
    <w:rsid w:val="00FF30F5"/>
    <w:rsid w:val="00FF315A"/>
    <w:rsid w:val="00FF3192"/>
    <w:rsid w:val="00FF3418"/>
    <w:rsid w:val="00FF3AEB"/>
    <w:rsid w:val="00FF3DBD"/>
    <w:rsid w:val="00FF4293"/>
    <w:rsid w:val="00FF42D4"/>
    <w:rsid w:val="00FF4526"/>
    <w:rsid w:val="00FF45DA"/>
    <w:rsid w:val="00FF466B"/>
    <w:rsid w:val="00FF4679"/>
    <w:rsid w:val="00FF49FF"/>
    <w:rsid w:val="00FF4B36"/>
    <w:rsid w:val="00FF4D0C"/>
    <w:rsid w:val="00FF5110"/>
    <w:rsid w:val="00FF518D"/>
    <w:rsid w:val="00FF5437"/>
    <w:rsid w:val="00FF5714"/>
    <w:rsid w:val="00FF5A7D"/>
    <w:rsid w:val="00FF5A7E"/>
    <w:rsid w:val="00FF5C78"/>
    <w:rsid w:val="00FF5CCE"/>
    <w:rsid w:val="00FF5D48"/>
    <w:rsid w:val="00FF5DCA"/>
    <w:rsid w:val="00FF5F1F"/>
    <w:rsid w:val="00FF609D"/>
    <w:rsid w:val="00FF6C48"/>
    <w:rsid w:val="00FF6CBA"/>
    <w:rsid w:val="00FF6CE9"/>
    <w:rsid w:val="00FF6D4A"/>
    <w:rsid w:val="00FF6F66"/>
    <w:rsid w:val="00FF6FF6"/>
    <w:rsid w:val="00FF7878"/>
    <w:rsid w:val="00FF78B3"/>
    <w:rsid w:val="00FF7BD4"/>
    <w:rsid w:val="00FF7C7C"/>
    <w:rsid w:val="010BFEEF"/>
    <w:rsid w:val="010D5A36"/>
    <w:rsid w:val="010DF6AD"/>
    <w:rsid w:val="01121BA0"/>
    <w:rsid w:val="0112AFAD"/>
    <w:rsid w:val="013028EF"/>
    <w:rsid w:val="0130D99E"/>
    <w:rsid w:val="01319360"/>
    <w:rsid w:val="01354803"/>
    <w:rsid w:val="01371B68"/>
    <w:rsid w:val="014360B5"/>
    <w:rsid w:val="01439C06"/>
    <w:rsid w:val="014E647E"/>
    <w:rsid w:val="0159B94D"/>
    <w:rsid w:val="016A3353"/>
    <w:rsid w:val="016EF62E"/>
    <w:rsid w:val="01938715"/>
    <w:rsid w:val="0193D5F9"/>
    <w:rsid w:val="01B06117"/>
    <w:rsid w:val="01B63DA0"/>
    <w:rsid w:val="01B99DE8"/>
    <w:rsid w:val="01C9FA6F"/>
    <w:rsid w:val="01D6DBB2"/>
    <w:rsid w:val="01DB45B0"/>
    <w:rsid w:val="01E47819"/>
    <w:rsid w:val="01ED69AF"/>
    <w:rsid w:val="01EE9C23"/>
    <w:rsid w:val="01F08BE4"/>
    <w:rsid w:val="01F34C8F"/>
    <w:rsid w:val="01FA016E"/>
    <w:rsid w:val="01FAA375"/>
    <w:rsid w:val="01FDE030"/>
    <w:rsid w:val="0200CC89"/>
    <w:rsid w:val="023CD9EB"/>
    <w:rsid w:val="024D7C40"/>
    <w:rsid w:val="02521AF3"/>
    <w:rsid w:val="026D8498"/>
    <w:rsid w:val="02730122"/>
    <w:rsid w:val="027AC279"/>
    <w:rsid w:val="027D9185"/>
    <w:rsid w:val="027EC0EF"/>
    <w:rsid w:val="0295A528"/>
    <w:rsid w:val="029650C5"/>
    <w:rsid w:val="02982E6A"/>
    <w:rsid w:val="029975D3"/>
    <w:rsid w:val="02A1872F"/>
    <w:rsid w:val="02A641E8"/>
    <w:rsid w:val="02A88EA3"/>
    <w:rsid w:val="02B18446"/>
    <w:rsid w:val="02BF5F3A"/>
    <w:rsid w:val="02C4F4C4"/>
    <w:rsid w:val="02D42279"/>
    <w:rsid w:val="02D56432"/>
    <w:rsid w:val="02D58B2F"/>
    <w:rsid w:val="02F076A0"/>
    <w:rsid w:val="02F29DCE"/>
    <w:rsid w:val="02F6640F"/>
    <w:rsid w:val="02F6F6EC"/>
    <w:rsid w:val="02FFBD3C"/>
    <w:rsid w:val="03001712"/>
    <w:rsid w:val="030E53FB"/>
    <w:rsid w:val="031056DF"/>
    <w:rsid w:val="03133ED3"/>
    <w:rsid w:val="031B9DC8"/>
    <w:rsid w:val="031E39C9"/>
    <w:rsid w:val="032190D9"/>
    <w:rsid w:val="03251E86"/>
    <w:rsid w:val="03288237"/>
    <w:rsid w:val="0338D3BB"/>
    <w:rsid w:val="033980D1"/>
    <w:rsid w:val="033B1847"/>
    <w:rsid w:val="034292B2"/>
    <w:rsid w:val="034BAC63"/>
    <w:rsid w:val="03628C3A"/>
    <w:rsid w:val="036B6E9B"/>
    <w:rsid w:val="0371FD39"/>
    <w:rsid w:val="03742074"/>
    <w:rsid w:val="0392515A"/>
    <w:rsid w:val="039C682C"/>
    <w:rsid w:val="03A42085"/>
    <w:rsid w:val="03AA500E"/>
    <w:rsid w:val="03CA62C8"/>
    <w:rsid w:val="03CE2212"/>
    <w:rsid w:val="03DD87B9"/>
    <w:rsid w:val="03E06738"/>
    <w:rsid w:val="03E283B6"/>
    <w:rsid w:val="03E2C12C"/>
    <w:rsid w:val="03E6C921"/>
    <w:rsid w:val="03F6BD3F"/>
    <w:rsid w:val="0407A9EF"/>
    <w:rsid w:val="040D55E6"/>
    <w:rsid w:val="04167161"/>
    <w:rsid w:val="041E749D"/>
    <w:rsid w:val="042483F0"/>
    <w:rsid w:val="04257132"/>
    <w:rsid w:val="0426BFF5"/>
    <w:rsid w:val="0428F7F8"/>
    <w:rsid w:val="0433A8F6"/>
    <w:rsid w:val="0437E981"/>
    <w:rsid w:val="04386CDD"/>
    <w:rsid w:val="043D8CCE"/>
    <w:rsid w:val="043DFD0D"/>
    <w:rsid w:val="043E8CBC"/>
    <w:rsid w:val="043F9370"/>
    <w:rsid w:val="04410CAB"/>
    <w:rsid w:val="0448D607"/>
    <w:rsid w:val="0450F8E8"/>
    <w:rsid w:val="0451A9F2"/>
    <w:rsid w:val="04520098"/>
    <w:rsid w:val="0460560B"/>
    <w:rsid w:val="046546F6"/>
    <w:rsid w:val="046D0D0D"/>
    <w:rsid w:val="0470061F"/>
    <w:rsid w:val="047E25FF"/>
    <w:rsid w:val="04897EC1"/>
    <w:rsid w:val="048B46E2"/>
    <w:rsid w:val="04980208"/>
    <w:rsid w:val="049CB4A9"/>
    <w:rsid w:val="049E80E4"/>
    <w:rsid w:val="04A3046B"/>
    <w:rsid w:val="04A79F4C"/>
    <w:rsid w:val="04B75BD5"/>
    <w:rsid w:val="04BB57A1"/>
    <w:rsid w:val="04C48554"/>
    <w:rsid w:val="04C7209D"/>
    <w:rsid w:val="04DD38FE"/>
    <w:rsid w:val="04E3F9CA"/>
    <w:rsid w:val="04EE4ACE"/>
    <w:rsid w:val="0501A723"/>
    <w:rsid w:val="0513087B"/>
    <w:rsid w:val="051630FE"/>
    <w:rsid w:val="0518DA99"/>
    <w:rsid w:val="051A0A57"/>
    <w:rsid w:val="051A6913"/>
    <w:rsid w:val="0529E1B7"/>
    <w:rsid w:val="052D6022"/>
    <w:rsid w:val="05314821"/>
    <w:rsid w:val="053624DD"/>
    <w:rsid w:val="053FECCA"/>
    <w:rsid w:val="05590CF0"/>
    <w:rsid w:val="05621859"/>
    <w:rsid w:val="0563BCC4"/>
    <w:rsid w:val="056F83DA"/>
    <w:rsid w:val="05706D7F"/>
    <w:rsid w:val="0579245D"/>
    <w:rsid w:val="0583F120"/>
    <w:rsid w:val="0588C18F"/>
    <w:rsid w:val="058A662C"/>
    <w:rsid w:val="058CDDC0"/>
    <w:rsid w:val="058D1C46"/>
    <w:rsid w:val="058E636F"/>
    <w:rsid w:val="05A47A72"/>
    <w:rsid w:val="05A79D5D"/>
    <w:rsid w:val="05AE13D9"/>
    <w:rsid w:val="05C82258"/>
    <w:rsid w:val="05CE3307"/>
    <w:rsid w:val="05D81841"/>
    <w:rsid w:val="05D9B944"/>
    <w:rsid w:val="05DD4234"/>
    <w:rsid w:val="05E5CA40"/>
    <w:rsid w:val="05F04845"/>
    <w:rsid w:val="05F2859B"/>
    <w:rsid w:val="06027C83"/>
    <w:rsid w:val="0610CEB2"/>
    <w:rsid w:val="061763B2"/>
    <w:rsid w:val="062B159D"/>
    <w:rsid w:val="063753D0"/>
    <w:rsid w:val="063A82A0"/>
    <w:rsid w:val="063DF1B1"/>
    <w:rsid w:val="063E7441"/>
    <w:rsid w:val="063E8692"/>
    <w:rsid w:val="064A1078"/>
    <w:rsid w:val="064A973B"/>
    <w:rsid w:val="0663DC43"/>
    <w:rsid w:val="06649723"/>
    <w:rsid w:val="066738CD"/>
    <w:rsid w:val="066823DC"/>
    <w:rsid w:val="067B7D97"/>
    <w:rsid w:val="0692ED4C"/>
    <w:rsid w:val="06946738"/>
    <w:rsid w:val="06993CA7"/>
    <w:rsid w:val="069FC793"/>
    <w:rsid w:val="06AB1218"/>
    <w:rsid w:val="06B49E11"/>
    <w:rsid w:val="06B7CD4C"/>
    <w:rsid w:val="06BF92C0"/>
    <w:rsid w:val="06C0C8E8"/>
    <w:rsid w:val="06C2F4D3"/>
    <w:rsid w:val="06D30CCF"/>
    <w:rsid w:val="06D46E90"/>
    <w:rsid w:val="06D6715A"/>
    <w:rsid w:val="06DC30BF"/>
    <w:rsid w:val="06EE26A6"/>
    <w:rsid w:val="06F9E1ED"/>
    <w:rsid w:val="06FFF537"/>
    <w:rsid w:val="0700C907"/>
    <w:rsid w:val="0703D06D"/>
    <w:rsid w:val="070527E5"/>
    <w:rsid w:val="07069000"/>
    <w:rsid w:val="0721BB3A"/>
    <w:rsid w:val="0721C8E9"/>
    <w:rsid w:val="072DA5AA"/>
    <w:rsid w:val="07325F12"/>
    <w:rsid w:val="073E2025"/>
    <w:rsid w:val="07453E94"/>
    <w:rsid w:val="07493690"/>
    <w:rsid w:val="0749D015"/>
    <w:rsid w:val="074BC053"/>
    <w:rsid w:val="0755D770"/>
    <w:rsid w:val="075F74EA"/>
    <w:rsid w:val="0764339E"/>
    <w:rsid w:val="076447C8"/>
    <w:rsid w:val="07741F39"/>
    <w:rsid w:val="07743C09"/>
    <w:rsid w:val="0776D350"/>
    <w:rsid w:val="077A0541"/>
    <w:rsid w:val="077AD04C"/>
    <w:rsid w:val="077C47AB"/>
    <w:rsid w:val="077F16A5"/>
    <w:rsid w:val="0783DE97"/>
    <w:rsid w:val="079ACE5F"/>
    <w:rsid w:val="07A4624A"/>
    <w:rsid w:val="07A94688"/>
    <w:rsid w:val="07AAC585"/>
    <w:rsid w:val="07ABCB01"/>
    <w:rsid w:val="07B6C274"/>
    <w:rsid w:val="07CCF644"/>
    <w:rsid w:val="07D56DF2"/>
    <w:rsid w:val="07DB423F"/>
    <w:rsid w:val="07EC4AC3"/>
    <w:rsid w:val="07EFFF49"/>
    <w:rsid w:val="07FAEB4C"/>
    <w:rsid w:val="08007292"/>
    <w:rsid w:val="080BBB1E"/>
    <w:rsid w:val="0816ED93"/>
    <w:rsid w:val="081972C7"/>
    <w:rsid w:val="081B039B"/>
    <w:rsid w:val="081CAC02"/>
    <w:rsid w:val="08226718"/>
    <w:rsid w:val="0830CB29"/>
    <w:rsid w:val="08392149"/>
    <w:rsid w:val="083B3350"/>
    <w:rsid w:val="084F507E"/>
    <w:rsid w:val="085998B0"/>
    <w:rsid w:val="0863C98D"/>
    <w:rsid w:val="08657F1D"/>
    <w:rsid w:val="0865ACC7"/>
    <w:rsid w:val="08736062"/>
    <w:rsid w:val="0877CEA5"/>
    <w:rsid w:val="087D9A89"/>
    <w:rsid w:val="088A9183"/>
    <w:rsid w:val="088AEA69"/>
    <w:rsid w:val="088C4854"/>
    <w:rsid w:val="0890256F"/>
    <w:rsid w:val="08A61C6F"/>
    <w:rsid w:val="08B73F7E"/>
    <w:rsid w:val="08B74B88"/>
    <w:rsid w:val="08B93B4C"/>
    <w:rsid w:val="08B95E5E"/>
    <w:rsid w:val="08BA7592"/>
    <w:rsid w:val="08DAC888"/>
    <w:rsid w:val="08F2CAC9"/>
    <w:rsid w:val="08F95238"/>
    <w:rsid w:val="08FA6959"/>
    <w:rsid w:val="0902D563"/>
    <w:rsid w:val="0904A742"/>
    <w:rsid w:val="090552C0"/>
    <w:rsid w:val="09080214"/>
    <w:rsid w:val="0908AC23"/>
    <w:rsid w:val="090DC48B"/>
    <w:rsid w:val="0914D1E4"/>
    <w:rsid w:val="09190F60"/>
    <w:rsid w:val="091A567D"/>
    <w:rsid w:val="092165BF"/>
    <w:rsid w:val="0921C894"/>
    <w:rsid w:val="0924233E"/>
    <w:rsid w:val="0926B98C"/>
    <w:rsid w:val="092FAE54"/>
    <w:rsid w:val="0933EBE8"/>
    <w:rsid w:val="094A50AC"/>
    <w:rsid w:val="094A9CD5"/>
    <w:rsid w:val="094C600F"/>
    <w:rsid w:val="094E7755"/>
    <w:rsid w:val="0953EC2E"/>
    <w:rsid w:val="09602A45"/>
    <w:rsid w:val="0960B6E2"/>
    <w:rsid w:val="09729E92"/>
    <w:rsid w:val="09763943"/>
    <w:rsid w:val="09A10A2C"/>
    <w:rsid w:val="09A8A205"/>
    <w:rsid w:val="09AEEC25"/>
    <w:rsid w:val="09AF7905"/>
    <w:rsid w:val="09B6CBFD"/>
    <w:rsid w:val="09B9A138"/>
    <w:rsid w:val="09CFAC63"/>
    <w:rsid w:val="09D09079"/>
    <w:rsid w:val="09E0F84A"/>
    <w:rsid w:val="09E24244"/>
    <w:rsid w:val="09E245FE"/>
    <w:rsid w:val="09F42A77"/>
    <w:rsid w:val="09F9A8C6"/>
    <w:rsid w:val="09FB0DF1"/>
    <w:rsid w:val="0A0992AC"/>
    <w:rsid w:val="0A0A593D"/>
    <w:rsid w:val="0A0BC966"/>
    <w:rsid w:val="0A0E414C"/>
    <w:rsid w:val="0A128F84"/>
    <w:rsid w:val="0A1749BB"/>
    <w:rsid w:val="0A1BE6CD"/>
    <w:rsid w:val="0A2B01F0"/>
    <w:rsid w:val="0A2D7467"/>
    <w:rsid w:val="0A378478"/>
    <w:rsid w:val="0A3C2D96"/>
    <w:rsid w:val="0A3F2E2B"/>
    <w:rsid w:val="0A4EE31A"/>
    <w:rsid w:val="0A52094B"/>
    <w:rsid w:val="0A578673"/>
    <w:rsid w:val="0A664E64"/>
    <w:rsid w:val="0A850896"/>
    <w:rsid w:val="0A864BB1"/>
    <w:rsid w:val="0A915043"/>
    <w:rsid w:val="0A91EC2F"/>
    <w:rsid w:val="0A93BF36"/>
    <w:rsid w:val="0A950DAB"/>
    <w:rsid w:val="0AA94491"/>
    <w:rsid w:val="0ABC27E3"/>
    <w:rsid w:val="0ABC887F"/>
    <w:rsid w:val="0AC02CDB"/>
    <w:rsid w:val="0AC22AE0"/>
    <w:rsid w:val="0ACA48C4"/>
    <w:rsid w:val="0AD48EBD"/>
    <w:rsid w:val="0AF2D795"/>
    <w:rsid w:val="0B0A9A43"/>
    <w:rsid w:val="0B0B4102"/>
    <w:rsid w:val="0B0C7DC1"/>
    <w:rsid w:val="0B0C8720"/>
    <w:rsid w:val="0B132ADA"/>
    <w:rsid w:val="0B1F642D"/>
    <w:rsid w:val="0B2819D9"/>
    <w:rsid w:val="0B42749A"/>
    <w:rsid w:val="0B55735C"/>
    <w:rsid w:val="0B5757A5"/>
    <w:rsid w:val="0B5F915A"/>
    <w:rsid w:val="0B65C561"/>
    <w:rsid w:val="0B695B27"/>
    <w:rsid w:val="0B7A5CF1"/>
    <w:rsid w:val="0B7F0BE2"/>
    <w:rsid w:val="0B8472DD"/>
    <w:rsid w:val="0B8D2B5F"/>
    <w:rsid w:val="0B8D963B"/>
    <w:rsid w:val="0B936CA0"/>
    <w:rsid w:val="0B99973F"/>
    <w:rsid w:val="0BA4635C"/>
    <w:rsid w:val="0BB602EF"/>
    <w:rsid w:val="0BC0F95E"/>
    <w:rsid w:val="0BC7C281"/>
    <w:rsid w:val="0BC8EA23"/>
    <w:rsid w:val="0BCE6287"/>
    <w:rsid w:val="0BD2C0D0"/>
    <w:rsid w:val="0BD46D3E"/>
    <w:rsid w:val="0BD94668"/>
    <w:rsid w:val="0BEC0029"/>
    <w:rsid w:val="0BED3226"/>
    <w:rsid w:val="0C034C3F"/>
    <w:rsid w:val="0C05A93C"/>
    <w:rsid w:val="0C164539"/>
    <w:rsid w:val="0C1B82F2"/>
    <w:rsid w:val="0C1F8B08"/>
    <w:rsid w:val="0C2CA776"/>
    <w:rsid w:val="0C3162E6"/>
    <w:rsid w:val="0C3ECEE0"/>
    <w:rsid w:val="0C3F33F1"/>
    <w:rsid w:val="0C4A5168"/>
    <w:rsid w:val="0C50DE36"/>
    <w:rsid w:val="0C5EED48"/>
    <w:rsid w:val="0C601FD4"/>
    <w:rsid w:val="0C65EDDB"/>
    <w:rsid w:val="0C73E606"/>
    <w:rsid w:val="0C892DA0"/>
    <w:rsid w:val="0C8EB060"/>
    <w:rsid w:val="0C9CA516"/>
    <w:rsid w:val="0CA2A696"/>
    <w:rsid w:val="0CC379AC"/>
    <w:rsid w:val="0CC44AEB"/>
    <w:rsid w:val="0CC605BF"/>
    <w:rsid w:val="0CC7AAAE"/>
    <w:rsid w:val="0CC9EF9E"/>
    <w:rsid w:val="0CD01C79"/>
    <w:rsid w:val="0CE46B50"/>
    <w:rsid w:val="0CEA4D92"/>
    <w:rsid w:val="0D088C87"/>
    <w:rsid w:val="0D09B349"/>
    <w:rsid w:val="0D0CAC60"/>
    <w:rsid w:val="0D125018"/>
    <w:rsid w:val="0D187790"/>
    <w:rsid w:val="0D1EF732"/>
    <w:rsid w:val="0D2EC55C"/>
    <w:rsid w:val="0D318A5B"/>
    <w:rsid w:val="0D3AB428"/>
    <w:rsid w:val="0D407D53"/>
    <w:rsid w:val="0D411F63"/>
    <w:rsid w:val="0D4372AB"/>
    <w:rsid w:val="0D51A1CB"/>
    <w:rsid w:val="0D54E4C4"/>
    <w:rsid w:val="0D58D59B"/>
    <w:rsid w:val="0D71DE01"/>
    <w:rsid w:val="0D74691D"/>
    <w:rsid w:val="0D7777EA"/>
    <w:rsid w:val="0D77BAEE"/>
    <w:rsid w:val="0D9A5495"/>
    <w:rsid w:val="0D9CF29A"/>
    <w:rsid w:val="0DA24622"/>
    <w:rsid w:val="0DB33249"/>
    <w:rsid w:val="0DB7F216"/>
    <w:rsid w:val="0DCD7D59"/>
    <w:rsid w:val="0DCF6CB7"/>
    <w:rsid w:val="0DD1F315"/>
    <w:rsid w:val="0DD75C03"/>
    <w:rsid w:val="0DDB44F9"/>
    <w:rsid w:val="0DE6BD99"/>
    <w:rsid w:val="0DEC6E8B"/>
    <w:rsid w:val="0DEEFEFB"/>
    <w:rsid w:val="0DF348FE"/>
    <w:rsid w:val="0DF56A6F"/>
    <w:rsid w:val="0DFDB792"/>
    <w:rsid w:val="0E0C1E01"/>
    <w:rsid w:val="0E115A5E"/>
    <w:rsid w:val="0E127764"/>
    <w:rsid w:val="0E14850F"/>
    <w:rsid w:val="0E17262D"/>
    <w:rsid w:val="0E1D8DD6"/>
    <w:rsid w:val="0E1DECA9"/>
    <w:rsid w:val="0E23D3E5"/>
    <w:rsid w:val="0E29CF93"/>
    <w:rsid w:val="0E39F343"/>
    <w:rsid w:val="0E43B4B5"/>
    <w:rsid w:val="0E47D218"/>
    <w:rsid w:val="0E5D312E"/>
    <w:rsid w:val="0E67AA80"/>
    <w:rsid w:val="0E6E4AFD"/>
    <w:rsid w:val="0E6EB7F4"/>
    <w:rsid w:val="0E88EB68"/>
    <w:rsid w:val="0E8DD8EC"/>
    <w:rsid w:val="0E922BF8"/>
    <w:rsid w:val="0E9D9B2F"/>
    <w:rsid w:val="0EB3CE5A"/>
    <w:rsid w:val="0ECFF6D3"/>
    <w:rsid w:val="0ED6432C"/>
    <w:rsid w:val="0ED75D6C"/>
    <w:rsid w:val="0ED8A370"/>
    <w:rsid w:val="0EE547BF"/>
    <w:rsid w:val="0EF5A222"/>
    <w:rsid w:val="0F02068E"/>
    <w:rsid w:val="0F1E87C5"/>
    <w:rsid w:val="0F223E69"/>
    <w:rsid w:val="0F257195"/>
    <w:rsid w:val="0F26EA96"/>
    <w:rsid w:val="0F2A58C9"/>
    <w:rsid w:val="0F356B2D"/>
    <w:rsid w:val="0F37EBE5"/>
    <w:rsid w:val="0F389F51"/>
    <w:rsid w:val="0F3BA2DB"/>
    <w:rsid w:val="0F3CFC1E"/>
    <w:rsid w:val="0F3DB0FE"/>
    <w:rsid w:val="0F4220AB"/>
    <w:rsid w:val="0F476452"/>
    <w:rsid w:val="0F476602"/>
    <w:rsid w:val="0F4D50F7"/>
    <w:rsid w:val="0F55FCDA"/>
    <w:rsid w:val="0F676788"/>
    <w:rsid w:val="0F828799"/>
    <w:rsid w:val="0F863370"/>
    <w:rsid w:val="0F8A01DC"/>
    <w:rsid w:val="0F95C8CA"/>
    <w:rsid w:val="0F9AE6DC"/>
    <w:rsid w:val="0FA1C39C"/>
    <w:rsid w:val="0FA6521A"/>
    <w:rsid w:val="0FAA01EF"/>
    <w:rsid w:val="0FB247E7"/>
    <w:rsid w:val="0FB31777"/>
    <w:rsid w:val="0FBA0569"/>
    <w:rsid w:val="0FBBDDB0"/>
    <w:rsid w:val="0FC30F38"/>
    <w:rsid w:val="0FC5C56B"/>
    <w:rsid w:val="0FCA18D9"/>
    <w:rsid w:val="0FD003BF"/>
    <w:rsid w:val="0FD2340D"/>
    <w:rsid w:val="0FE8A5E4"/>
    <w:rsid w:val="0FEC7D14"/>
    <w:rsid w:val="0FEE7718"/>
    <w:rsid w:val="0FFF518B"/>
    <w:rsid w:val="10009624"/>
    <w:rsid w:val="1011118D"/>
    <w:rsid w:val="10173D3D"/>
    <w:rsid w:val="101EDF0A"/>
    <w:rsid w:val="1025F1D6"/>
    <w:rsid w:val="1026D9E5"/>
    <w:rsid w:val="1027B9F7"/>
    <w:rsid w:val="102825A5"/>
    <w:rsid w:val="102EF174"/>
    <w:rsid w:val="1030DC79"/>
    <w:rsid w:val="103C4EBA"/>
    <w:rsid w:val="103C6898"/>
    <w:rsid w:val="10479D72"/>
    <w:rsid w:val="1057088B"/>
    <w:rsid w:val="1058DBAD"/>
    <w:rsid w:val="105CA663"/>
    <w:rsid w:val="1061E5CB"/>
    <w:rsid w:val="1070D420"/>
    <w:rsid w:val="1080E4CA"/>
    <w:rsid w:val="10958B09"/>
    <w:rsid w:val="1099B720"/>
    <w:rsid w:val="109D3808"/>
    <w:rsid w:val="10B0FD3A"/>
    <w:rsid w:val="10B26D92"/>
    <w:rsid w:val="10B84FA7"/>
    <w:rsid w:val="10C96731"/>
    <w:rsid w:val="10CFFBF8"/>
    <w:rsid w:val="10D69075"/>
    <w:rsid w:val="10DF8FD1"/>
    <w:rsid w:val="10E8939C"/>
    <w:rsid w:val="10E933B1"/>
    <w:rsid w:val="10F2C891"/>
    <w:rsid w:val="10F2F2FB"/>
    <w:rsid w:val="10F81B3C"/>
    <w:rsid w:val="10FA0967"/>
    <w:rsid w:val="10FC4731"/>
    <w:rsid w:val="10FE83AC"/>
    <w:rsid w:val="110691CD"/>
    <w:rsid w:val="110B3B7E"/>
    <w:rsid w:val="110D3C40"/>
    <w:rsid w:val="111009BD"/>
    <w:rsid w:val="11154404"/>
    <w:rsid w:val="111EC88D"/>
    <w:rsid w:val="11254F66"/>
    <w:rsid w:val="112635EF"/>
    <w:rsid w:val="112B5F7A"/>
    <w:rsid w:val="112E4905"/>
    <w:rsid w:val="112F6E5F"/>
    <w:rsid w:val="114AB6E2"/>
    <w:rsid w:val="114E9CFE"/>
    <w:rsid w:val="11541B85"/>
    <w:rsid w:val="1155D5CA"/>
    <w:rsid w:val="11591A56"/>
    <w:rsid w:val="115E13CA"/>
    <w:rsid w:val="116670F8"/>
    <w:rsid w:val="116F9FAE"/>
    <w:rsid w:val="118F84A4"/>
    <w:rsid w:val="11ABBA34"/>
    <w:rsid w:val="11ADF6AF"/>
    <w:rsid w:val="11B3E021"/>
    <w:rsid w:val="11BDFC0A"/>
    <w:rsid w:val="11C17C48"/>
    <w:rsid w:val="11D08B1E"/>
    <w:rsid w:val="11D36F5F"/>
    <w:rsid w:val="11D46972"/>
    <w:rsid w:val="11E21944"/>
    <w:rsid w:val="11E9DA13"/>
    <w:rsid w:val="11F166E9"/>
    <w:rsid w:val="11F514FB"/>
    <w:rsid w:val="12075037"/>
    <w:rsid w:val="120A4A07"/>
    <w:rsid w:val="1210F66C"/>
    <w:rsid w:val="1211A7F9"/>
    <w:rsid w:val="1214FD77"/>
    <w:rsid w:val="1223C56B"/>
    <w:rsid w:val="122407DC"/>
    <w:rsid w:val="122890CA"/>
    <w:rsid w:val="122922C5"/>
    <w:rsid w:val="122FC359"/>
    <w:rsid w:val="123957F7"/>
    <w:rsid w:val="123AA2D6"/>
    <w:rsid w:val="123E1709"/>
    <w:rsid w:val="124916E7"/>
    <w:rsid w:val="125042D7"/>
    <w:rsid w:val="125769DA"/>
    <w:rsid w:val="1260FF90"/>
    <w:rsid w:val="1261B9A8"/>
    <w:rsid w:val="12687966"/>
    <w:rsid w:val="126B48C6"/>
    <w:rsid w:val="126D83A4"/>
    <w:rsid w:val="1275BC5C"/>
    <w:rsid w:val="12978DF8"/>
    <w:rsid w:val="12A57911"/>
    <w:rsid w:val="12A59709"/>
    <w:rsid w:val="12A6F7CF"/>
    <w:rsid w:val="12AD2BE1"/>
    <w:rsid w:val="12C3DCC2"/>
    <w:rsid w:val="12CB01CA"/>
    <w:rsid w:val="12D06437"/>
    <w:rsid w:val="12D29270"/>
    <w:rsid w:val="12DE85DF"/>
    <w:rsid w:val="12EC075B"/>
    <w:rsid w:val="12EF1720"/>
    <w:rsid w:val="12F974A4"/>
    <w:rsid w:val="12F9DB29"/>
    <w:rsid w:val="12FC8C34"/>
    <w:rsid w:val="12FD123C"/>
    <w:rsid w:val="1309029F"/>
    <w:rsid w:val="13179BF7"/>
    <w:rsid w:val="13253E09"/>
    <w:rsid w:val="132823E7"/>
    <w:rsid w:val="133641EA"/>
    <w:rsid w:val="13367F10"/>
    <w:rsid w:val="13535E95"/>
    <w:rsid w:val="135B756C"/>
    <w:rsid w:val="13640A4D"/>
    <w:rsid w:val="1365EDF3"/>
    <w:rsid w:val="1378DB91"/>
    <w:rsid w:val="138DE316"/>
    <w:rsid w:val="13914E7E"/>
    <w:rsid w:val="1393D722"/>
    <w:rsid w:val="1397F83B"/>
    <w:rsid w:val="139B375C"/>
    <w:rsid w:val="13A06E2B"/>
    <w:rsid w:val="13A72063"/>
    <w:rsid w:val="13AA8BE0"/>
    <w:rsid w:val="13ABADC2"/>
    <w:rsid w:val="13B5A747"/>
    <w:rsid w:val="13B8AE1C"/>
    <w:rsid w:val="13BAD10B"/>
    <w:rsid w:val="13BBD3A0"/>
    <w:rsid w:val="13D28CEE"/>
    <w:rsid w:val="13D7500D"/>
    <w:rsid w:val="13D83465"/>
    <w:rsid w:val="13E5CC1B"/>
    <w:rsid w:val="13F4B066"/>
    <w:rsid w:val="13FE20E2"/>
    <w:rsid w:val="1408AB2E"/>
    <w:rsid w:val="141B64EC"/>
    <w:rsid w:val="142B3FCC"/>
    <w:rsid w:val="142D0FED"/>
    <w:rsid w:val="142D6C29"/>
    <w:rsid w:val="143016C7"/>
    <w:rsid w:val="14393DC2"/>
    <w:rsid w:val="143CE9DD"/>
    <w:rsid w:val="14493EEF"/>
    <w:rsid w:val="146DEFC8"/>
    <w:rsid w:val="147CDD3C"/>
    <w:rsid w:val="147DC9DA"/>
    <w:rsid w:val="14858F7D"/>
    <w:rsid w:val="14896238"/>
    <w:rsid w:val="1498A785"/>
    <w:rsid w:val="14A9829B"/>
    <w:rsid w:val="14B6F930"/>
    <w:rsid w:val="14B787A5"/>
    <w:rsid w:val="14BDA53B"/>
    <w:rsid w:val="14CF2198"/>
    <w:rsid w:val="14DD1645"/>
    <w:rsid w:val="14E974D8"/>
    <w:rsid w:val="14EAD5E1"/>
    <w:rsid w:val="14EB70B0"/>
    <w:rsid w:val="14EEFB11"/>
    <w:rsid w:val="14F4775B"/>
    <w:rsid w:val="1506515F"/>
    <w:rsid w:val="15125FE1"/>
    <w:rsid w:val="15204189"/>
    <w:rsid w:val="1530A0F8"/>
    <w:rsid w:val="153673BE"/>
    <w:rsid w:val="15498401"/>
    <w:rsid w:val="156043E4"/>
    <w:rsid w:val="156815AB"/>
    <w:rsid w:val="1568E601"/>
    <w:rsid w:val="156D3EDA"/>
    <w:rsid w:val="15719427"/>
    <w:rsid w:val="1573AD9C"/>
    <w:rsid w:val="1577F542"/>
    <w:rsid w:val="1579BAE1"/>
    <w:rsid w:val="1579EDB2"/>
    <w:rsid w:val="1582260D"/>
    <w:rsid w:val="15859A1A"/>
    <w:rsid w:val="1588C747"/>
    <w:rsid w:val="1589187D"/>
    <w:rsid w:val="158CF8A7"/>
    <w:rsid w:val="1591BC02"/>
    <w:rsid w:val="15940C7F"/>
    <w:rsid w:val="15A191E9"/>
    <w:rsid w:val="15A942C9"/>
    <w:rsid w:val="15AD42D6"/>
    <w:rsid w:val="15BB97B6"/>
    <w:rsid w:val="15C85165"/>
    <w:rsid w:val="15CAB651"/>
    <w:rsid w:val="15CCF3D8"/>
    <w:rsid w:val="15D49DBE"/>
    <w:rsid w:val="15D5263B"/>
    <w:rsid w:val="15D734AD"/>
    <w:rsid w:val="15F07B00"/>
    <w:rsid w:val="16001C14"/>
    <w:rsid w:val="160A4A26"/>
    <w:rsid w:val="160BED2F"/>
    <w:rsid w:val="160F0EBA"/>
    <w:rsid w:val="1621AFFF"/>
    <w:rsid w:val="1625E2E1"/>
    <w:rsid w:val="1635EE73"/>
    <w:rsid w:val="163C8F43"/>
    <w:rsid w:val="163CF214"/>
    <w:rsid w:val="163D3954"/>
    <w:rsid w:val="1642E294"/>
    <w:rsid w:val="16490BDF"/>
    <w:rsid w:val="1649E684"/>
    <w:rsid w:val="165DB421"/>
    <w:rsid w:val="166B14B9"/>
    <w:rsid w:val="166F1277"/>
    <w:rsid w:val="167B7A12"/>
    <w:rsid w:val="1688EED9"/>
    <w:rsid w:val="16892EAE"/>
    <w:rsid w:val="169A4AE1"/>
    <w:rsid w:val="169CADD4"/>
    <w:rsid w:val="16A225A4"/>
    <w:rsid w:val="16A2E7B9"/>
    <w:rsid w:val="16A88242"/>
    <w:rsid w:val="16A8C6C4"/>
    <w:rsid w:val="16A95F3A"/>
    <w:rsid w:val="16D0CE1E"/>
    <w:rsid w:val="16D0F417"/>
    <w:rsid w:val="16D2294A"/>
    <w:rsid w:val="16D2F7B1"/>
    <w:rsid w:val="16E2AA62"/>
    <w:rsid w:val="16EA098E"/>
    <w:rsid w:val="16F67ED1"/>
    <w:rsid w:val="17005525"/>
    <w:rsid w:val="170122BE"/>
    <w:rsid w:val="1702A794"/>
    <w:rsid w:val="1713C5C6"/>
    <w:rsid w:val="171DF070"/>
    <w:rsid w:val="1720A4FA"/>
    <w:rsid w:val="17220CA0"/>
    <w:rsid w:val="173162C6"/>
    <w:rsid w:val="17345262"/>
    <w:rsid w:val="1739B842"/>
    <w:rsid w:val="1745C1B5"/>
    <w:rsid w:val="174B609E"/>
    <w:rsid w:val="174B8331"/>
    <w:rsid w:val="1750008A"/>
    <w:rsid w:val="175392D1"/>
    <w:rsid w:val="1760E566"/>
    <w:rsid w:val="1765B11F"/>
    <w:rsid w:val="1765BA56"/>
    <w:rsid w:val="17760FE0"/>
    <w:rsid w:val="177792B3"/>
    <w:rsid w:val="177D08BB"/>
    <w:rsid w:val="17926FEA"/>
    <w:rsid w:val="179B8C98"/>
    <w:rsid w:val="179EC0B4"/>
    <w:rsid w:val="17A69A4C"/>
    <w:rsid w:val="17B8145F"/>
    <w:rsid w:val="17BC22B4"/>
    <w:rsid w:val="17C9C801"/>
    <w:rsid w:val="17CC7F47"/>
    <w:rsid w:val="17D24263"/>
    <w:rsid w:val="17D8951E"/>
    <w:rsid w:val="17D8A88A"/>
    <w:rsid w:val="17D9608F"/>
    <w:rsid w:val="180D3A9C"/>
    <w:rsid w:val="180D4968"/>
    <w:rsid w:val="181112B1"/>
    <w:rsid w:val="1816E1D4"/>
    <w:rsid w:val="182D81AA"/>
    <w:rsid w:val="18327EF3"/>
    <w:rsid w:val="18340B83"/>
    <w:rsid w:val="1837C444"/>
    <w:rsid w:val="18387839"/>
    <w:rsid w:val="1838901A"/>
    <w:rsid w:val="1839DEE6"/>
    <w:rsid w:val="183DFB40"/>
    <w:rsid w:val="183F26FD"/>
    <w:rsid w:val="18409BB1"/>
    <w:rsid w:val="1841CCC6"/>
    <w:rsid w:val="18567C00"/>
    <w:rsid w:val="1860088B"/>
    <w:rsid w:val="18635E87"/>
    <w:rsid w:val="1869F5D5"/>
    <w:rsid w:val="186B0660"/>
    <w:rsid w:val="186BB24A"/>
    <w:rsid w:val="1870D140"/>
    <w:rsid w:val="188037F0"/>
    <w:rsid w:val="188AA187"/>
    <w:rsid w:val="18901676"/>
    <w:rsid w:val="189AFCEB"/>
    <w:rsid w:val="18A0EB80"/>
    <w:rsid w:val="18A49D7A"/>
    <w:rsid w:val="18A5C373"/>
    <w:rsid w:val="18AA1AA8"/>
    <w:rsid w:val="18B15319"/>
    <w:rsid w:val="18B31DCF"/>
    <w:rsid w:val="18C795F4"/>
    <w:rsid w:val="18D01D4B"/>
    <w:rsid w:val="18D611A5"/>
    <w:rsid w:val="18E332FC"/>
    <w:rsid w:val="18E50107"/>
    <w:rsid w:val="18E540B3"/>
    <w:rsid w:val="18EA4A92"/>
    <w:rsid w:val="18F50132"/>
    <w:rsid w:val="1901088B"/>
    <w:rsid w:val="190EC22A"/>
    <w:rsid w:val="191C6747"/>
    <w:rsid w:val="19272393"/>
    <w:rsid w:val="192B976C"/>
    <w:rsid w:val="1931DF4B"/>
    <w:rsid w:val="1936E2A1"/>
    <w:rsid w:val="1939447B"/>
    <w:rsid w:val="193B2392"/>
    <w:rsid w:val="19469951"/>
    <w:rsid w:val="1947EF46"/>
    <w:rsid w:val="1953B7F0"/>
    <w:rsid w:val="19573E02"/>
    <w:rsid w:val="195D623C"/>
    <w:rsid w:val="195EF9A2"/>
    <w:rsid w:val="1968B141"/>
    <w:rsid w:val="19768983"/>
    <w:rsid w:val="1979AC6C"/>
    <w:rsid w:val="197B05E9"/>
    <w:rsid w:val="197B2441"/>
    <w:rsid w:val="198044EC"/>
    <w:rsid w:val="198FFC0E"/>
    <w:rsid w:val="19957B5F"/>
    <w:rsid w:val="19995B4F"/>
    <w:rsid w:val="19A9D09A"/>
    <w:rsid w:val="19B3ABBF"/>
    <w:rsid w:val="19BBB03B"/>
    <w:rsid w:val="19C7806F"/>
    <w:rsid w:val="19D86154"/>
    <w:rsid w:val="19DD9D27"/>
    <w:rsid w:val="19E53FA5"/>
    <w:rsid w:val="19E5EF54"/>
    <w:rsid w:val="19ED61D7"/>
    <w:rsid w:val="19EFDEF7"/>
    <w:rsid w:val="19F26780"/>
    <w:rsid w:val="19FEF8AC"/>
    <w:rsid w:val="1A0A2910"/>
    <w:rsid w:val="1A1819F4"/>
    <w:rsid w:val="1A2CDFD8"/>
    <w:rsid w:val="1A2E74FC"/>
    <w:rsid w:val="1A40D406"/>
    <w:rsid w:val="1A41604C"/>
    <w:rsid w:val="1A450790"/>
    <w:rsid w:val="1A457218"/>
    <w:rsid w:val="1A4EF13B"/>
    <w:rsid w:val="1A5A5917"/>
    <w:rsid w:val="1A5FDE16"/>
    <w:rsid w:val="1A65F084"/>
    <w:rsid w:val="1A6CB603"/>
    <w:rsid w:val="1A6F500C"/>
    <w:rsid w:val="1A79E63C"/>
    <w:rsid w:val="1A7A9AA9"/>
    <w:rsid w:val="1A85B876"/>
    <w:rsid w:val="1A94A1B6"/>
    <w:rsid w:val="1A9BF95B"/>
    <w:rsid w:val="1A9E8BD2"/>
    <w:rsid w:val="1A9F1937"/>
    <w:rsid w:val="1AA8767B"/>
    <w:rsid w:val="1AAC1099"/>
    <w:rsid w:val="1AAC66C3"/>
    <w:rsid w:val="1AB1ECDA"/>
    <w:rsid w:val="1AB59007"/>
    <w:rsid w:val="1ABA2953"/>
    <w:rsid w:val="1ABE3CF0"/>
    <w:rsid w:val="1AD49D2D"/>
    <w:rsid w:val="1ADC1E23"/>
    <w:rsid w:val="1AE269B2"/>
    <w:rsid w:val="1AF3B2BD"/>
    <w:rsid w:val="1AF3EA29"/>
    <w:rsid w:val="1AFB7569"/>
    <w:rsid w:val="1AFC2BA2"/>
    <w:rsid w:val="1AFFDD88"/>
    <w:rsid w:val="1B130E8D"/>
    <w:rsid w:val="1B28CD58"/>
    <w:rsid w:val="1B2E117F"/>
    <w:rsid w:val="1B40699D"/>
    <w:rsid w:val="1B463C7E"/>
    <w:rsid w:val="1B4FB57E"/>
    <w:rsid w:val="1B50E9FD"/>
    <w:rsid w:val="1B5312F4"/>
    <w:rsid w:val="1B53FCC4"/>
    <w:rsid w:val="1B661C7D"/>
    <w:rsid w:val="1B682402"/>
    <w:rsid w:val="1B7252E1"/>
    <w:rsid w:val="1B7A8BF5"/>
    <w:rsid w:val="1B7E53DD"/>
    <w:rsid w:val="1B819EF4"/>
    <w:rsid w:val="1B896FD8"/>
    <w:rsid w:val="1B8B79AA"/>
    <w:rsid w:val="1B8D04A3"/>
    <w:rsid w:val="1B8D7A14"/>
    <w:rsid w:val="1B9B823C"/>
    <w:rsid w:val="1B9F906D"/>
    <w:rsid w:val="1BA6BAD4"/>
    <w:rsid w:val="1BAB6DAC"/>
    <w:rsid w:val="1BB217CD"/>
    <w:rsid w:val="1BBB012A"/>
    <w:rsid w:val="1BCB414E"/>
    <w:rsid w:val="1BCE590D"/>
    <w:rsid w:val="1BCEE2B1"/>
    <w:rsid w:val="1BE11B8B"/>
    <w:rsid w:val="1BE1DB8D"/>
    <w:rsid w:val="1BE50020"/>
    <w:rsid w:val="1BE5CC15"/>
    <w:rsid w:val="1BE990C9"/>
    <w:rsid w:val="1BF2D1A0"/>
    <w:rsid w:val="1BFC64BE"/>
    <w:rsid w:val="1C0CC074"/>
    <w:rsid w:val="1C0DE02F"/>
    <w:rsid w:val="1C13EDA2"/>
    <w:rsid w:val="1C1EBDF7"/>
    <w:rsid w:val="1C23F1DA"/>
    <w:rsid w:val="1C2702E5"/>
    <w:rsid w:val="1C27E303"/>
    <w:rsid w:val="1C32627B"/>
    <w:rsid w:val="1C357E1C"/>
    <w:rsid w:val="1C4431BA"/>
    <w:rsid w:val="1C486263"/>
    <w:rsid w:val="1C4F617D"/>
    <w:rsid w:val="1C60BEB7"/>
    <w:rsid w:val="1C6261A2"/>
    <w:rsid w:val="1C6FB82C"/>
    <w:rsid w:val="1C706D4C"/>
    <w:rsid w:val="1C76665A"/>
    <w:rsid w:val="1C7972DF"/>
    <w:rsid w:val="1C83672D"/>
    <w:rsid w:val="1C8C00C8"/>
    <w:rsid w:val="1CAF6F35"/>
    <w:rsid w:val="1CB621E0"/>
    <w:rsid w:val="1CBA4350"/>
    <w:rsid w:val="1CBAD3A5"/>
    <w:rsid w:val="1CD57328"/>
    <w:rsid w:val="1CDB7A1E"/>
    <w:rsid w:val="1CE944D2"/>
    <w:rsid w:val="1CEC54BD"/>
    <w:rsid w:val="1CECBF1C"/>
    <w:rsid w:val="1CF040AE"/>
    <w:rsid w:val="1CF2F25F"/>
    <w:rsid w:val="1CFC0DC1"/>
    <w:rsid w:val="1D0A86F1"/>
    <w:rsid w:val="1D0B3957"/>
    <w:rsid w:val="1D29D5A0"/>
    <w:rsid w:val="1D2C13B3"/>
    <w:rsid w:val="1D323FFA"/>
    <w:rsid w:val="1D347D59"/>
    <w:rsid w:val="1D3CFC54"/>
    <w:rsid w:val="1D3DABFF"/>
    <w:rsid w:val="1D5339B4"/>
    <w:rsid w:val="1D588455"/>
    <w:rsid w:val="1D588CB0"/>
    <w:rsid w:val="1D5AD679"/>
    <w:rsid w:val="1D6B61E4"/>
    <w:rsid w:val="1D6FF4BA"/>
    <w:rsid w:val="1D74EAC1"/>
    <w:rsid w:val="1D793496"/>
    <w:rsid w:val="1D880B6E"/>
    <w:rsid w:val="1D8A7B11"/>
    <w:rsid w:val="1D99841E"/>
    <w:rsid w:val="1D9B4440"/>
    <w:rsid w:val="1D9B4A8B"/>
    <w:rsid w:val="1D9DC35E"/>
    <w:rsid w:val="1DA2C2B6"/>
    <w:rsid w:val="1DA36092"/>
    <w:rsid w:val="1DA7C731"/>
    <w:rsid w:val="1DAB0D76"/>
    <w:rsid w:val="1DAF320F"/>
    <w:rsid w:val="1DAF7F3F"/>
    <w:rsid w:val="1DBFA733"/>
    <w:rsid w:val="1DC456EC"/>
    <w:rsid w:val="1DD16450"/>
    <w:rsid w:val="1DD229C0"/>
    <w:rsid w:val="1DDDD853"/>
    <w:rsid w:val="1DEE6F64"/>
    <w:rsid w:val="1DF0B03C"/>
    <w:rsid w:val="1DFC32EA"/>
    <w:rsid w:val="1E00E49C"/>
    <w:rsid w:val="1E01F384"/>
    <w:rsid w:val="1E07CB01"/>
    <w:rsid w:val="1E140196"/>
    <w:rsid w:val="1E1E681C"/>
    <w:rsid w:val="1E2B7386"/>
    <w:rsid w:val="1E327CDB"/>
    <w:rsid w:val="1E36A1E3"/>
    <w:rsid w:val="1E36A875"/>
    <w:rsid w:val="1E3FC86D"/>
    <w:rsid w:val="1E49C551"/>
    <w:rsid w:val="1E5A6FF7"/>
    <w:rsid w:val="1E5BC5B0"/>
    <w:rsid w:val="1E62FF8D"/>
    <w:rsid w:val="1E6B8A2A"/>
    <w:rsid w:val="1E720F55"/>
    <w:rsid w:val="1E85B695"/>
    <w:rsid w:val="1E8BE162"/>
    <w:rsid w:val="1E91700D"/>
    <w:rsid w:val="1E9E83DE"/>
    <w:rsid w:val="1EA22807"/>
    <w:rsid w:val="1EA4DCE3"/>
    <w:rsid w:val="1EA64043"/>
    <w:rsid w:val="1EAF7E47"/>
    <w:rsid w:val="1EB1419E"/>
    <w:rsid w:val="1EC1897E"/>
    <w:rsid w:val="1EC35187"/>
    <w:rsid w:val="1EDBE46A"/>
    <w:rsid w:val="1EDDCEB4"/>
    <w:rsid w:val="1EE11AC2"/>
    <w:rsid w:val="1EE21D41"/>
    <w:rsid w:val="1EE7BD6A"/>
    <w:rsid w:val="1EE9ECB2"/>
    <w:rsid w:val="1EEA206E"/>
    <w:rsid w:val="1EEE208C"/>
    <w:rsid w:val="1EEFBF4B"/>
    <w:rsid w:val="1EF4C8C3"/>
    <w:rsid w:val="1EF545A4"/>
    <w:rsid w:val="1EFA7DC1"/>
    <w:rsid w:val="1F031520"/>
    <w:rsid w:val="1F09933F"/>
    <w:rsid w:val="1F0AF018"/>
    <w:rsid w:val="1F12F26A"/>
    <w:rsid w:val="1F186706"/>
    <w:rsid w:val="1F3CF4DC"/>
    <w:rsid w:val="1F416E26"/>
    <w:rsid w:val="1F4296A3"/>
    <w:rsid w:val="1F4C7815"/>
    <w:rsid w:val="1F54ECCF"/>
    <w:rsid w:val="1F576C9B"/>
    <w:rsid w:val="1F688BD5"/>
    <w:rsid w:val="1F70AC95"/>
    <w:rsid w:val="1F862E38"/>
    <w:rsid w:val="1F892EBD"/>
    <w:rsid w:val="1F9A310F"/>
    <w:rsid w:val="1F9E2CAE"/>
    <w:rsid w:val="1FA4F155"/>
    <w:rsid w:val="1FAC319D"/>
    <w:rsid w:val="1FB4E23A"/>
    <w:rsid w:val="1FB6928B"/>
    <w:rsid w:val="1FB936EF"/>
    <w:rsid w:val="1FCC81F1"/>
    <w:rsid w:val="1FD3A081"/>
    <w:rsid w:val="1FD80A40"/>
    <w:rsid w:val="1FD92F1F"/>
    <w:rsid w:val="1FE504B8"/>
    <w:rsid w:val="1FED84EC"/>
    <w:rsid w:val="1FEF3AE6"/>
    <w:rsid w:val="1FEF4FEC"/>
    <w:rsid w:val="1FF66F3D"/>
    <w:rsid w:val="20060623"/>
    <w:rsid w:val="20066387"/>
    <w:rsid w:val="2014F792"/>
    <w:rsid w:val="2017954D"/>
    <w:rsid w:val="201BC4CF"/>
    <w:rsid w:val="201E260E"/>
    <w:rsid w:val="202FE138"/>
    <w:rsid w:val="2040C800"/>
    <w:rsid w:val="204BE639"/>
    <w:rsid w:val="204D450A"/>
    <w:rsid w:val="2050595D"/>
    <w:rsid w:val="20565C15"/>
    <w:rsid w:val="20596BE2"/>
    <w:rsid w:val="205ABD6F"/>
    <w:rsid w:val="20720CA0"/>
    <w:rsid w:val="2072658B"/>
    <w:rsid w:val="207DC476"/>
    <w:rsid w:val="208165A3"/>
    <w:rsid w:val="20838C2F"/>
    <w:rsid w:val="2088C97C"/>
    <w:rsid w:val="20895E8E"/>
    <w:rsid w:val="208B998B"/>
    <w:rsid w:val="208C4FFE"/>
    <w:rsid w:val="208CFF33"/>
    <w:rsid w:val="2090867B"/>
    <w:rsid w:val="2092246C"/>
    <w:rsid w:val="20924302"/>
    <w:rsid w:val="2098F4BB"/>
    <w:rsid w:val="20A04DEA"/>
    <w:rsid w:val="20A6D1F8"/>
    <w:rsid w:val="20A9A8D4"/>
    <w:rsid w:val="20AF678E"/>
    <w:rsid w:val="20B6E0FD"/>
    <w:rsid w:val="20BE0F89"/>
    <w:rsid w:val="20DAC0B2"/>
    <w:rsid w:val="20DB5E3B"/>
    <w:rsid w:val="20DD3B62"/>
    <w:rsid w:val="20DE3AC1"/>
    <w:rsid w:val="20DE47A9"/>
    <w:rsid w:val="20E86FB4"/>
    <w:rsid w:val="20EA207E"/>
    <w:rsid w:val="20EB5461"/>
    <w:rsid w:val="20EB9FA9"/>
    <w:rsid w:val="20ECDC82"/>
    <w:rsid w:val="20F13A98"/>
    <w:rsid w:val="20F7FD4B"/>
    <w:rsid w:val="20FC3535"/>
    <w:rsid w:val="2103E63A"/>
    <w:rsid w:val="21150DCD"/>
    <w:rsid w:val="21270A5F"/>
    <w:rsid w:val="2142A516"/>
    <w:rsid w:val="2144FBC3"/>
    <w:rsid w:val="2154A08E"/>
    <w:rsid w:val="21599DDA"/>
    <w:rsid w:val="216F4183"/>
    <w:rsid w:val="2171A1F0"/>
    <w:rsid w:val="21721EC1"/>
    <w:rsid w:val="2191747D"/>
    <w:rsid w:val="219683A7"/>
    <w:rsid w:val="2196E949"/>
    <w:rsid w:val="219EA95D"/>
    <w:rsid w:val="21A133B4"/>
    <w:rsid w:val="21A86432"/>
    <w:rsid w:val="21AABCCA"/>
    <w:rsid w:val="21B84258"/>
    <w:rsid w:val="21BAAB70"/>
    <w:rsid w:val="21C02D41"/>
    <w:rsid w:val="21C230EA"/>
    <w:rsid w:val="21C7E2F4"/>
    <w:rsid w:val="21D5DE94"/>
    <w:rsid w:val="21D8ADA0"/>
    <w:rsid w:val="21DBE038"/>
    <w:rsid w:val="21E488EE"/>
    <w:rsid w:val="21F2CF50"/>
    <w:rsid w:val="21F5152B"/>
    <w:rsid w:val="21FA6617"/>
    <w:rsid w:val="21FB6209"/>
    <w:rsid w:val="21FD94FA"/>
    <w:rsid w:val="221E3C24"/>
    <w:rsid w:val="22223CC2"/>
    <w:rsid w:val="222C8AD8"/>
    <w:rsid w:val="2241239E"/>
    <w:rsid w:val="2249791C"/>
    <w:rsid w:val="22508F90"/>
    <w:rsid w:val="2261DF16"/>
    <w:rsid w:val="2264DCA3"/>
    <w:rsid w:val="226BA4A9"/>
    <w:rsid w:val="2289F22A"/>
    <w:rsid w:val="228B1C8A"/>
    <w:rsid w:val="228E52DA"/>
    <w:rsid w:val="22904995"/>
    <w:rsid w:val="22A60655"/>
    <w:rsid w:val="22A9F365"/>
    <w:rsid w:val="22BC8FB4"/>
    <w:rsid w:val="22BDEEC8"/>
    <w:rsid w:val="22BDFDED"/>
    <w:rsid w:val="22C212FE"/>
    <w:rsid w:val="22C79942"/>
    <w:rsid w:val="22D44EE4"/>
    <w:rsid w:val="22D703E5"/>
    <w:rsid w:val="22DB8032"/>
    <w:rsid w:val="22E14EB8"/>
    <w:rsid w:val="22E9DBB9"/>
    <w:rsid w:val="22F2B646"/>
    <w:rsid w:val="22F98E85"/>
    <w:rsid w:val="22FAA155"/>
    <w:rsid w:val="22FAC215"/>
    <w:rsid w:val="22FE8115"/>
    <w:rsid w:val="230322C1"/>
    <w:rsid w:val="230717B3"/>
    <w:rsid w:val="230C1B11"/>
    <w:rsid w:val="2315FB9E"/>
    <w:rsid w:val="2317C9E5"/>
    <w:rsid w:val="231D0AEA"/>
    <w:rsid w:val="231FC62A"/>
    <w:rsid w:val="2323B2F9"/>
    <w:rsid w:val="2330BCBA"/>
    <w:rsid w:val="233DF894"/>
    <w:rsid w:val="23418469"/>
    <w:rsid w:val="2343055A"/>
    <w:rsid w:val="234C3F0E"/>
    <w:rsid w:val="234F360F"/>
    <w:rsid w:val="2352E25F"/>
    <w:rsid w:val="2357770B"/>
    <w:rsid w:val="236377AA"/>
    <w:rsid w:val="2369E6D6"/>
    <w:rsid w:val="237340E0"/>
    <w:rsid w:val="23812664"/>
    <w:rsid w:val="2386FE79"/>
    <w:rsid w:val="2388E96D"/>
    <w:rsid w:val="2389A723"/>
    <w:rsid w:val="2398CB76"/>
    <w:rsid w:val="239EE7EB"/>
    <w:rsid w:val="23A570A8"/>
    <w:rsid w:val="23A76EB4"/>
    <w:rsid w:val="23AE96E6"/>
    <w:rsid w:val="23B801C9"/>
    <w:rsid w:val="23C3160B"/>
    <w:rsid w:val="23C724AF"/>
    <w:rsid w:val="23C8888C"/>
    <w:rsid w:val="23CA5C0E"/>
    <w:rsid w:val="23D6DFB3"/>
    <w:rsid w:val="23D98450"/>
    <w:rsid w:val="23DE0569"/>
    <w:rsid w:val="23DE68B7"/>
    <w:rsid w:val="23DF9FC6"/>
    <w:rsid w:val="23E7AE8A"/>
    <w:rsid w:val="23F27AB3"/>
    <w:rsid w:val="23F2EAF7"/>
    <w:rsid w:val="23F8CA1A"/>
    <w:rsid w:val="23FB30AF"/>
    <w:rsid w:val="240A7112"/>
    <w:rsid w:val="240C083E"/>
    <w:rsid w:val="240C6632"/>
    <w:rsid w:val="2413CFBD"/>
    <w:rsid w:val="241FC925"/>
    <w:rsid w:val="242A7B97"/>
    <w:rsid w:val="24398201"/>
    <w:rsid w:val="243C747D"/>
    <w:rsid w:val="243E7A70"/>
    <w:rsid w:val="244DB263"/>
    <w:rsid w:val="244DB768"/>
    <w:rsid w:val="2450B56E"/>
    <w:rsid w:val="2461AE36"/>
    <w:rsid w:val="24628AEB"/>
    <w:rsid w:val="2463FF70"/>
    <w:rsid w:val="246A5518"/>
    <w:rsid w:val="24742E8E"/>
    <w:rsid w:val="2479A579"/>
    <w:rsid w:val="247C4FBB"/>
    <w:rsid w:val="2483A967"/>
    <w:rsid w:val="2484B886"/>
    <w:rsid w:val="248793C4"/>
    <w:rsid w:val="248BBF02"/>
    <w:rsid w:val="248CD797"/>
    <w:rsid w:val="248CE243"/>
    <w:rsid w:val="249412B9"/>
    <w:rsid w:val="2494840B"/>
    <w:rsid w:val="249A1AB1"/>
    <w:rsid w:val="249A2443"/>
    <w:rsid w:val="249D4564"/>
    <w:rsid w:val="249E626C"/>
    <w:rsid w:val="24A67AFC"/>
    <w:rsid w:val="24A7CF98"/>
    <w:rsid w:val="24A8E2DF"/>
    <w:rsid w:val="24B8530A"/>
    <w:rsid w:val="24C14C61"/>
    <w:rsid w:val="24CD1F6E"/>
    <w:rsid w:val="24CFAC18"/>
    <w:rsid w:val="24D89A05"/>
    <w:rsid w:val="24DEE347"/>
    <w:rsid w:val="24DEE861"/>
    <w:rsid w:val="24E77288"/>
    <w:rsid w:val="24E82AC0"/>
    <w:rsid w:val="24ECD7B1"/>
    <w:rsid w:val="24F6E1CE"/>
    <w:rsid w:val="24F6FE9E"/>
    <w:rsid w:val="24FAC73A"/>
    <w:rsid w:val="24FFD25E"/>
    <w:rsid w:val="25076830"/>
    <w:rsid w:val="2515EC22"/>
    <w:rsid w:val="251D33ED"/>
    <w:rsid w:val="25261271"/>
    <w:rsid w:val="25272449"/>
    <w:rsid w:val="25295478"/>
    <w:rsid w:val="253036D8"/>
    <w:rsid w:val="2537F98C"/>
    <w:rsid w:val="253B1595"/>
    <w:rsid w:val="253E7059"/>
    <w:rsid w:val="2552C088"/>
    <w:rsid w:val="255FAB68"/>
    <w:rsid w:val="25691EC6"/>
    <w:rsid w:val="256FFE74"/>
    <w:rsid w:val="25705D21"/>
    <w:rsid w:val="2570DEB9"/>
    <w:rsid w:val="2573BBD4"/>
    <w:rsid w:val="2573C753"/>
    <w:rsid w:val="2579B07A"/>
    <w:rsid w:val="257B850F"/>
    <w:rsid w:val="257C50F2"/>
    <w:rsid w:val="257F2659"/>
    <w:rsid w:val="25833A42"/>
    <w:rsid w:val="2583B9B9"/>
    <w:rsid w:val="25887DED"/>
    <w:rsid w:val="2589EC4F"/>
    <w:rsid w:val="2593DE1C"/>
    <w:rsid w:val="259C2C0B"/>
    <w:rsid w:val="25A442A1"/>
    <w:rsid w:val="25A9960A"/>
    <w:rsid w:val="25AA3396"/>
    <w:rsid w:val="25AC242F"/>
    <w:rsid w:val="25AFF446"/>
    <w:rsid w:val="25C01A1D"/>
    <w:rsid w:val="25C236CA"/>
    <w:rsid w:val="25C40ACB"/>
    <w:rsid w:val="25C97D7E"/>
    <w:rsid w:val="25CD928D"/>
    <w:rsid w:val="25D039B2"/>
    <w:rsid w:val="25D50D7D"/>
    <w:rsid w:val="25D642BC"/>
    <w:rsid w:val="25E1A825"/>
    <w:rsid w:val="25E5D133"/>
    <w:rsid w:val="25E6EB72"/>
    <w:rsid w:val="25E85AF6"/>
    <w:rsid w:val="2604AB26"/>
    <w:rsid w:val="2608EB92"/>
    <w:rsid w:val="26091501"/>
    <w:rsid w:val="260A3B26"/>
    <w:rsid w:val="2625D5AA"/>
    <w:rsid w:val="26270A34"/>
    <w:rsid w:val="263082C9"/>
    <w:rsid w:val="26431E66"/>
    <w:rsid w:val="2648913C"/>
    <w:rsid w:val="265778E6"/>
    <w:rsid w:val="2659EC82"/>
    <w:rsid w:val="265AAEA7"/>
    <w:rsid w:val="26626CE6"/>
    <w:rsid w:val="2668E458"/>
    <w:rsid w:val="26716956"/>
    <w:rsid w:val="2679523A"/>
    <w:rsid w:val="267E454E"/>
    <w:rsid w:val="26824AB6"/>
    <w:rsid w:val="268350D5"/>
    <w:rsid w:val="268ED25A"/>
    <w:rsid w:val="268F7409"/>
    <w:rsid w:val="26A36121"/>
    <w:rsid w:val="26A551DA"/>
    <w:rsid w:val="26A5C285"/>
    <w:rsid w:val="26A872C2"/>
    <w:rsid w:val="26AB49FF"/>
    <w:rsid w:val="26ADB947"/>
    <w:rsid w:val="26B88485"/>
    <w:rsid w:val="26C2AE0A"/>
    <w:rsid w:val="26C4ECDD"/>
    <w:rsid w:val="26D047D7"/>
    <w:rsid w:val="26D0FCC0"/>
    <w:rsid w:val="26D9ACEF"/>
    <w:rsid w:val="26E4E137"/>
    <w:rsid w:val="26E579A8"/>
    <w:rsid w:val="26EE2032"/>
    <w:rsid w:val="26FDB634"/>
    <w:rsid w:val="26FF8B8C"/>
    <w:rsid w:val="2703C7A2"/>
    <w:rsid w:val="27096249"/>
    <w:rsid w:val="270C8F45"/>
    <w:rsid w:val="270E0C4D"/>
    <w:rsid w:val="271BBBB9"/>
    <w:rsid w:val="271CCF2B"/>
    <w:rsid w:val="272092C9"/>
    <w:rsid w:val="2720DA23"/>
    <w:rsid w:val="272348A2"/>
    <w:rsid w:val="273623FA"/>
    <w:rsid w:val="2739C9E6"/>
    <w:rsid w:val="273A0A5F"/>
    <w:rsid w:val="273F641B"/>
    <w:rsid w:val="275424D0"/>
    <w:rsid w:val="2755448A"/>
    <w:rsid w:val="2756F1A0"/>
    <w:rsid w:val="2757550E"/>
    <w:rsid w:val="2760D4FC"/>
    <w:rsid w:val="2772748F"/>
    <w:rsid w:val="2777A83B"/>
    <w:rsid w:val="278B4B33"/>
    <w:rsid w:val="27970120"/>
    <w:rsid w:val="2798B31F"/>
    <w:rsid w:val="27AAB1C1"/>
    <w:rsid w:val="27AFFE25"/>
    <w:rsid w:val="27BA4A59"/>
    <w:rsid w:val="27BF321C"/>
    <w:rsid w:val="27C039C0"/>
    <w:rsid w:val="27C68253"/>
    <w:rsid w:val="27CAA1C8"/>
    <w:rsid w:val="27CAECB3"/>
    <w:rsid w:val="27D00A86"/>
    <w:rsid w:val="27D12D8D"/>
    <w:rsid w:val="27D325CB"/>
    <w:rsid w:val="27D5CBAC"/>
    <w:rsid w:val="27D648A7"/>
    <w:rsid w:val="27D82E14"/>
    <w:rsid w:val="27D9E543"/>
    <w:rsid w:val="27DE51A2"/>
    <w:rsid w:val="27EB0C18"/>
    <w:rsid w:val="27F2DB26"/>
    <w:rsid w:val="27F3C106"/>
    <w:rsid w:val="27F48A54"/>
    <w:rsid w:val="27F9B553"/>
    <w:rsid w:val="27FA05A7"/>
    <w:rsid w:val="27FE50F9"/>
    <w:rsid w:val="28072FE7"/>
    <w:rsid w:val="281E5C28"/>
    <w:rsid w:val="282E0C01"/>
    <w:rsid w:val="28361AB5"/>
    <w:rsid w:val="28429A29"/>
    <w:rsid w:val="28569F5D"/>
    <w:rsid w:val="2857D28E"/>
    <w:rsid w:val="28667A23"/>
    <w:rsid w:val="28734B96"/>
    <w:rsid w:val="28813AB9"/>
    <w:rsid w:val="2884B671"/>
    <w:rsid w:val="288B41F6"/>
    <w:rsid w:val="2893ECFA"/>
    <w:rsid w:val="289B36FC"/>
    <w:rsid w:val="28A33241"/>
    <w:rsid w:val="28AAD3A4"/>
    <w:rsid w:val="28B0A7CD"/>
    <w:rsid w:val="28CD9E88"/>
    <w:rsid w:val="28CE1693"/>
    <w:rsid w:val="28E7B5CF"/>
    <w:rsid w:val="28EE590D"/>
    <w:rsid w:val="28F961EF"/>
    <w:rsid w:val="28FC9ED6"/>
    <w:rsid w:val="29010474"/>
    <w:rsid w:val="290D0E9D"/>
    <w:rsid w:val="290D9921"/>
    <w:rsid w:val="291490AE"/>
    <w:rsid w:val="2934EB7D"/>
    <w:rsid w:val="2935240E"/>
    <w:rsid w:val="29372735"/>
    <w:rsid w:val="29391000"/>
    <w:rsid w:val="293B5D99"/>
    <w:rsid w:val="29419446"/>
    <w:rsid w:val="294A25FF"/>
    <w:rsid w:val="29511F37"/>
    <w:rsid w:val="29533B5E"/>
    <w:rsid w:val="29596DC2"/>
    <w:rsid w:val="295B54EB"/>
    <w:rsid w:val="2961AFDA"/>
    <w:rsid w:val="296BB908"/>
    <w:rsid w:val="2973863C"/>
    <w:rsid w:val="29794A06"/>
    <w:rsid w:val="297CFBCF"/>
    <w:rsid w:val="299DD8AC"/>
    <w:rsid w:val="29A502EB"/>
    <w:rsid w:val="29A9474D"/>
    <w:rsid w:val="29AF2A5D"/>
    <w:rsid w:val="29B006D9"/>
    <w:rsid w:val="29B7BB95"/>
    <w:rsid w:val="29B84DD1"/>
    <w:rsid w:val="29BB2468"/>
    <w:rsid w:val="29BD0596"/>
    <w:rsid w:val="29E23CA7"/>
    <w:rsid w:val="29E2EAC1"/>
    <w:rsid w:val="29E71800"/>
    <w:rsid w:val="29EAB2D2"/>
    <w:rsid w:val="29EEE49D"/>
    <w:rsid w:val="29EFFB60"/>
    <w:rsid w:val="2A0C9B69"/>
    <w:rsid w:val="2A0E05EA"/>
    <w:rsid w:val="2A0E5D2F"/>
    <w:rsid w:val="2A1431C5"/>
    <w:rsid w:val="2A21E39B"/>
    <w:rsid w:val="2A22FDDB"/>
    <w:rsid w:val="2A449CE1"/>
    <w:rsid w:val="2A45D0FC"/>
    <w:rsid w:val="2A52FCD9"/>
    <w:rsid w:val="2A550BAD"/>
    <w:rsid w:val="2A5B696E"/>
    <w:rsid w:val="2A5BC746"/>
    <w:rsid w:val="2A62AB6B"/>
    <w:rsid w:val="2A62F688"/>
    <w:rsid w:val="2A6A2714"/>
    <w:rsid w:val="2A746BD0"/>
    <w:rsid w:val="2A7F28B7"/>
    <w:rsid w:val="2AA9401D"/>
    <w:rsid w:val="2AAE3BD3"/>
    <w:rsid w:val="2AAFDA17"/>
    <w:rsid w:val="2AB5F688"/>
    <w:rsid w:val="2AB8D5DF"/>
    <w:rsid w:val="2ACA757D"/>
    <w:rsid w:val="2ACC17B2"/>
    <w:rsid w:val="2ACC76E9"/>
    <w:rsid w:val="2AD1FF19"/>
    <w:rsid w:val="2ADAC5B3"/>
    <w:rsid w:val="2AE2B9EC"/>
    <w:rsid w:val="2AE3081A"/>
    <w:rsid w:val="2AE95F36"/>
    <w:rsid w:val="2AF77070"/>
    <w:rsid w:val="2B0979D7"/>
    <w:rsid w:val="2B1C81A4"/>
    <w:rsid w:val="2B26C6A1"/>
    <w:rsid w:val="2B28E7DF"/>
    <w:rsid w:val="2B2AB18A"/>
    <w:rsid w:val="2B30C215"/>
    <w:rsid w:val="2B30E3DB"/>
    <w:rsid w:val="2B32AB5C"/>
    <w:rsid w:val="2B3EC00E"/>
    <w:rsid w:val="2B438801"/>
    <w:rsid w:val="2B45D27B"/>
    <w:rsid w:val="2B4A8ACD"/>
    <w:rsid w:val="2B4C7888"/>
    <w:rsid w:val="2B4DBB78"/>
    <w:rsid w:val="2B50194D"/>
    <w:rsid w:val="2B5AC039"/>
    <w:rsid w:val="2B61C94A"/>
    <w:rsid w:val="2B66EC0E"/>
    <w:rsid w:val="2B6A07A1"/>
    <w:rsid w:val="2B6C972D"/>
    <w:rsid w:val="2B73F824"/>
    <w:rsid w:val="2B7DF820"/>
    <w:rsid w:val="2B951941"/>
    <w:rsid w:val="2B954967"/>
    <w:rsid w:val="2B9CED16"/>
    <w:rsid w:val="2BBFCBE7"/>
    <w:rsid w:val="2BC083F8"/>
    <w:rsid w:val="2BCCFF21"/>
    <w:rsid w:val="2BCE1AC7"/>
    <w:rsid w:val="2BD277F3"/>
    <w:rsid w:val="2BE6A401"/>
    <w:rsid w:val="2BE870C6"/>
    <w:rsid w:val="2BEC506F"/>
    <w:rsid w:val="2BECC969"/>
    <w:rsid w:val="2BF33243"/>
    <w:rsid w:val="2BF467D8"/>
    <w:rsid w:val="2BFACC86"/>
    <w:rsid w:val="2BFCD068"/>
    <w:rsid w:val="2BFDDD97"/>
    <w:rsid w:val="2C0E9662"/>
    <w:rsid w:val="2C102C3F"/>
    <w:rsid w:val="2C109DCF"/>
    <w:rsid w:val="2C122A4E"/>
    <w:rsid w:val="2C14A77F"/>
    <w:rsid w:val="2C20810C"/>
    <w:rsid w:val="2C25735F"/>
    <w:rsid w:val="2C31C899"/>
    <w:rsid w:val="2C32977E"/>
    <w:rsid w:val="2C376CEA"/>
    <w:rsid w:val="2C39AEB3"/>
    <w:rsid w:val="2C3EDE47"/>
    <w:rsid w:val="2C541458"/>
    <w:rsid w:val="2C54B4AC"/>
    <w:rsid w:val="2C5E7570"/>
    <w:rsid w:val="2C5F507A"/>
    <w:rsid w:val="2C67A036"/>
    <w:rsid w:val="2C79D29B"/>
    <w:rsid w:val="2C7CA715"/>
    <w:rsid w:val="2C851D01"/>
    <w:rsid w:val="2CA3BF61"/>
    <w:rsid w:val="2CB84B93"/>
    <w:rsid w:val="2CB8E534"/>
    <w:rsid w:val="2CC33E8D"/>
    <w:rsid w:val="2CC6A870"/>
    <w:rsid w:val="2CC72712"/>
    <w:rsid w:val="2CD0CB78"/>
    <w:rsid w:val="2CE51FE3"/>
    <w:rsid w:val="2CEF0820"/>
    <w:rsid w:val="2CF36DB5"/>
    <w:rsid w:val="2CF42602"/>
    <w:rsid w:val="2D03943B"/>
    <w:rsid w:val="2D082D09"/>
    <w:rsid w:val="2D0D823C"/>
    <w:rsid w:val="2D1CC9AB"/>
    <w:rsid w:val="2D1EF49E"/>
    <w:rsid w:val="2D29D07B"/>
    <w:rsid w:val="2D2DB578"/>
    <w:rsid w:val="2D2FA7E3"/>
    <w:rsid w:val="2D375BEE"/>
    <w:rsid w:val="2D3D18EE"/>
    <w:rsid w:val="2D4761F5"/>
    <w:rsid w:val="2D4D25D0"/>
    <w:rsid w:val="2D4ECBB0"/>
    <w:rsid w:val="2D50BCC2"/>
    <w:rsid w:val="2D50CFF4"/>
    <w:rsid w:val="2D54ABDC"/>
    <w:rsid w:val="2D5B0A48"/>
    <w:rsid w:val="2D62B918"/>
    <w:rsid w:val="2D6CA494"/>
    <w:rsid w:val="2D6D3AC5"/>
    <w:rsid w:val="2D6E19D8"/>
    <w:rsid w:val="2D7219F5"/>
    <w:rsid w:val="2D77C47F"/>
    <w:rsid w:val="2D80179F"/>
    <w:rsid w:val="2D84A671"/>
    <w:rsid w:val="2D8F7735"/>
    <w:rsid w:val="2D92109E"/>
    <w:rsid w:val="2D9847B7"/>
    <w:rsid w:val="2DA2793D"/>
    <w:rsid w:val="2DB5E1DA"/>
    <w:rsid w:val="2DB94FDB"/>
    <w:rsid w:val="2DCEE4AD"/>
    <w:rsid w:val="2DD7BF38"/>
    <w:rsid w:val="2DEE9369"/>
    <w:rsid w:val="2E131780"/>
    <w:rsid w:val="2E1C0DB9"/>
    <w:rsid w:val="2E2C74D0"/>
    <w:rsid w:val="2E2E4130"/>
    <w:rsid w:val="2E353027"/>
    <w:rsid w:val="2E475FC0"/>
    <w:rsid w:val="2E656210"/>
    <w:rsid w:val="2E679221"/>
    <w:rsid w:val="2E693F8B"/>
    <w:rsid w:val="2E6A79DB"/>
    <w:rsid w:val="2E6BC155"/>
    <w:rsid w:val="2E750B76"/>
    <w:rsid w:val="2E78E5EE"/>
    <w:rsid w:val="2E7A9655"/>
    <w:rsid w:val="2E832AF4"/>
    <w:rsid w:val="2E97C0C6"/>
    <w:rsid w:val="2E9F47F7"/>
    <w:rsid w:val="2EAEEC85"/>
    <w:rsid w:val="2EBD1A50"/>
    <w:rsid w:val="2EC05167"/>
    <w:rsid w:val="2EC96B5B"/>
    <w:rsid w:val="2ED0CA82"/>
    <w:rsid w:val="2ED12966"/>
    <w:rsid w:val="2ED5BC3E"/>
    <w:rsid w:val="2ED912A8"/>
    <w:rsid w:val="2EDD90F9"/>
    <w:rsid w:val="2EDF4166"/>
    <w:rsid w:val="2EE3DCC9"/>
    <w:rsid w:val="2EEC2262"/>
    <w:rsid w:val="2EECCC65"/>
    <w:rsid w:val="2EF0D076"/>
    <w:rsid w:val="2EF1158D"/>
    <w:rsid w:val="2EF2D27D"/>
    <w:rsid w:val="2EF6E1E7"/>
    <w:rsid w:val="2EFB6AD9"/>
    <w:rsid w:val="2F14F92C"/>
    <w:rsid w:val="2F1852C9"/>
    <w:rsid w:val="2F1D34B6"/>
    <w:rsid w:val="2F2EE11A"/>
    <w:rsid w:val="2F3005E0"/>
    <w:rsid w:val="2F3560F4"/>
    <w:rsid w:val="2F40872B"/>
    <w:rsid w:val="2F5E236C"/>
    <w:rsid w:val="2F68A4EA"/>
    <w:rsid w:val="2F6AC2D7"/>
    <w:rsid w:val="2F6F8799"/>
    <w:rsid w:val="2F7C14FB"/>
    <w:rsid w:val="2F7F92A0"/>
    <w:rsid w:val="2F81C3C9"/>
    <w:rsid w:val="2F874AB7"/>
    <w:rsid w:val="2F949399"/>
    <w:rsid w:val="2F9715D0"/>
    <w:rsid w:val="2F9CF056"/>
    <w:rsid w:val="2F9F9839"/>
    <w:rsid w:val="2FA0301B"/>
    <w:rsid w:val="2FA51AF6"/>
    <w:rsid w:val="2FA9C1E6"/>
    <w:rsid w:val="2FB094A6"/>
    <w:rsid w:val="2FBCF33C"/>
    <w:rsid w:val="2FC3BFB7"/>
    <w:rsid w:val="2FC71AC4"/>
    <w:rsid w:val="2FC9FE27"/>
    <w:rsid w:val="2FCE9AE8"/>
    <w:rsid w:val="2FD8A382"/>
    <w:rsid w:val="2FDCE0DB"/>
    <w:rsid w:val="2FE4F646"/>
    <w:rsid w:val="2FF60838"/>
    <w:rsid w:val="2FF79321"/>
    <w:rsid w:val="2FFE99FB"/>
    <w:rsid w:val="3001C748"/>
    <w:rsid w:val="3008A57C"/>
    <w:rsid w:val="30093C61"/>
    <w:rsid w:val="300B0DB9"/>
    <w:rsid w:val="300DC5E3"/>
    <w:rsid w:val="300EB2C7"/>
    <w:rsid w:val="3016056D"/>
    <w:rsid w:val="301D700D"/>
    <w:rsid w:val="302B9304"/>
    <w:rsid w:val="302F6FB6"/>
    <w:rsid w:val="30344A1E"/>
    <w:rsid w:val="303C8026"/>
    <w:rsid w:val="303FF523"/>
    <w:rsid w:val="30477FE0"/>
    <w:rsid w:val="304F620A"/>
    <w:rsid w:val="30546D39"/>
    <w:rsid w:val="3068CF3E"/>
    <w:rsid w:val="306B5892"/>
    <w:rsid w:val="306D508D"/>
    <w:rsid w:val="30749A34"/>
    <w:rsid w:val="3075F160"/>
    <w:rsid w:val="3083A062"/>
    <w:rsid w:val="3098EFBE"/>
    <w:rsid w:val="309F8E36"/>
    <w:rsid w:val="30AAA428"/>
    <w:rsid w:val="30ABC3F4"/>
    <w:rsid w:val="30B51280"/>
    <w:rsid w:val="30B8D093"/>
    <w:rsid w:val="30BC37D8"/>
    <w:rsid w:val="30BDA0FA"/>
    <w:rsid w:val="30BF8AAA"/>
    <w:rsid w:val="30CB47A0"/>
    <w:rsid w:val="30D964C1"/>
    <w:rsid w:val="30E904A8"/>
    <w:rsid w:val="30EE40CF"/>
    <w:rsid w:val="30F16284"/>
    <w:rsid w:val="30FCB5DC"/>
    <w:rsid w:val="310B972C"/>
    <w:rsid w:val="310D1EFC"/>
    <w:rsid w:val="31221B55"/>
    <w:rsid w:val="31274282"/>
    <w:rsid w:val="3127C2E2"/>
    <w:rsid w:val="3144C3F5"/>
    <w:rsid w:val="314A1B5A"/>
    <w:rsid w:val="314A2A42"/>
    <w:rsid w:val="3158A375"/>
    <w:rsid w:val="3159EEB8"/>
    <w:rsid w:val="3170BAC0"/>
    <w:rsid w:val="3176F31B"/>
    <w:rsid w:val="31770485"/>
    <w:rsid w:val="317725EC"/>
    <w:rsid w:val="3178D21F"/>
    <w:rsid w:val="319A1C7A"/>
    <w:rsid w:val="31A43E23"/>
    <w:rsid w:val="31ADC429"/>
    <w:rsid w:val="31B71275"/>
    <w:rsid w:val="31BA4238"/>
    <w:rsid w:val="31BD0E26"/>
    <w:rsid w:val="31BE8553"/>
    <w:rsid w:val="31BEFF43"/>
    <w:rsid w:val="31CC0184"/>
    <w:rsid w:val="31D08B83"/>
    <w:rsid w:val="31D2733A"/>
    <w:rsid w:val="31D61133"/>
    <w:rsid w:val="31D92E14"/>
    <w:rsid w:val="31E5B5C6"/>
    <w:rsid w:val="31E683A5"/>
    <w:rsid w:val="31EF3889"/>
    <w:rsid w:val="31F1B04B"/>
    <w:rsid w:val="31FA75CD"/>
    <w:rsid w:val="320C20DE"/>
    <w:rsid w:val="320C27E8"/>
    <w:rsid w:val="32131EDF"/>
    <w:rsid w:val="3222A962"/>
    <w:rsid w:val="322EFB76"/>
    <w:rsid w:val="3231DA8A"/>
    <w:rsid w:val="3232B74E"/>
    <w:rsid w:val="32399F5C"/>
    <w:rsid w:val="3252F689"/>
    <w:rsid w:val="325670F5"/>
    <w:rsid w:val="325A4699"/>
    <w:rsid w:val="325F5C5C"/>
    <w:rsid w:val="326D03F9"/>
    <w:rsid w:val="328500B9"/>
    <w:rsid w:val="32994C04"/>
    <w:rsid w:val="329A2539"/>
    <w:rsid w:val="32A7DDE1"/>
    <w:rsid w:val="32AD6DBB"/>
    <w:rsid w:val="32AEB763"/>
    <w:rsid w:val="32B92D1F"/>
    <w:rsid w:val="32C18332"/>
    <w:rsid w:val="32D07647"/>
    <w:rsid w:val="32DA05AB"/>
    <w:rsid w:val="32E27350"/>
    <w:rsid w:val="32E5B3C2"/>
    <w:rsid w:val="32E7DED1"/>
    <w:rsid w:val="32EC1D17"/>
    <w:rsid w:val="32EC4E88"/>
    <w:rsid w:val="32F70593"/>
    <w:rsid w:val="32F8505A"/>
    <w:rsid w:val="32FFE5AC"/>
    <w:rsid w:val="33011966"/>
    <w:rsid w:val="330C62E8"/>
    <w:rsid w:val="3314D145"/>
    <w:rsid w:val="331720D0"/>
    <w:rsid w:val="3318F682"/>
    <w:rsid w:val="331FD32A"/>
    <w:rsid w:val="3325D1F4"/>
    <w:rsid w:val="332AAAB1"/>
    <w:rsid w:val="332ADD82"/>
    <w:rsid w:val="333F2271"/>
    <w:rsid w:val="3342E153"/>
    <w:rsid w:val="334ACB80"/>
    <w:rsid w:val="334CE0E2"/>
    <w:rsid w:val="3354C911"/>
    <w:rsid w:val="3355440C"/>
    <w:rsid w:val="33687E34"/>
    <w:rsid w:val="336DAECE"/>
    <w:rsid w:val="336DDB7B"/>
    <w:rsid w:val="33711B69"/>
    <w:rsid w:val="33828044"/>
    <w:rsid w:val="338352C0"/>
    <w:rsid w:val="3389C61C"/>
    <w:rsid w:val="338A8932"/>
    <w:rsid w:val="3394A92B"/>
    <w:rsid w:val="339550FA"/>
    <w:rsid w:val="33A34A7B"/>
    <w:rsid w:val="33BCFF92"/>
    <w:rsid w:val="33C61709"/>
    <w:rsid w:val="33CC701F"/>
    <w:rsid w:val="33D2FCCC"/>
    <w:rsid w:val="33D9EEB5"/>
    <w:rsid w:val="33E3A495"/>
    <w:rsid w:val="33ECB342"/>
    <w:rsid w:val="33F66D18"/>
    <w:rsid w:val="33F90B92"/>
    <w:rsid w:val="33FF85ED"/>
    <w:rsid w:val="342A49E1"/>
    <w:rsid w:val="3441BFD3"/>
    <w:rsid w:val="34432D09"/>
    <w:rsid w:val="34515AA5"/>
    <w:rsid w:val="34580B7B"/>
    <w:rsid w:val="346DE8BA"/>
    <w:rsid w:val="34740C5F"/>
    <w:rsid w:val="3477E540"/>
    <w:rsid w:val="34786709"/>
    <w:rsid w:val="34843EF2"/>
    <w:rsid w:val="3484D21A"/>
    <w:rsid w:val="34892C76"/>
    <w:rsid w:val="348E1989"/>
    <w:rsid w:val="349A07F5"/>
    <w:rsid w:val="34A66180"/>
    <w:rsid w:val="34A79139"/>
    <w:rsid w:val="34AC6590"/>
    <w:rsid w:val="34B63518"/>
    <w:rsid w:val="34BE4E28"/>
    <w:rsid w:val="34C7C5F1"/>
    <w:rsid w:val="34D46198"/>
    <w:rsid w:val="34D8455E"/>
    <w:rsid w:val="34D91D5F"/>
    <w:rsid w:val="34E5A9F4"/>
    <w:rsid w:val="34EB586F"/>
    <w:rsid w:val="34F17FF0"/>
    <w:rsid w:val="34FA6D26"/>
    <w:rsid w:val="3504ED11"/>
    <w:rsid w:val="350C6512"/>
    <w:rsid w:val="350D1816"/>
    <w:rsid w:val="350DC8E8"/>
    <w:rsid w:val="35134687"/>
    <w:rsid w:val="3515045B"/>
    <w:rsid w:val="351980B9"/>
    <w:rsid w:val="351C7B02"/>
    <w:rsid w:val="3522A125"/>
    <w:rsid w:val="352CBA88"/>
    <w:rsid w:val="352F3619"/>
    <w:rsid w:val="3531FD6C"/>
    <w:rsid w:val="35472A49"/>
    <w:rsid w:val="354FD3E3"/>
    <w:rsid w:val="355635FF"/>
    <w:rsid w:val="35573798"/>
    <w:rsid w:val="355D74D8"/>
    <w:rsid w:val="355DAD29"/>
    <w:rsid w:val="35667F1A"/>
    <w:rsid w:val="356B1B72"/>
    <w:rsid w:val="356D1E0F"/>
    <w:rsid w:val="35729F1A"/>
    <w:rsid w:val="35744B17"/>
    <w:rsid w:val="3575AA54"/>
    <w:rsid w:val="3580DE03"/>
    <w:rsid w:val="3586E84D"/>
    <w:rsid w:val="358883A3"/>
    <w:rsid w:val="358D7D56"/>
    <w:rsid w:val="3592638F"/>
    <w:rsid w:val="359AFEF5"/>
    <w:rsid w:val="35B25536"/>
    <w:rsid w:val="35B59562"/>
    <w:rsid w:val="35B5D4A3"/>
    <w:rsid w:val="35CBB645"/>
    <w:rsid w:val="35D6D43F"/>
    <w:rsid w:val="35D9F12C"/>
    <w:rsid w:val="35D9FCBF"/>
    <w:rsid w:val="35E13E1B"/>
    <w:rsid w:val="35E2ED09"/>
    <w:rsid w:val="35EF0D0C"/>
    <w:rsid w:val="35EF52E5"/>
    <w:rsid w:val="35EFBF8A"/>
    <w:rsid w:val="361611A9"/>
    <w:rsid w:val="362470AE"/>
    <w:rsid w:val="3624BEA2"/>
    <w:rsid w:val="3634DA31"/>
    <w:rsid w:val="363F2AAB"/>
    <w:rsid w:val="3646E06A"/>
    <w:rsid w:val="364706EE"/>
    <w:rsid w:val="36490DB7"/>
    <w:rsid w:val="364AB632"/>
    <w:rsid w:val="3650E363"/>
    <w:rsid w:val="3652B009"/>
    <w:rsid w:val="3652F3D4"/>
    <w:rsid w:val="36532407"/>
    <w:rsid w:val="3655A423"/>
    <w:rsid w:val="3657F038"/>
    <w:rsid w:val="365BACEC"/>
    <w:rsid w:val="366DA108"/>
    <w:rsid w:val="367CDF12"/>
    <w:rsid w:val="3687450A"/>
    <w:rsid w:val="3690846B"/>
    <w:rsid w:val="36987003"/>
    <w:rsid w:val="36A0C8E5"/>
    <w:rsid w:val="36A3175C"/>
    <w:rsid w:val="36A79E8B"/>
    <w:rsid w:val="36ADF227"/>
    <w:rsid w:val="36C16DC9"/>
    <w:rsid w:val="36C5290E"/>
    <w:rsid w:val="36C6B039"/>
    <w:rsid w:val="36CAA1CA"/>
    <w:rsid w:val="36D16C8D"/>
    <w:rsid w:val="36E1E86C"/>
    <w:rsid w:val="36F22CD5"/>
    <w:rsid w:val="36F4741D"/>
    <w:rsid w:val="36F47715"/>
    <w:rsid w:val="36F6F865"/>
    <w:rsid w:val="370734E4"/>
    <w:rsid w:val="371064AA"/>
    <w:rsid w:val="371A1A06"/>
    <w:rsid w:val="3724C90D"/>
    <w:rsid w:val="373578E3"/>
    <w:rsid w:val="37360938"/>
    <w:rsid w:val="37412448"/>
    <w:rsid w:val="3742BAB8"/>
    <w:rsid w:val="3747D41B"/>
    <w:rsid w:val="3754AF38"/>
    <w:rsid w:val="376D846B"/>
    <w:rsid w:val="3771A4DB"/>
    <w:rsid w:val="377731B7"/>
    <w:rsid w:val="3778ADD4"/>
    <w:rsid w:val="377957A6"/>
    <w:rsid w:val="377F42AA"/>
    <w:rsid w:val="37833CDC"/>
    <w:rsid w:val="378E563A"/>
    <w:rsid w:val="3799A394"/>
    <w:rsid w:val="37A835F7"/>
    <w:rsid w:val="37ABDE79"/>
    <w:rsid w:val="37ABE4A9"/>
    <w:rsid w:val="37AE5F2A"/>
    <w:rsid w:val="37AED917"/>
    <w:rsid w:val="37B325DC"/>
    <w:rsid w:val="37C2CB1C"/>
    <w:rsid w:val="37C37AE3"/>
    <w:rsid w:val="37CB00AC"/>
    <w:rsid w:val="37D9D526"/>
    <w:rsid w:val="38207AF6"/>
    <w:rsid w:val="38234642"/>
    <w:rsid w:val="38236BF4"/>
    <w:rsid w:val="38295CEC"/>
    <w:rsid w:val="382CBE61"/>
    <w:rsid w:val="382CCAB8"/>
    <w:rsid w:val="383C207F"/>
    <w:rsid w:val="38434594"/>
    <w:rsid w:val="3849B914"/>
    <w:rsid w:val="3851C355"/>
    <w:rsid w:val="3855B53B"/>
    <w:rsid w:val="38616524"/>
    <w:rsid w:val="3867C790"/>
    <w:rsid w:val="3868C21D"/>
    <w:rsid w:val="38690BDF"/>
    <w:rsid w:val="386E9A8D"/>
    <w:rsid w:val="3873D57C"/>
    <w:rsid w:val="38820FF9"/>
    <w:rsid w:val="388220FC"/>
    <w:rsid w:val="3882B84F"/>
    <w:rsid w:val="38888091"/>
    <w:rsid w:val="38892FF1"/>
    <w:rsid w:val="388B75E9"/>
    <w:rsid w:val="38950275"/>
    <w:rsid w:val="38956B86"/>
    <w:rsid w:val="38988102"/>
    <w:rsid w:val="38994C6F"/>
    <w:rsid w:val="389E73B0"/>
    <w:rsid w:val="38A52BC7"/>
    <w:rsid w:val="38A8DEC5"/>
    <w:rsid w:val="38C0DBCD"/>
    <w:rsid w:val="38CF2BB0"/>
    <w:rsid w:val="38CF876C"/>
    <w:rsid w:val="38D788D6"/>
    <w:rsid w:val="38DA21F6"/>
    <w:rsid w:val="38E3DB6F"/>
    <w:rsid w:val="38EC4F28"/>
    <w:rsid w:val="38EE1D69"/>
    <w:rsid w:val="38FCC795"/>
    <w:rsid w:val="391136BF"/>
    <w:rsid w:val="391DC169"/>
    <w:rsid w:val="391E9354"/>
    <w:rsid w:val="392279D3"/>
    <w:rsid w:val="392FCE92"/>
    <w:rsid w:val="393347EE"/>
    <w:rsid w:val="3937D8C0"/>
    <w:rsid w:val="393DA3DD"/>
    <w:rsid w:val="3941A018"/>
    <w:rsid w:val="39466E1B"/>
    <w:rsid w:val="3953AB46"/>
    <w:rsid w:val="3965EAD3"/>
    <w:rsid w:val="3971400F"/>
    <w:rsid w:val="39737A78"/>
    <w:rsid w:val="39740E66"/>
    <w:rsid w:val="397A2DCF"/>
    <w:rsid w:val="397B8DB4"/>
    <w:rsid w:val="397D9DA5"/>
    <w:rsid w:val="3980AC8D"/>
    <w:rsid w:val="39852589"/>
    <w:rsid w:val="3985ED8D"/>
    <w:rsid w:val="3994E85C"/>
    <w:rsid w:val="399999C6"/>
    <w:rsid w:val="399A2720"/>
    <w:rsid w:val="399A3130"/>
    <w:rsid w:val="39B85AED"/>
    <w:rsid w:val="39BB06F2"/>
    <w:rsid w:val="39BC89C8"/>
    <w:rsid w:val="39BE37EA"/>
    <w:rsid w:val="39C12757"/>
    <w:rsid w:val="39C567A6"/>
    <w:rsid w:val="39C8B7B2"/>
    <w:rsid w:val="39C9B00E"/>
    <w:rsid w:val="39D9E8D6"/>
    <w:rsid w:val="39D9EC3D"/>
    <w:rsid w:val="39E38386"/>
    <w:rsid w:val="39E4996D"/>
    <w:rsid w:val="39E59190"/>
    <w:rsid w:val="39EA9104"/>
    <w:rsid w:val="39EFD624"/>
    <w:rsid w:val="39F89DCC"/>
    <w:rsid w:val="39FBF45D"/>
    <w:rsid w:val="3A0101AC"/>
    <w:rsid w:val="3A12807B"/>
    <w:rsid w:val="3A1561C3"/>
    <w:rsid w:val="3A1BBAB3"/>
    <w:rsid w:val="3A2FF0B1"/>
    <w:rsid w:val="3A36F4B7"/>
    <w:rsid w:val="3A3B3C08"/>
    <w:rsid w:val="3A3C4C72"/>
    <w:rsid w:val="3A4F9F67"/>
    <w:rsid w:val="3A52934C"/>
    <w:rsid w:val="3A5CC6E8"/>
    <w:rsid w:val="3A84AABD"/>
    <w:rsid w:val="3A8BE8C0"/>
    <w:rsid w:val="3A8EDE18"/>
    <w:rsid w:val="3A982016"/>
    <w:rsid w:val="3A98C168"/>
    <w:rsid w:val="3A997824"/>
    <w:rsid w:val="3A9D6100"/>
    <w:rsid w:val="3AA31F20"/>
    <w:rsid w:val="3AA3E22D"/>
    <w:rsid w:val="3AB995E7"/>
    <w:rsid w:val="3ACC2BDA"/>
    <w:rsid w:val="3AD0F4CF"/>
    <w:rsid w:val="3AE008E9"/>
    <w:rsid w:val="3AE109B0"/>
    <w:rsid w:val="3AE7A9DB"/>
    <w:rsid w:val="3AE8A64B"/>
    <w:rsid w:val="3B05E87F"/>
    <w:rsid w:val="3B235DE0"/>
    <w:rsid w:val="3B26C07B"/>
    <w:rsid w:val="3B2C560D"/>
    <w:rsid w:val="3B2E9143"/>
    <w:rsid w:val="3B3365B4"/>
    <w:rsid w:val="3B3AA5CD"/>
    <w:rsid w:val="3B442586"/>
    <w:rsid w:val="3B548C7C"/>
    <w:rsid w:val="3B5AAB60"/>
    <w:rsid w:val="3B5B1A6C"/>
    <w:rsid w:val="3B7B039A"/>
    <w:rsid w:val="3B7BE275"/>
    <w:rsid w:val="3B7ECF62"/>
    <w:rsid w:val="3B7FFF31"/>
    <w:rsid w:val="3B84A088"/>
    <w:rsid w:val="3B86D1AA"/>
    <w:rsid w:val="3B8841EE"/>
    <w:rsid w:val="3B892B39"/>
    <w:rsid w:val="3B901818"/>
    <w:rsid w:val="3B98E01B"/>
    <w:rsid w:val="3B9B09B7"/>
    <w:rsid w:val="3BA66B52"/>
    <w:rsid w:val="3BB53F70"/>
    <w:rsid w:val="3BB9425F"/>
    <w:rsid w:val="3BC41A67"/>
    <w:rsid w:val="3BC43353"/>
    <w:rsid w:val="3BCC168F"/>
    <w:rsid w:val="3BCD5C0E"/>
    <w:rsid w:val="3BCFC719"/>
    <w:rsid w:val="3BD578D2"/>
    <w:rsid w:val="3BDA7C03"/>
    <w:rsid w:val="3BE2B486"/>
    <w:rsid w:val="3BE78F8E"/>
    <w:rsid w:val="3BE7BD8F"/>
    <w:rsid w:val="3BE98F4E"/>
    <w:rsid w:val="3BEBF9C2"/>
    <w:rsid w:val="3BF41B10"/>
    <w:rsid w:val="3BF47046"/>
    <w:rsid w:val="3BF5A0DA"/>
    <w:rsid w:val="3BFCF23B"/>
    <w:rsid w:val="3C025793"/>
    <w:rsid w:val="3C0409EB"/>
    <w:rsid w:val="3C0426BB"/>
    <w:rsid w:val="3C125883"/>
    <w:rsid w:val="3C136094"/>
    <w:rsid w:val="3C1524F1"/>
    <w:rsid w:val="3C15A80D"/>
    <w:rsid w:val="3C252044"/>
    <w:rsid w:val="3C2D15FF"/>
    <w:rsid w:val="3C30FE1D"/>
    <w:rsid w:val="3C37377F"/>
    <w:rsid w:val="3C3A016F"/>
    <w:rsid w:val="3C4860D2"/>
    <w:rsid w:val="3C4C3544"/>
    <w:rsid w:val="3C4E3FB7"/>
    <w:rsid w:val="3C50BB8F"/>
    <w:rsid w:val="3C50C958"/>
    <w:rsid w:val="3C5BF8B1"/>
    <w:rsid w:val="3C5CE18A"/>
    <w:rsid w:val="3C63D6AE"/>
    <w:rsid w:val="3C6661B4"/>
    <w:rsid w:val="3C73D7DE"/>
    <w:rsid w:val="3C746AC5"/>
    <w:rsid w:val="3C7737E4"/>
    <w:rsid w:val="3C82CAEC"/>
    <w:rsid w:val="3C86D48C"/>
    <w:rsid w:val="3C8AB855"/>
    <w:rsid w:val="3C8DF7C9"/>
    <w:rsid w:val="3C906C6F"/>
    <w:rsid w:val="3C9B0911"/>
    <w:rsid w:val="3C9E941A"/>
    <w:rsid w:val="3CA0DF59"/>
    <w:rsid w:val="3CB96A66"/>
    <w:rsid w:val="3CBC2059"/>
    <w:rsid w:val="3CC715F6"/>
    <w:rsid w:val="3CC93C66"/>
    <w:rsid w:val="3CCD173B"/>
    <w:rsid w:val="3CCF1B23"/>
    <w:rsid w:val="3CDF3BF9"/>
    <w:rsid w:val="3CE20BE2"/>
    <w:rsid w:val="3CE4C505"/>
    <w:rsid w:val="3CE56232"/>
    <w:rsid w:val="3CE8763C"/>
    <w:rsid w:val="3CE96C67"/>
    <w:rsid w:val="3CEE57DA"/>
    <w:rsid w:val="3CF3DEE8"/>
    <w:rsid w:val="3D08E077"/>
    <w:rsid w:val="3D10A3A9"/>
    <w:rsid w:val="3D133094"/>
    <w:rsid w:val="3D143D74"/>
    <w:rsid w:val="3D154BFC"/>
    <w:rsid w:val="3D1E61C0"/>
    <w:rsid w:val="3D2D068C"/>
    <w:rsid w:val="3D32F219"/>
    <w:rsid w:val="3D359EAB"/>
    <w:rsid w:val="3D35F588"/>
    <w:rsid w:val="3D428305"/>
    <w:rsid w:val="3D48C077"/>
    <w:rsid w:val="3D50FD99"/>
    <w:rsid w:val="3D52C338"/>
    <w:rsid w:val="3D547428"/>
    <w:rsid w:val="3D54BE40"/>
    <w:rsid w:val="3D5B6F1B"/>
    <w:rsid w:val="3D62CF55"/>
    <w:rsid w:val="3D724552"/>
    <w:rsid w:val="3D7F6D80"/>
    <w:rsid w:val="3DA98CC5"/>
    <w:rsid w:val="3DAC2BCB"/>
    <w:rsid w:val="3DBFC82A"/>
    <w:rsid w:val="3DC28BC4"/>
    <w:rsid w:val="3DCB674C"/>
    <w:rsid w:val="3DE1BC45"/>
    <w:rsid w:val="3DF61E4A"/>
    <w:rsid w:val="3DFDC892"/>
    <w:rsid w:val="3E04A244"/>
    <w:rsid w:val="3E1251EA"/>
    <w:rsid w:val="3E23FE8F"/>
    <w:rsid w:val="3E31C631"/>
    <w:rsid w:val="3E464DC0"/>
    <w:rsid w:val="3E4C627A"/>
    <w:rsid w:val="3E4D3B56"/>
    <w:rsid w:val="3E51AD2B"/>
    <w:rsid w:val="3E559FC0"/>
    <w:rsid w:val="3E5D5BE7"/>
    <w:rsid w:val="3E5F3DF2"/>
    <w:rsid w:val="3E621321"/>
    <w:rsid w:val="3E6AFB92"/>
    <w:rsid w:val="3E7494A5"/>
    <w:rsid w:val="3E830F98"/>
    <w:rsid w:val="3E9B628C"/>
    <w:rsid w:val="3EA54D0F"/>
    <w:rsid w:val="3EBE28EA"/>
    <w:rsid w:val="3EC3B4F3"/>
    <w:rsid w:val="3ECB730D"/>
    <w:rsid w:val="3ED77776"/>
    <w:rsid w:val="3EDB6F8B"/>
    <w:rsid w:val="3EE04DE8"/>
    <w:rsid w:val="3EED2282"/>
    <w:rsid w:val="3EED7A60"/>
    <w:rsid w:val="3EEF5D67"/>
    <w:rsid w:val="3EF9F6CD"/>
    <w:rsid w:val="3EFB1F0E"/>
    <w:rsid w:val="3EFCC4F8"/>
    <w:rsid w:val="3EFDBD66"/>
    <w:rsid w:val="3F037AB1"/>
    <w:rsid w:val="3F045EB9"/>
    <w:rsid w:val="3F0DA4CF"/>
    <w:rsid w:val="3F16A549"/>
    <w:rsid w:val="3F199195"/>
    <w:rsid w:val="3F248F99"/>
    <w:rsid w:val="3F25A522"/>
    <w:rsid w:val="3F28340F"/>
    <w:rsid w:val="3F2EF7FF"/>
    <w:rsid w:val="3F340C91"/>
    <w:rsid w:val="3F366AA8"/>
    <w:rsid w:val="3F3BCBC0"/>
    <w:rsid w:val="3F3F4545"/>
    <w:rsid w:val="3F420681"/>
    <w:rsid w:val="3F448F75"/>
    <w:rsid w:val="3F48645B"/>
    <w:rsid w:val="3F539825"/>
    <w:rsid w:val="3F5FB479"/>
    <w:rsid w:val="3F60A5A3"/>
    <w:rsid w:val="3F63A52C"/>
    <w:rsid w:val="3F6408C2"/>
    <w:rsid w:val="3F66C3E6"/>
    <w:rsid w:val="3F7942F3"/>
    <w:rsid w:val="3F7FB927"/>
    <w:rsid w:val="3F90C08C"/>
    <w:rsid w:val="3F9928D8"/>
    <w:rsid w:val="3FB2EAE6"/>
    <w:rsid w:val="3FC0E0E8"/>
    <w:rsid w:val="3FC1C7D6"/>
    <w:rsid w:val="3FC862CD"/>
    <w:rsid w:val="3FCE8849"/>
    <w:rsid w:val="3FD7DB1E"/>
    <w:rsid w:val="3FD8EEBF"/>
    <w:rsid w:val="3FDB3EB0"/>
    <w:rsid w:val="3FDF9890"/>
    <w:rsid w:val="3FE145C9"/>
    <w:rsid w:val="3FE854F1"/>
    <w:rsid w:val="3FE98A0B"/>
    <w:rsid w:val="3FF00102"/>
    <w:rsid w:val="3FFE315C"/>
    <w:rsid w:val="4002B008"/>
    <w:rsid w:val="4005C098"/>
    <w:rsid w:val="40130AE4"/>
    <w:rsid w:val="4015D592"/>
    <w:rsid w:val="401E9B21"/>
    <w:rsid w:val="40277432"/>
    <w:rsid w:val="403AF1DF"/>
    <w:rsid w:val="4047617E"/>
    <w:rsid w:val="405329A9"/>
    <w:rsid w:val="40545460"/>
    <w:rsid w:val="40658CEF"/>
    <w:rsid w:val="40703D95"/>
    <w:rsid w:val="40721323"/>
    <w:rsid w:val="407B1E75"/>
    <w:rsid w:val="407E29BA"/>
    <w:rsid w:val="407ECBCA"/>
    <w:rsid w:val="4089FF53"/>
    <w:rsid w:val="4097C1E8"/>
    <w:rsid w:val="40993DD9"/>
    <w:rsid w:val="409F8200"/>
    <w:rsid w:val="40A9B128"/>
    <w:rsid w:val="40B408FD"/>
    <w:rsid w:val="40BB81A1"/>
    <w:rsid w:val="40C2BAC6"/>
    <w:rsid w:val="40C4B738"/>
    <w:rsid w:val="40CCD626"/>
    <w:rsid w:val="40E7D6AF"/>
    <w:rsid w:val="40E8A5F2"/>
    <w:rsid w:val="40EB326D"/>
    <w:rsid w:val="40EB82BB"/>
    <w:rsid w:val="40EC214E"/>
    <w:rsid w:val="40F768EC"/>
    <w:rsid w:val="410071C5"/>
    <w:rsid w:val="41017982"/>
    <w:rsid w:val="41109508"/>
    <w:rsid w:val="41136A92"/>
    <w:rsid w:val="411D7731"/>
    <w:rsid w:val="411F7DC1"/>
    <w:rsid w:val="4126DA29"/>
    <w:rsid w:val="412B7329"/>
    <w:rsid w:val="413A72D8"/>
    <w:rsid w:val="413C4136"/>
    <w:rsid w:val="413D235B"/>
    <w:rsid w:val="41405404"/>
    <w:rsid w:val="4158A353"/>
    <w:rsid w:val="41627BC1"/>
    <w:rsid w:val="4169E4AB"/>
    <w:rsid w:val="416A9359"/>
    <w:rsid w:val="416F0340"/>
    <w:rsid w:val="417409AC"/>
    <w:rsid w:val="41750CD3"/>
    <w:rsid w:val="4183C02F"/>
    <w:rsid w:val="418D36B5"/>
    <w:rsid w:val="418FD1B3"/>
    <w:rsid w:val="419A4B4B"/>
    <w:rsid w:val="419DCCF8"/>
    <w:rsid w:val="41A67CAB"/>
    <w:rsid w:val="41A74D00"/>
    <w:rsid w:val="41A8B688"/>
    <w:rsid w:val="41B1314F"/>
    <w:rsid w:val="41B803E8"/>
    <w:rsid w:val="41BB1DE3"/>
    <w:rsid w:val="41C4EE12"/>
    <w:rsid w:val="41D6B0BA"/>
    <w:rsid w:val="41D96E7A"/>
    <w:rsid w:val="41D99E9D"/>
    <w:rsid w:val="41E414CC"/>
    <w:rsid w:val="41EDAE99"/>
    <w:rsid w:val="41EE004B"/>
    <w:rsid w:val="41F47BFB"/>
    <w:rsid w:val="41FEF17E"/>
    <w:rsid w:val="4220B7A7"/>
    <w:rsid w:val="4221932D"/>
    <w:rsid w:val="42333748"/>
    <w:rsid w:val="423DA1B1"/>
    <w:rsid w:val="424AAB24"/>
    <w:rsid w:val="424F6FDE"/>
    <w:rsid w:val="4253F954"/>
    <w:rsid w:val="42569F45"/>
    <w:rsid w:val="42588EC0"/>
    <w:rsid w:val="42590CCD"/>
    <w:rsid w:val="426844CD"/>
    <w:rsid w:val="426DE640"/>
    <w:rsid w:val="4285EEF2"/>
    <w:rsid w:val="42880629"/>
    <w:rsid w:val="4290C692"/>
    <w:rsid w:val="4293394D"/>
    <w:rsid w:val="42943E97"/>
    <w:rsid w:val="42959F68"/>
    <w:rsid w:val="429B3B9A"/>
    <w:rsid w:val="42B1117F"/>
    <w:rsid w:val="42BAB5A5"/>
    <w:rsid w:val="42C05A4B"/>
    <w:rsid w:val="42C11CC9"/>
    <w:rsid w:val="42D7014C"/>
    <w:rsid w:val="42DBF554"/>
    <w:rsid w:val="42DD83C7"/>
    <w:rsid w:val="42E71C35"/>
    <w:rsid w:val="42E9FCC8"/>
    <w:rsid w:val="42EB480D"/>
    <w:rsid w:val="42F93DC7"/>
    <w:rsid w:val="4302458B"/>
    <w:rsid w:val="43027F5C"/>
    <w:rsid w:val="4302EF15"/>
    <w:rsid w:val="4309AE55"/>
    <w:rsid w:val="43234E7D"/>
    <w:rsid w:val="4328CD53"/>
    <w:rsid w:val="432ECEE9"/>
    <w:rsid w:val="43328A8A"/>
    <w:rsid w:val="434165F3"/>
    <w:rsid w:val="434824CC"/>
    <w:rsid w:val="434E2CE6"/>
    <w:rsid w:val="43627502"/>
    <w:rsid w:val="436A0E9A"/>
    <w:rsid w:val="43866FDF"/>
    <w:rsid w:val="4398FB52"/>
    <w:rsid w:val="4399D24E"/>
    <w:rsid w:val="43A0D1A0"/>
    <w:rsid w:val="43A0D27D"/>
    <w:rsid w:val="43AF3970"/>
    <w:rsid w:val="43B6C993"/>
    <w:rsid w:val="43C1089D"/>
    <w:rsid w:val="43C17599"/>
    <w:rsid w:val="43C9E19A"/>
    <w:rsid w:val="43CF2D62"/>
    <w:rsid w:val="43DBE52D"/>
    <w:rsid w:val="43F83C4D"/>
    <w:rsid w:val="43FA332C"/>
    <w:rsid w:val="43FE7EE1"/>
    <w:rsid w:val="44025C61"/>
    <w:rsid w:val="4409C3B1"/>
    <w:rsid w:val="44170960"/>
    <w:rsid w:val="44205038"/>
    <w:rsid w:val="442A0966"/>
    <w:rsid w:val="442CFF1C"/>
    <w:rsid w:val="44366A4B"/>
    <w:rsid w:val="443EEE11"/>
    <w:rsid w:val="4445E055"/>
    <w:rsid w:val="44478C95"/>
    <w:rsid w:val="4456302E"/>
    <w:rsid w:val="4457269F"/>
    <w:rsid w:val="445840A4"/>
    <w:rsid w:val="44632D19"/>
    <w:rsid w:val="44666851"/>
    <w:rsid w:val="446910BB"/>
    <w:rsid w:val="447298AA"/>
    <w:rsid w:val="447C48E8"/>
    <w:rsid w:val="448078C9"/>
    <w:rsid w:val="4481D0CA"/>
    <w:rsid w:val="44835AB8"/>
    <w:rsid w:val="44852D1B"/>
    <w:rsid w:val="449377F1"/>
    <w:rsid w:val="449442D3"/>
    <w:rsid w:val="449BF3A5"/>
    <w:rsid w:val="44A3D31A"/>
    <w:rsid w:val="44A7ED98"/>
    <w:rsid w:val="44AAF89F"/>
    <w:rsid w:val="44AE9C6C"/>
    <w:rsid w:val="44AF077D"/>
    <w:rsid w:val="44B4FBC4"/>
    <w:rsid w:val="44B637B7"/>
    <w:rsid w:val="44BAB10C"/>
    <w:rsid w:val="44C07923"/>
    <w:rsid w:val="44CABA0C"/>
    <w:rsid w:val="44CD3056"/>
    <w:rsid w:val="44D1BA47"/>
    <w:rsid w:val="44DD71A2"/>
    <w:rsid w:val="44E1B449"/>
    <w:rsid w:val="44EB25B3"/>
    <w:rsid w:val="44FDD094"/>
    <w:rsid w:val="450F8F85"/>
    <w:rsid w:val="45149B65"/>
    <w:rsid w:val="452045E2"/>
    <w:rsid w:val="45242018"/>
    <w:rsid w:val="453098AB"/>
    <w:rsid w:val="45366C2A"/>
    <w:rsid w:val="4538CA3F"/>
    <w:rsid w:val="4538F56F"/>
    <w:rsid w:val="45394C69"/>
    <w:rsid w:val="45395CAA"/>
    <w:rsid w:val="453C4497"/>
    <w:rsid w:val="453D418B"/>
    <w:rsid w:val="4543FA52"/>
    <w:rsid w:val="4548DBE4"/>
    <w:rsid w:val="45496F27"/>
    <w:rsid w:val="454D11EE"/>
    <w:rsid w:val="454E3495"/>
    <w:rsid w:val="455343BB"/>
    <w:rsid w:val="4559ABAB"/>
    <w:rsid w:val="455CCEB3"/>
    <w:rsid w:val="45666361"/>
    <w:rsid w:val="456E2870"/>
    <w:rsid w:val="4580953F"/>
    <w:rsid w:val="458100FA"/>
    <w:rsid w:val="459568D1"/>
    <w:rsid w:val="459BD779"/>
    <w:rsid w:val="45A449A9"/>
    <w:rsid w:val="45A5038A"/>
    <w:rsid w:val="45B38E41"/>
    <w:rsid w:val="45B44E71"/>
    <w:rsid w:val="45BA19C4"/>
    <w:rsid w:val="45C25D26"/>
    <w:rsid w:val="45C9839B"/>
    <w:rsid w:val="45D04BEE"/>
    <w:rsid w:val="45D094A0"/>
    <w:rsid w:val="45D3568C"/>
    <w:rsid w:val="45D5FA7C"/>
    <w:rsid w:val="45D6A721"/>
    <w:rsid w:val="45DD9D3D"/>
    <w:rsid w:val="45E56129"/>
    <w:rsid w:val="45EF7FB2"/>
    <w:rsid w:val="46059953"/>
    <w:rsid w:val="46073F34"/>
    <w:rsid w:val="460B8532"/>
    <w:rsid w:val="460D0679"/>
    <w:rsid w:val="460D1EF7"/>
    <w:rsid w:val="46106ABB"/>
    <w:rsid w:val="46142905"/>
    <w:rsid w:val="4618C32E"/>
    <w:rsid w:val="461A7C4D"/>
    <w:rsid w:val="461EB2BC"/>
    <w:rsid w:val="4623A131"/>
    <w:rsid w:val="462CB9E7"/>
    <w:rsid w:val="4633784E"/>
    <w:rsid w:val="4633F833"/>
    <w:rsid w:val="4634F6C9"/>
    <w:rsid w:val="46384B67"/>
    <w:rsid w:val="463B27F5"/>
    <w:rsid w:val="4646141A"/>
    <w:rsid w:val="466AA5C6"/>
    <w:rsid w:val="466B1E10"/>
    <w:rsid w:val="466BB67A"/>
    <w:rsid w:val="467120DA"/>
    <w:rsid w:val="467F501F"/>
    <w:rsid w:val="4682B1AD"/>
    <w:rsid w:val="4683EDF7"/>
    <w:rsid w:val="468F07E4"/>
    <w:rsid w:val="46900E9B"/>
    <w:rsid w:val="4692B5B6"/>
    <w:rsid w:val="46ABB6D0"/>
    <w:rsid w:val="46BD0316"/>
    <w:rsid w:val="46BE479B"/>
    <w:rsid w:val="46D13C33"/>
    <w:rsid w:val="46D36311"/>
    <w:rsid w:val="46DDDCAF"/>
    <w:rsid w:val="46E90DC5"/>
    <w:rsid w:val="46F6F79C"/>
    <w:rsid w:val="46FBDD58"/>
    <w:rsid w:val="4704E699"/>
    <w:rsid w:val="4706E932"/>
    <w:rsid w:val="4709E5E8"/>
    <w:rsid w:val="470B88D3"/>
    <w:rsid w:val="470D9A46"/>
    <w:rsid w:val="470F3544"/>
    <w:rsid w:val="47191577"/>
    <w:rsid w:val="47198AF9"/>
    <w:rsid w:val="471ED40E"/>
    <w:rsid w:val="472163C4"/>
    <w:rsid w:val="472915B9"/>
    <w:rsid w:val="47293CF7"/>
    <w:rsid w:val="472F017B"/>
    <w:rsid w:val="473C5F77"/>
    <w:rsid w:val="4749967F"/>
    <w:rsid w:val="475B76C0"/>
    <w:rsid w:val="47617F08"/>
    <w:rsid w:val="4762E1E9"/>
    <w:rsid w:val="4766AA70"/>
    <w:rsid w:val="4767F472"/>
    <w:rsid w:val="4771B829"/>
    <w:rsid w:val="4777214A"/>
    <w:rsid w:val="4777A817"/>
    <w:rsid w:val="477B902F"/>
    <w:rsid w:val="47912623"/>
    <w:rsid w:val="47950EDE"/>
    <w:rsid w:val="4796F2DD"/>
    <w:rsid w:val="4797A74E"/>
    <w:rsid w:val="47986F49"/>
    <w:rsid w:val="479A8846"/>
    <w:rsid w:val="479C28AE"/>
    <w:rsid w:val="479E01F1"/>
    <w:rsid w:val="47A478C1"/>
    <w:rsid w:val="47AB48E2"/>
    <w:rsid w:val="47BCB58F"/>
    <w:rsid w:val="47BF7816"/>
    <w:rsid w:val="47C35FBF"/>
    <w:rsid w:val="47C40B9D"/>
    <w:rsid w:val="47CA0AE2"/>
    <w:rsid w:val="47CAD0CD"/>
    <w:rsid w:val="47D5BF6E"/>
    <w:rsid w:val="47DBDCD1"/>
    <w:rsid w:val="47E44940"/>
    <w:rsid w:val="47E55C16"/>
    <w:rsid w:val="47F8872C"/>
    <w:rsid w:val="480233A8"/>
    <w:rsid w:val="48038B1C"/>
    <w:rsid w:val="4803A5C4"/>
    <w:rsid w:val="4803E204"/>
    <w:rsid w:val="48057CDC"/>
    <w:rsid w:val="48095B09"/>
    <w:rsid w:val="480A9A5F"/>
    <w:rsid w:val="48101A24"/>
    <w:rsid w:val="4817B845"/>
    <w:rsid w:val="481FB0DF"/>
    <w:rsid w:val="48225DEF"/>
    <w:rsid w:val="4827E2ED"/>
    <w:rsid w:val="4828D7ED"/>
    <w:rsid w:val="48292194"/>
    <w:rsid w:val="483081EB"/>
    <w:rsid w:val="483E48C9"/>
    <w:rsid w:val="484C640C"/>
    <w:rsid w:val="4850588D"/>
    <w:rsid w:val="48531126"/>
    <w:rsid w:val="485AAC56"/>
    <w:rsid w:val="486F7D51"/>
    <w:rsid w:val="48734F41"/>
    <w:rsid w:val="487F6615"/>
    <w:rsid w:val="488D4918"/>
    <w:rsid w:val="488E0B94"/>
    <w:rsid w:val="488EE8E2"/>
    <w:rsid w:val="48931CE5"/>
    <w:rsid w:val="489647DC"/>
    <w:rsid w:val="48A6C810"/>
    <w:rsid w:val="48AC569E"/>
    <w:rsid w:val="48ACB15F"/>
    <w:rsid w:val="48AEAC36"/>
    <w:rsid w:val="48AF5911"/>
    <w:rsid w:val="48B1CADD"/>
    <w:rsid w:val="48B85AA3"/>
    <w:rsid w:val="48C9F995"/>
    <w:rsid w:val="48CD5AB6"/>
    <w:rsid w:val="48D82F0B"/>
    <w:rsid w:val="48D90B8B"/>
    <w:rsid w:val="48D915EF"/>
    <w:rsid w:val="48EF71AC"/>
    <w:rsid w:val="48F5E059"/>
    <w:rsid w:val="48FBB6D5"/>
    <w:rsid w:val="48FE30DD"/>
    <w:rsid w:val="490B81D0"/>
    <w:rsid w:val="491131E1"/>
    <w:rsid w:val="491BFFA1"/>
    <w:rsid w:val="491EF78E"/>
    <w:rsid w:val="4920E6B7"/>
    <w:rsid w:val="49222511"/>
    <w:rsid w:val="492858C3"/>
    <w:rsid w:val="493B0075"/>
    <w:rsid w:val="493C17D8"/>
    <w:rsid w:val="493DA1E1"/>
    <w:rsid w:val="49437863"/>
    <w:rsid w:val="494603B0"/>
    <w:rsid w:val="49542DA8"/>
    <w:rsid w:val="4959659B"/>
    <w:rsid w:val="495A6B43"/>
    <w:rsid w:val="49750C2E"/>
    <w:rsid w:val="497B39AF"/>
    <w:rsid w:val="497D26AD"/>
    <w:rsid w:val="498E19CB"/>
    <w:rsid w:val="499578B5"/>
    <w:rsid w:val="49998E42"/>
    <w:rsid w:val="49A0815F"/>
    <w:rsid w:val="49AA146B"/>
    <w:rsid w:val="49AC97F3"/>
    <w:rsid w:val="49B0382A"/>
    <w:rsid w:val="49B4E96C"/>
    <w:rsid w:val="49BA82AA"/>
    <w:rsid w:val="49CD2540"/>
    <w:rsid w:val="49D4F76D"/>
    <w:rsid w:val="49DA3D15"/>
    <w:rsid w:val="49DB8CEE"/>
    <w:rsid w:val="49EB64B6"/>
    <w:rsid w:val="49FA5C32"/>
    <w:rsid w:val="4A09E3C5"/>
    <w:rsid w:val="4A12F8B1"/>
    <w:rsid w:val="4A13C19A"/>
    <w:rsid w:val="4A1A366B"/>
    <w:rsid w:val="4A488159"/>
    <w:rsid w:val="4A4A10E8"/>
    <w:rsid w:val="4A4E9C82"/>
    <w:rsid w:val="4A53A7B1"/>
    <w:rsid w:val="4A5A35E4"/>
    <w:rsid w:val="4A5C197C"/>
    <w:rsid w:val="4A605A94"/>
    <w:rsid w:val="4A660E2F"/>
    <w:rsid w:val="4A6B8CCB"/>
    <w:rsid w:val="4A6FEC93"/>
    <w:rsid w:val="4A74522B"/>
    <w:rsid w:val="4A77FD2D"/>
    <w:rsid w:val="4A780460"/>
    <w:rsid w:val="4A7952C7"/>
    <w:rsid w:val="4A800323"/>
    <w:rsid w:val="4A82A7EA"/>
    <w:rsid w:val="4AA97BD3"/>
    <w:rsid w:val="4AAC6910"/>
    <w:rsid w:val="4AB16361"/>
    <w:rsid w:val="4AB3D639"/>
    <w:rsid w:val="4AC20070"/>
    <w:rsid w:val="4AC77237"/>
    <w:rsid w:val="4ACA688A"/>
    <w:rsid w:val="4AD36BBD"/>
    <w:rsid w:val="4AD5118C"/>
    <w:rsid w:val="4ADD5601"/>
    <w:rsid w:val="4ADDEFFD"/>
    <w:rsid w:val="4AE01244"/>
    <w:rsid w:val="4AE703BC"/>
    <w:rsid w:val="4AF1C1C0"/>
    <w:rsid w:val="4AFFC796"/>
    <w:rsid w:val="4B013A2D"/>
    <w:rsid w:val="4B0E3F7F"/>
    <w:rsid w:val="4B0FD0FB"/>
    <w:rsid w:val="4B1681C4"/>
    <w:rsid w:val="4B1C29CF"/>
    <w:rsid w:val="4B2B48E2"/>
    <w:rsid w:val="4B377C40"/>
    <w:rsid w:val="4B3EA216"/>
    <w:rsid w:val="4B4555B4"/>
    <w:rsid w:val="4B4F3A5E"/>
    <w:rsid w:val="4B5C3E8C"/>
    <w:rsid w:val="4B6F30B9"/>
    <w:rsid w:val="4B6FE8FF"/>
    <w:rsid w:val="4B89F715"/>
    <w:rsid w:val="4B8A3292"/>
    <w:rsid w:val="4B8E457E"/>
    <w:rsid w:val="4B929AA1"/>
    <w:rsid w:val="4B975FE4"/>
    <w:rsid w:val="4B9CF6C7"/>
    <w:rsid w:val="4BB42C1F"/>
    <w:rsid w:val="4BB8CFD3"/>
    <w:rsid w:val="4BBA2086"/>
    <w:rsid w:val="4BC9A4C4"/>
    <w:rsid w:val="4BCB7BE4"/>
    <w:rsid w:val="4BE3BAA9"/>
    <w:rsid w:val="4BEADAE3"/>
    <w:rsid w:val="4BEAFC4C"/>
    <w:rsid w:val="4BF2896C"/>
    <w:rsid w:val="4BFAF345"/>
    <w:rsid w:val="4C07FBC8"/>
    <w:rsid w:val="4C10BDF0"/>
    <w:rsid w:val="4C1162EA"/>
    <w:rsid w:val="4C202C9A"/>
    <w:rsid w:val="4C20F9C9"/>
    <w:rsid w:val="4C36114C"/>
    <w:rsid w:val="4C3B796D"/>
    <w:rsid w:val="4C3D0BB8"/>
    <w:rsid w:val="4C3E7463"/>
    <w:rsid w:val="4C427567"/>
    <w:rsid w:val="4C574EFB"/>
    <w:rsid w:val="4C5E6C93"/>
    <w:rsid w:val="4C60A412"/>
    <w:rsid w:val="4C6D17FA"/>
    <w:rsid w:val="4C70E657"/>
    <w:rsid w:val="4C71054A"/>
    <w:rsid w:val="4C776510"/>
    <w:rsid w:val="4C7CAA0D"/>
    <w:rsid w:val="4C8013F3"/>
    <w:rsid w:val="4C9477F4"/>
    <w:rsid w:val="4C9A1D35"/>
    <w:rsid w:val="4CA05D08"/>
    <w:rsid w:val="4CA9DEFC"/>
    <w:rsid w:val="4CB7F0B8"/>
    <w:rsid w:val="4CC4B7AB"/>
    <w:rsid w:val="4CD5D2BE"/>
    <w:rsid w:val="4CD5F70F"/>
    <w:rsid w:val="4CD8E6D5"/>
    <w:rsid w:val="4CDBA5F2"/>
    <w:rsid w:val="4CE6B910"/>
    <w:rsid w:val="4CEB76BD"/>
    <w:rsid w:val="4CF5E21A"/>
    <w:rsid w:val="4D13AB3A"/>
    <w:rsid w:val="4D2B78C0"/>
    <w:rsid w:val="4D3B4C68"/>
    <w:rsid w:val="4D3F1320"/>
    <w:rsid w:val="4D40BE32"/>
    <w:rsid w:val="4D53D634"/>
    <w:rsid w:val="4D551C69"/>
    <w:rsid w:val="4D58440F"/>
    <w:rsid w:val="4D602EBC"/>
    <w:rsid w:val="4D663954"/>
    <w:rsid w:val="4D681837"/>
    <w:rsid w:val="4D7D01F9"/>
    <w:rsid w:val="4D7D125C"/>
    <w:rsid w:val="4D7FFACF"/>
    <w:rsid w:val="4D823A73"/>
    <w:rsid w:val="4D8A85CF"/>
    <w:rsid w:val="4D8C1CCE"/>
    <w:rsid w:val="4D8EF2C6"/>
    <w:rsid w:val="4D9E1BC1"/>
    <w:rsid w:val="4DA512E0"/>
    <w:rsid w:val="4DA5B0B7"/>
    <w:rsid w:val="4DB4AF88"/>
    <w:rsid w:val="4DBB8DBC"/>
    <w:rsid w:val="4DC0F756"/>
    <w:rsid w:val="4DC5FF46"/>
    <w:rsid w:val="4DC8654D"/>
    <w:rsid w:val="4DCD38CD"/>
    <w:rsid w:val="4DD35458"/>
    <w:rsid w:val="4DD6D522"/>
    <w:rsid w:val="4DD9B780"/>
    <w:rsid w:val="4DDD745B"/>
    <w:rsid w:val="4DE67D84"/>
    <w:rsid w:val="4DE9B25E"/>
    <w:rsid w:val="4DEC9EB1"/>
    <w:rsid w:val="4DF27082"/>
    <w:rsid w:val="4E0143EA"/>
    <w:rsid w:val="4E128D2B"/>
    <w:rsid w:val="4E135F9E"/>
    <w:rsid w:val="4E186817"/>
    <w:rsid w:val="4E21CBB2"/>
    <w:rsid w:val="4E4548C9"/>
    <w:rsid w:val="4E56B6C9"/>
    <w:rsid w:val="4E6123C8"/>
    <w:rsid w:val="4E653E63"/>
    <w:rsid w:val="4E77335C"/>
    <w:rsid w:val="4E7CAA36"/>
    <w:rsid w:val="4E7D858E"/>
    <w:rsid w:val="4E8AD773"/>
    <w:rsid w:val="4E922FA7"/>
    <w:rsid w:val="4E9533D3"/>
    <w:rsid w:val="4EB7DF59"/>
    <w:rsid w:val="4EC0F02D"/>
    <w:rsid w:val="4EC91861"/>
    <w:rsid w:val="4EE568A3"/>
    <w:rsid w:val="4EE5BD1E"/>
    <w:rsid w:val="4EF2378E"/>
    <w:rsid w:val="4EF25735"/>
    <w:rsid w:val="4EF34CC9"/>
    <w:rsid w:val="4EF97ABA"/>
    <w:rsid w:val="4F09E090"/>
    <w:rsid w:val="4F153173"/>
    <w:rsid w:val="4F1CCE74"/>
    <w:rsid w:val="4F1F4D81"/>
    <w:rsid w:val="4F236F27"/>
    <w:rsid w:val="4F3E83A2"/>
    <w:rsid w:val="4F4FF617"/>
    <w:rsid w:val="4F5CE174"/>
    <w:rsid w:val="4F63EC29"/>
    <w:rsid w:val="4F647DC1"/>
    <w:rsid w:val="4F6CD8C1"/>
    <w:rsid w:val="4F76FF34"/>
    <w:rsid w:val="4F7944BC"/>
    <w:rsid w:val="4F798E9D"/>
    <w:rsid w:val="4F7A65F6"/>
    <w:rsid w:val="4F7B6468"/>
    <w:rsid w:val="4F7D7F43"/>
    <w:rsid w:val="4F92475D"/>
    <w:rsid w:val="4F92E7FF"/>
    <w:rsid w:val="4F9B08FF"/>
    <w:rsid w:val="4F9D326A"/>
    <w:rsid w:val="4F9DD7D5"/>
    <w:rsid w:val="4FA234F2"/>
    <w:rsid w:val="4FA4A4C1"/>
    <w:rsid w:val="4FB14F84"/>
    <w:rsid w:val="4FB959BC"/>
    <w:rsid w:val="4FC22F51"/>
    <w:rsid w:val="4FC3CEFC"/>
    <w:rsid w:val="4FC5F55F"/>
    <w:rsid w:val="4FCE04A7"/>
    <w:rsid w:val="4FD6A6B8"/>
    <w:rsid w:val="4FF2EABF"/>
    <w:rsid w:val="4FF56EA9"/>
    <w:rsid w:val="4FFBD89F"/>
    <w:rsid w:val="5019242D"/>
    <w:rsid w:val="5049AD11"/>
    <w:rsid w:val="50508485"/>
    <w:rsid w:val="50564101"/>
    <w:rsid w:val="50578089"/>
    <w:rsid w:val="505AD20A"/>
    <w:rsid w:val="5068A928"/>
    <w:rsid w:val="50714B8E"/>
    <w:rsid w:val="5072A1C2"/>
    <w:rsid w:val="50741C6B"/>
    <w:rsid w:val="5083335B"/>
    <w:rsid w:val="50853EC5"/>
    <w:rsid w:val="50ABC48A"/>
    <w:rsid w:val="50AD6D46"/>
    <w:rsid w:val="50AFF797"/>
    <w:rsid w:val="50CE6543"/>
    <w:rsid w:val="50D1D183"/>
    <w:rsid w:val="50D48D04"/>
    <w:rsid w:val="50D60A55"/>
    <w:rsid w:val="50D97A4C"/>
    <w:rsid w:val="50EEBF7B"/>
    <w:rsid w:val="50F40524"/>
    <w:rsid w:val="50F5E6FC"/>
    <w:rsid w:val="50F951EF"/>
    <w:rsid w:val="50FCFE41"/>
    <w:rsid w:val="50FE7E9C"/>
    <w:rsid w:val="5105446A"/>
    <w:rsid w:val="5119135B"/>
    <w:rsid w:val="5129EC10"/>
    <w:rsid w:val="512DE620"/>
    <w:rsid w:val="512E0CD8"/>
    <w:rsid w:val="514187FC"/>
    <w:rsid w:val="514C20DB"/>
    <w:rsid w:val="5151D13C"/>
    <w:rsid w:val="51542DFE"/>
    <w:rsid w:val="51598AD3"/>
    <w:rsid w:val="515B3A94"/>
    <w:rsid w:val="516511B0"/>
    <w:rsid w:val="5165D3C4"/>
    <w:rsid w:val="516A170E"/>
    <w:rsid w:val="517DFAC0"/>
    <w:rsid w:val="51847408"/>
    <w:rsid w:val="51A6591D"/>
    <w:rsid w:val="51A8E76E"/>
    <w:rsid w:val="51B9FD19"/>
    <w:rsid w:val="51C2D7BA"/>
    <w:rsid w:val="51C4D9F1"/>
    <w:rsid w:val="51CB67C3"/>
    <w:rsid w:val="51EF800C"/>
    <w:rsid w:val="51F7F977"/>
    <w:rsid w:val="51FE8FD4"/>
    <w:rsid w:val="520ABA00"/>
    <w:rsid w:val="520B0E78"/>
    <w:rsid w:val="520FF274"/>
    <w:rsid w:val="5212639F"/>
    <w:rsid w:val="521575E0"/>
    <w:rsid w:val="52179EC9"/>
    <w:rsid w:val="522689DB"/>
    <w:rsid w:val="52294970"/>
    <w:rsid w:val="5243BE4E"/>
    <w:rsid w:val="52442349"/>
    <w:rsid w:val="5251762B"/>
    <w:rsid w:val="5256420E"/>
    <w:rsid w:val="52586838"/>
    <w:rsid w:val="525B2D62"/>
    <w:rsid w:val="52625902"/>
    <w:rsid w:val="5272981B"/>
    <w:rsid w:val="5273D7D0"/>
    <w:rsid w:val="5275C13B"/>
    <w:rsid w:val="527767B1"/>
    <w:rsid w:val="52828972"/>
    <w:rsid w:val="528F2C47"/>
    <w:rsid w:val="52A0BC7A"/>
    <w:rsid w:val="52B441AC"/>
    <w:rsid w:val="52B6CBCE"/>
    <w:rsid w:val="52CB4992"/>
    <w:rsid w:val="52CD9081"/>
    <w:rsid w:val="52D6D525"/>
    <w:rsid w:val="52D7EB22"/>
    <w:rsid w:val="52D8885A"/>
    <w:rsid w:val="52D9A45E"/>
    <w:rsid w:val="52DAE12D"/>
    <w:rsid w:val="52DF8BB1"/>
    <w:rsid w:val="52FF16BC"/>
    <w:rsid w:val="530047EF"/>
    <w:rsid w:val="530E47A6"/>
    <w:rsid w:val="530E553A"/>
    <w:rsid w:val="5314769A"/>
    <w:rsid w:val="5316E1A3"/>
    <w:rsid w:val="53175C8F"/>
    <w:rsid w:val="53186DDD"/>
    <w:rsid w:val="5320CBDB"/>
    <w:rsid w:val="5324233B"/>
    <w:rsid w:val="5328CC8D"/>
    <w:rsid w:val="53294845"/>
    <w:rsid w:val="53370196"/>
    <w:rsid w:val="53468C86"/>
    <w:rsid w:val="53478F72"/>
    <w:rsid w:val="5353DD4F"/>
    <w:rsid w:val="53578819"/>
    <w:rsid w:val="535F98F9"/>
    <w:rsid w:val="53678270"/>
    <w:rsid w:val="536CE7CD"/>
    <w:rsid w:val="5381A6F2"/>
    <w:rsid w:val="5389A8AA"/>
    <w:rsid w:val="539D6A74"/>
    <w:rsid w:val="539F91D3"/>
    <w:rsid w:val="53A48949"/>
    <w:rsid w:val="53AA0872"/>
    <w:rsid w:val="53AD9257"/>
    <w:rsid w:val="53C05F05"/>
    <w:rsid w:val="53C10A8F"/>
    <w:rsid w:val="53D77C96"/>
    <w:rsid w:val="53EBE6AA"/>
    <w:rsid w:val="53F067B5"/>
    <w:rsid w:val="53F8FA8E"/>
    <w:rsid w:val="53FFDC34"/>
    <w:rsid w:val="54045D83"/>
    <w:rsid w:val="5405718D"/>
    <w:rsid w:val="54085293"/>
    <w:rsid w:val="541B3298"/>
    <w:rsid w:val="54202605"/>
    <w:rsid w:val="54226BC7"/>
    <w:rsid w:val="5424FCF7"/>
    <w:rsid w:val="54312834"/>
    <w:rsid w:val="5431DA6E"/>
    <w:rsid w:val="54345D18"/>
    <w:rsid w:val="545B012C"/>
    <w:rsid w:val="545DD330"/>
    <w:rsid w:val="5463461D"/>
    <w:rsid w:val="54757966"/>
    <w:rsid w:val="5485F1ED"/>
    <w:rsid w:val="549766DC"/>
    <w:rsid w:val="549DC91D"/>
    <w:rsid w:val="54A514E3"/>
    <w:rsid w:val="54A688DB"/>
    <w:rsid w:val="54AD056E"/>
    <w:rsid w:val="54B0F59A"/>
    <w:rsid w:val="54B54C8E"/>
    <w:rsid w:val="54B5EE0E"/>
    <w:rsid w:val="54B63AB4"/>
    <w:rsid w:val="54C0015F"/>
    <w:rsid w:val="54CDC9D6"/>
    <w:rsid w:val="54DBD0EB"/>
    <w:rsid w:val="54DD1A1B"/>
    <w:rsid w:val="54E13560"/>
    <w:rsid w:val="54E17ED1"/>
    <w:rsid w:val="54E4714F"/>
    <w:rsid w:val="54F03D88"/>
    <w:rsid w:val="54F05B20"/>
    <w:rsid w:val="54F91644"/>
    <w:rsid w:val="5507C7B6"/>
    <w:rsid w:val="55085E81"/>
    <w:rsid w:val="5517659C"/>
    <w:rsid w:val="551D550C"/>
    <w:rsid w:val="551E984F"/>
    <w:rsid w:val="5524471A"/>
    <w:rsid w:val="552B5C0F"/>
    <w:rsid w:val="5537FE9E"/>
    <w:rsid w:val="55394D53"/>
    <w:rsid w:val="554912B9"/>
    <w:rsid w:val="554C7EEF"/>
    <w:rsid w:val="55518997"/>
    <w:rsid w:val="5554C4E7"/>
    <w:rsid w:val="555E1007"/>
    <w:rsid w:val="5574331F"/>
    <w:rsid w:val="5575FCC8"/>
    <w:rsid w:val="55798956"/>
    <w:rsid w:val="557B90B1"/>
    <w:rsid w:val="5582EB52"/>
    <w:rsid w:val="5583F091"/>
    <w:rsid w:val="558B3467"/>
    <w:rsid w:val="5591C287"/>
    <w:rsid w:val="5591FEBC"/>
    <w:rsid w:val="55A38AC7"/>
    <w:rsid w:val="55AF5BF7"/>
    <w:rsid w:val="55B14BDC"/>
    <w:rsid w:val="55B1B0D0"/>
    <w:rsid w:val="55B3F6AC"/>
    <w:rsid w:val="55C72E29"/>
    <w:rsid w:val="55D9DB09"/>
    <w:rsid w:val="55DA61D4"/>
    <w:rsid w:val="55DCFDA2"/>
    <w:rsid w:val="55DE878B"/>
    <w:rsid w:val="55E08A05"/>
    <w:rsid w:val="55E5D5C7"/>
    <w:rsid w:val="55F04ABB"/>
    <w:rsid w:val="55F0652D"/>
    <w:rsid w:val="55FBD9D4"/>
    <w:rsid w:val="5604F663"/>
    <w:rsid w:val="5607A115"/>
    <w:rsid w:val="560CE80D"/>
    <w:rsid w:val="561359C2"/>
    <w:rsid w:val="561836FD"/>
    <w:rsid w:val="56265D98"/>
    <w:rsid w:val="5626C335"/>
    <w:rsid w:val="56339E7E"/>
    <w:rsid w:val="563A006B"/>
    <w:rsid w:val="563F5E9B"/>
    <w:rsid w:val="5665C6FA"/>
    <w:rsid w:val="567CC67B"/>
    <w:rsid w:val="5687E7A4"/>
    <w:rsid w:val="56ACD5B9"/>
    <w:rsid w:val="56B45846"/>
    <w:rsid w:val="56BF1EBA"/>
    <w:rsid w:val="56C8B714"/>
    <w:rsid w:val="56D4CB78"/>
    <w:rsid w:val="56E0E649"/>
    <w:rsid w:val="56E12628"/>
    <w:rsid w:val="56E62C3D"/>
    <w:rsid w:val="56E6472D"/>
    <w:rsid w:val="56EEC145"/>
    <w:rsid w:val="56F4130E"/>
    <w:rsid w:val="56F8AD66"/>
    <w:rsid w:val="56FA2250"/>
    <w:rsid w:val="5702B97F"/>
    <w:rsid w:val="570CBE87"/>
    <w:rsid w:val="570D9F13"/>
    <w:rsid w:val="5715C452"/>
    <w:rsid w:val="57168BFB"/>
    <w:rsid w:val="57275F60"/>
    <w:rsid w:val="57324DD7"/>
    <w:rsid w:val="5734A04A"/>
    <w:rsid w:val="5736AC8E"/>
    <w:rsid w:val="57497BD7"/>
    <w:rsid w:val="574FFAD7"/>
    <w:rsid w:val="57580A80"/>
    <w:rsid w:val="575AFC2E"/>
    <w:rsid w:val="575C8FC5"/>
    <w:rsid w:val="575E0346"/>
    <w:rsid w:val="575F383E"/>
    <w:rsid w:val="57639EF2"/>
    <w:rsid w:val="576B6AE4"/>
    <w:rsid w:val="576FEC33"/>
    <w:rsid w:val="577E2966"/>
    <w:rsid w:val="57897937"/>
    <w:rsid w:val="5792DDE2"/>
    <w:rsid w:val="57A3ADC8"/>
    <w:rsid w:val="57A76DDC"/>
    <w:rsid w:val="57ABDFAE"/>
    <w:rsid w:val="57B28A4B"/>
    <w:rsid w:val="57BED37E"/>
    <w:rsid w:val="57C7A35D"/>
    <w:rsid w:val="57D3636B"/>
    <w:rsid w:val="57D8389D"/>
    <w:rsid w:val="57E8F775"/>
    <w:rsid w:val="57F0F5F7"/>
    <w:rsid w:val="57F27E44"/>
    <w:rsid w:val="57F2E08B"/>
    <w:rsid w:val="57F8C9DE"/>
    <w:rsid w:val="580152B9"/>
    <w:rsid w:val="580385FC"/>
    <w:rsid w:val="580AA1F5"/>
    <w:rsid w:val="581CB601"/>
    <w:rsid w:val="581F8DA5"/>
    <w:rsid w:val="5827DE3A"/>
    <w:rsid w:val="5830266F"/>
    <w:rsid w:val="5830F83B"/>
    <w:rsid w:val="58314CFC"/>
    <w:rsid w:val="58347868"/>
    <w:rsid w:val="583BBD08"/>
    <w:rsid w:val="583F4FE1"/>
    <w:rsid w:val="584472BD"/>
    <w:rsid w:val="5845C0A3"/>
    <w:rsid w:val="584E2F43"/>
    <w:rsid w:val="58531580"/>
    <w:rsid w:val="585768D0"/>
    <w:rsid w:val="58583F43"/>
    <w:rsid w:val="585A2475"/>
    <w:rsid w:val="585A27C2"/>
    <w:rsid w:val="586C6E77"/>
    <w:rsid w:val="586E9109"/>
    <w:rsid w:val="5870E5D6"/>
    <w:rsid w:val="587A6EAA"/>
    <w:rsid w:val="58823C9F"/>
    <w:rsid w:val="58855CC0"/>
    <w:rsid w:val="589C9C18"/>
    <w:rsid w:val="589F6A01"/>
    <w:rsid w:val="58A15C89"/>
    <w:rsid w:val="58C48C6C"/>
    <w:rsid w:val="58D4D1F4"/>
    <w:rsid w:val="58D623A0"/>
    <w:rsid w:val="58D6559A"/>
    <w:rsid w:val="58E69060"/>
    <w:rsid w:val="58ED42F5"/>
    <w:rsid w:val="58F30365"/>
    <w:rsid w:val="58FA3403"/>
    <w:rsid w:val="5906BBFC"/>
    <w:rsid w:val="590962F5"/>
    <w:rsid w:val="590B497B"/>
    <w:rsid w:val="590BA805"/>
    <w:rsid w:val="5915E86B"/>
    <w:rsid w:val="5927E622"/>
    <w:rsid w:val="592A6E34"/>
    <w:rsid w:val="592C0733"/>
    <w:rsid w:val="59313232"/>
    <w:rsid w:val="5931562E"/>
    <w:rsid w:val="5932CF41"/>
    <w:rsid w:val="594A3652"/>
    <w:rsid w:val="595C7D33"/>
    <w:rsid w:val="596027F2"/>
    <w:rsid w:val="5966CCDF"/>
    <w:rsid w:val="597114F3"/>
    <w:rsid w:val="598897C5"/>
    <w:rsid w:val="599355C3"/>
    <w:rsid w:val="5996E33A"/>
    <w:rsid w:val="599B5F8F"/>
    <w:rsid w:val="59B9242D"/>
    <w:rsid w:val="59B95E6B"/>
    <w:rsid w:val="59BC724F"/>
    <w:rsid w:val="59D1F296"/>
    <w:rsid w:val="59D444E4"/>
    <w:rsid w:val="59DAB16B"/>
    <w:rsid w:val="59EA5F8F"/>
    <w:rsid w:val="59EB69D4"/>
    <w:rsid w:val="5A1275D2"/>
    <w:rsid w:val="5A17455A"/>
    <w:rsid w:val="5A35CA63"/>
    <w:rsid w:val="5A364CCC"/>
    <w:rsid w:val="5A385F57"/>
    <w:rsid w:val="5A47190C"/>
    <w:rsid w:val="5A4E1C11"/>
    <w:rsid w:val="5A4ED4A8"/>
    <w:rsid w:val="5A4FD9D0"/>
    <w:rsid w:val="5A5BDA36"/>
    <w:rsid w:val="5A5C373F"/>
    <w:rsid w:val="5A618F07"/>
    <w:rsid w:val="5A65EE3A"/>
    <w:rsid w:val="5A698D2D"/>
    <w:rsid w:val="5A6C6FE2"/>
    <w:rsid w:val="5A7650DF"/>
    <w:rsid w:val="5A7BAE41"/>
    <w:rsid w:val="5A80EB5A"/>
    <w:rsid w:val="5A81CCBB"/>
    <w:rsid w:val="5A8D7406"/>
    <w:rsid w:val="5A9384FF"/>
    <w:rsid w:val="5AA52DF5"/>
    <w:rsid w:val="5AB41F47"/>
    <w:rsid w:val="5AB8128E"/>
    <w:rsid w:val="5AB9047F"/>
    <w:rsid w:val="5ABEC919"/>
    <w:rsid w:val="5AC14101"/>
    <w:rsid w:val="5ACA779D"/>
    <w:rsid w:val="5AD5D53B"/>
    <w:rsid w:val="5ADB6339"/>
    <w:rsid w:val="5ADB7AE3"/>
    <w:rsid w:val="5AE40E55"/>
    <w:rsid w:val="5AEEA749"/>
    <w:rsid w:val="5AEEB5DE"/>
    <w:rsid w:val="5AF89973"/>
    <w:rsid w:val="5AFD64AC"/>
    <w:rsid w:val="5B00697A"/>
    <w:rsid w:val="5B0A16B1"/>
    <w:rsid w:val="5B0C9572"/>
    <w:rsid w:val="5B112F39"/>
    <w:rsid w:val="5B11D8E9"/>
    <w:rsid w:val="5B1590EA"/>
    <w:rsid w:val="5B17E8C6"/>
    <w:rsid w:val="5B202EF4"/>
    <w:rsid w:val="5B34CBB6"/>
    <w:rsid w:val="5B37B429"/>
    <w:rsid w:val="5B37EB51"/>
    <w:rsid w:val="5B4637EE"/>
    <w:rsid w:val="5B48A9F7"/>
    <w:rsid w:val="5B510B98"/>
    <w:rsid w:val="5B55F601"/>
    <w:rsid w:val="5B5AB762"/>
    <w:rsid w:val="5B5D26E0"/>
    <w:rsid w:val="5B60A364"/>
    <w:rsid w:val="5B6AC476"/>
    <w:rsid w:val="5B7620AF"/>
    <w:rsid w:val="5B789D14"/>
    <w:rsid w:val="5B7EE0BF"/>
    <w:rsid w:val="5B89F9EE"/>
    <w:rsid w:val="5B8C1A69"/>
    <w:rsid w:val="5B8CE230"/>
    <w:rsid w:val="5BA5A1C1"/>
    <w:rsid w:val="5BA5B723"/>
    <w:rsid w:val="5BA9379D"/>
    <w:rsid w:val="5BB6A07D"/>
    <w:rsid w:val="5BE41A89"/>
    <w:rsid w:val="5BF072D6"/>
    <w:rsid w:val="5BF28465"/>
    <w:rsid w:val="5BF4DA0D"/>
    <w:rsid w:val="5BF7538A"/>
    <w:rsid w:val="5BFC9E2F"/>
    <w:rsid w:val="5C0B4008"/>
    <w:rsid w:val="5C12620A"/>
    <w:rsid w:val="5C1418C1"/>
    <w:rsid w:val="5C178E90"/>
    <w:rsid w:val="5C1F8D87"/>
    <w:rsid w:val="5C27156B"/>
    <w:rsid w:val="5C296FD3"/>
    <w:rsid w:val="5C2D3C89"/>
    <w:rsid w:val="5C342939"/>
    <w:rsid w:val="5C4CB489"/>
    <w:rsid w:val="5C57DD26"/>
    <w:rsid w:val="5C58A788"/>
    <w:rsid w:val="5C642A67"/>
    <w:rsid w:val="5C73AD95"/>
    <w:rsid w:val="5C80CBB5"/>
    <w:rsid w:val="5C8274D1"/>
    <w:rsid w:val="5C8CF68F"/>
    <w:rsid w:val="5C9BFF34"/>
    <w:rsid w:val="5C9E4B2D"/>
    <w:rsid w:val="5C9EF55E"/>
    <w:rsid w:val="5CAB2596"/>
    <w:rsid w:val="5CAE769A"/>
    <w:rsid w:val="5CC460C6"/>
    <w:rsid w:val="5CC53FE8"/>
    <w:rsid w:val="5CD46E71"/>
    <w:rsid w:val="5CDE4943"/>
    <w:rsid w:val="5CF6CACD"/>
    <w:rsid w:val="5CF7E852"/>
    <w:rsid w:val="5CFCF53C"/>
    <w:rsid w:val="5CFF20F5"/>
    <w:rsid w:val="5D0B00FD"/>
    <w:rsid w:val="5D12ACA1"/>
    <w:rsid w:val="5D1E8D2D"/>
    <w:rsid w:val="5D2923E2"/>
    <w:rsid w:val="5D2B21AE"/>
    <w:rsid w:val="5D34E22F"/>
    <w:rsid w:val="5D3FE1B5"/>
    <w:rsid w:val="5D421E2F"/>
    <w:rsid w:val="5D528DC9"/>
    <w:rsid w:val="5D6A75F8"/>
    <w:rsid w:val="5D704963"/>
    <w:rsid w:val="5D85919B"/>
    <w:rsid w:val="5D8B8C89"/>
    <w:rsid w:val="5D98A3C0"/>
    <w:rsid w:val="5D9A2665"/>
    <w:rsid w:val="5D9B97C0"/>
    <w:rsid w:val="5DA9F040"/>
    <w:rsid w:val="5DACF7BD"/>
    <w:rsid w:val="5DB18A7D"/>
    <w:rsid w:val="5DB2F73F"/>
    <w:rsid w:val="5DB985D8"/>
    <w:rsid w:val="5DBCD665"/>
    <w:rsid w:val="5DC2D699"/>
    <w:rsid w:val="5DE9BEC8"/>
    <w:rsid w:val="5DF19A73"/>
    <w:rsid w:val="5DFAC2A4"/>
    <w:rsid w:val="5DFE30B8"/>
    <w:rsid w:val="5DFE7C5E"/>
    <w:rsid w:val="5E0F73A8"/>
    <w:rsid w:val="5E13B3FD"/>
    <w:rsid w:val="5E229686"/>
    <w:rsid w:val="5E25EB0E"/>
    <w:rsid w:val="5E2E352F"/>
    <w:rsid w:val="5E36A649"/>
    <w:rsid w:val="5E3B39D4"/>
    <w:rsid w:val="5E40BAE0"/>
    <w:rsid w:val="5E45A978"/>
    <w:rsid w:val="5E547E3B"/>
    <w:rsid w:val="5E5B672E"/>
    <w:rsid w:val="5E5FF4AB"/>
    <w:rsid w:val="5E6190E0"/>
    <w:rsid w:val="5E6376E9"/>
    <w:rsid w:val="5E6991FA"/>
    <w:rsid w:val="5E6A8997"/>
    <w:rsid w:val="5E76542C"/>
    <w:rsid w:val="5E7FE612"/>
    <w:rsid w:val="5E849D6B"/>
    <w:rsid w:val="5E9C175D"/>
    <w:rsid w:val="5EA3F9B5"/>
    <w:rsid w:val="5EA58D86"/>
    <w:rsid w:val="5EA5F56D"/>
    <w:rsid w:val="5EA986EA"/>
    <w:rsid w:val="5EB03DD6"/>
    <w:rsid w:val="5EB73965"/>
    <w:rsid w:val="5EB89F30"/>
    <w:rsid w:val="5EBA8F4B"/>
    <w:rsid w:val="5EC2B1D9"/>
    <w:rsid w:val="5ECCA8F3"/>
    <w:rsid w:val="5ED261AF"/>
    <w:rsid w:val="5ED4CDB0"/>
    <w:rsid w:val="5ED8ED74"/>
    <w:rsid w:val="5EDCD936"/>
    <w:rsid w:val="5EE40C9F"/>
    <w:rsid w:val="5EE629DF"/>
    <w:rsid w:val="5EEC0FAC"/>
    <w:rsid w:val="5EF92F96"/>
    <w:rsid w:val="5EF96267"/>
    <w:rsid w:val="5EF98C3B"/>
    <w:rsid w:val="5EFFB1BF"/>
    <w:rsid w:val="5EFFBF9E"/>
    <w:rsid w:val="5F003335"/>
    <w:rsid w:val="5F0B6771"/>
    <w:rsid w:val="5F0DCCE1"/>
    <w:rsid w:val="5F12B580"/>
    <w:rsid w:val="5F15EC66"/>
    <w:rsid w:val="5F2C9442"/>
    <w:rsid w:val="5F335A0C"/>
    <w:rsid w:val="5F36BB71"/>
    <w:rsid w:val="5F42CF39"/>
    <w:rsid w:val="5F4EFD66"/>
    <w:rsid w:val="5F50F7D2"/>
    <w:rsid w:val="5F5BD64C"/>
    <w:rsid w:val="5F5DF0B1"/>
    <w:rsid w:val="5F66E11C"/>
    <w:rsid w:val="5F7800BE"/>
    <w:rsid w:val="5F88E868"/>
    <w:rsid w:val="5F89F71A"/>
    <w:rsid w:val="5F9292DE"/>
    <w:rsid w:val="5F947BBC"/>
    <w:rsid w:val="5F99E728"/>
    <w:rsid w:val="5FA1A1DD"/>
    <w:rsid w:val="5FA56EA3"/>
    <w:rsid w:val="5FA9E612"/>
    <w:rsid w:val="5FC0A94F"/>
    <w:rsid w:val="5FC63AB4"/>
    <w:rsid w:val="5FC6620B"/>
    <w:rsid w:val="5FC81DEA"/>
    <w:rsid w:val="5FCFCF18"/>
    <w:rsid w:val="5FD1E20A"/>
    <w:rsid w:val="5FE2D6A3"/>
    <w:rsid w:val="5FEA89CE"/>
    <w:rsid w:val="5FECD3C8"/>
    <w:rsid w:val="5FF7D46C"/>
    <w:rsid w:val="5FF7F2C2"/>
    <w:rsid w:val="6003F927"/>
    <w:rsid w:val="60091F2E"/>
    <w:rsid w:val="6013D480"/>
    <w:rsid w:val="6014BDF4"/>
    <w:rsid w:val="60185D0D"/>
    <w:rsid w:val="601C7979"/>
    <w:rsid w:val="60217034"/>
    <w:rsid w:val="6036FA46"/>
    <w:rsid w:val="603B425C"/>
    <w:rsid w:val="603C80EF"/>
    <w:rsid w:val="60432F2D"/>
    <w:rsid w:val="604C9E39"/>
    <w:rsid w:val="60532325"/>
    <w:rsid w:val="60598A25"/>
    <w:rsid w:val="6065151B"/>
    <w:rsid w:val="60680AD7"/>
    <w:rsid w:val="606FF03E"/>
    <w:rsid w:val="60703575"/>
    <w:rsid w:val="60860205"/>
    <w:rsid w:val="6088A6C4"/>
    <w:rsid w:val="6088BB8F"/>
    <w:rsid w:val="608FA7EA"/>
    <w:rsid w:val="60917BC2"/>
    <w:rsid w:val="609282B0"/>
    <w:rsid w:val="60A7128D"/>
    <w:rsid w:val="60B04A88"/>
    <w:rsid w:val="60B13B59"/>
    <w:rsid w:val="60B2A137"/>
    <w:rsid w:val="60B460C5"/>
    <w:rsid w:val="60B51372"/>
    <w:rsid w:val="60BD1F9F"/>
    <w:rsid w:val="60C45B59"/>
    <w:rsid w:val="60D96050"/>
    <w:rsid w:val="60DA9781"/>
    <w:rsid w:val="60DECF76"/>
    <w:rsid w:val="60E0A07D"/>
    <w:rsid w:val="60E0F98A"/>
    <w:rsid w:val="60E74D8B"/>
    <w:rsid w:val="60FC096A"/>
    <w:rsid w:val="6102FFAE"/>
    <w:rsid w:val="6115F362"/>
    <w:rsid w:val="6116710D"/>
    <w:rsid w:val="6124AC4C"/>
    <w:rsid w:val="612A5E0F"/>
    <w:rsid w:val="612EF9BC"/>
    <w:rsid w:val="6130A9E9"/>
    <w:rsid w:val="613768B9"/>
    <w:rsid w:val="613FD110"/>
    <w:rsid w:val="6156228C"/>
    <w:rsid w:val="6158B667"/>
    <w:rsid w:val="6166C7F1"/>
    <w:rsid w:val="616C4874"/>
    <w:rsid w:val="616DD5C0"/>
    <w:rsid w:val="61750A95"/>
    <w:rsid w:val="6176A004"/>
    <w:rsid w:val="61814517"/>
    <w:rsid w:val="6187B59C"/>
    <w:rsid w:val="61964434"/>
    <w:rsid w:val="6198D15B"/>
    <w:rsid w:val="619959ED"/>
    <w:rsid w:val="619EC867"/>
    <w:rsid w:val="61A87247"/>
    <w:rsid w:val="61AB9E3A"/>
    <w:rsid w:val="61AFD6DA"/>
    <w:rsid w:val="61C06F7E"/>
    <w:rsid w:val="61C3BE12"/>
    <w:rsid w:val="61D713CE"/>
    <w:rsid w:val="61DF3219"/>
    <w:rsid w:val="61DFB177"/>
    <w:rsid w:val="61EAD64A"/>
    <w:rsid w:val="61EF083D"/>
    <w:rsid w:val="61F423E7"/>
    <w:rsid w:val="61F58548"/>
    <w:rsid w:val="61FE5284"/>
    <w:rsid w:val="62033B5E"/>
    <w:rsid w:val="620B28E4"/>
    <w:rsid w:val="621134F2"/>
    <w:rsid w:val="6214F7A1"/>
    <w:rsid w:val="623455F5"/>
    <w:rsid w:val="623849C5"/>
    <w:rsid w:val="62447CDB"/>
    <w:rsid w:val="624B7746"/>
    <w:rsid w:val="624F6EF0"/>
    <w:rsid w:val="62523762"/>
    <w:rsid w:val="62627300"/>
    <w:rsid w:val="626521B8"/>
    <w:rsid w:val="62666FA8"/>
    <w:rsid w:val="626DB056"/>
    <w:rsid w:val="626F6E96"/>
    <w:rsid w:val="6273A186"/>
    <w:rsid w:val="628336C5"/>
    <w:rsid w:val="6288417D"/>
    <w:rsid w:val="628C2E72"/>
    <w:rsid w:val="628E05BD"/>
    <w:rsid w:val="62A9FC16"/>
    <w:rsid w:val="62ACDD5E"/>
    <w:rsid w:val="62C400BC"/>
    <w:rsid w:val="62C62368"/>
    <w:rsid w:val="62C678EC"/>
    <w:rsid w:val="62C8B9BF"/>
    <w:rsid w:val="62D16DD8"/>
    <w:rsid w:val="62E3ED5F"/>
    <w:rsid w:val="62E89A11"/>
    <w:rsid w:val="62E9161F"/>
    <w:rsid w:val="62EFD2CF"/>
    <w:rsid w:val="62F2ECFC"/>
    <w:rsid w:val="62FA50C1"/>
    <w:rsid w:val="62FDBF68"/>
    <w:rsid w:val="6308B719"/>
    <w:rsid w:val="630A2C7D"/>
    <w:rsid w:val="631C552E"/>
    <w:rsid w:val="633CF15F"/>
    <w:rsid w:val="633F1CB1"/>
    <w:rsid w:val="6348CDA0"/>
    <w:rsid w:val="634A0271"/>
    <w:rsid w:val="63507670"/>
    <w:rsid w:val="6357A0CD"/>
    <w:rsid w:val="6369C622"/>
    <w:rsid w:val="636FEB1F"/>
    <w:rsid w:val="6371EE9F"/>
    <w:rsid w:val="6373DDD4"/>
    <w:rsid w:val="63762CBA"/>
    <w:rsid w:val="639C6919"/>
    <w:rsid w:val="63A15499"/>
    <w:rsid w:val="63A25DC0"/>
    <w:rsid w:val="63B0C1EE"/>
    <w:rsid w:val="63B26846"/>
    <w:rsid w:val="63B96261"/>
    <w:rsid w:val="63BE3AF9"/>
    <w:rsid w:val="63C9179A"/>
    <w:rsid w:val="63CE6721"/>
    <w:rsid w:val="63D6340E"/>
    <w:rsid w:val="63D818DF"/>
    <w:rsid w:val="63D9275D"/>
    <w:rsid w:val="63DC47BD"/>
    <w:rsid w:val="63DD8921"/>
    <w:rsid w:val="63E1D79F"/>
    <w:rsid w:val="63E91EAA"/>
    <w:rsid w:val="63EAC333"/>
    <w:rsid w:val="63EB7598"/>
    <w:rsid w:val="63FDFFEC"/>
    <w:rsid w:val="640C3AD3"/>
    <w:rsid w:val="6412DC73"/>
    <w:rsid w:val="642992DB"/>
    <w:rsid w:val="642C1571"/>
    <w:rsid w:val="6437E947"/>
    <w:rsid w:val="64393828"/>
    <w:rsid w:val="6441B511"/>
    <w:rsid w:val="64457AC6"/>
    <w:rsid w:val="6445CC77"/>
    <w:rsid w:val="6448836B"/>
    <w:rsid w:val="644B1199"/>
    <w:rsid w:val="644F0ED8"/>
    <w:rsid w:val="64673B23"/>
    <w:rsid w:val="64680D6B"/>
    <w:rsid w:val="646D8B1C"/>
    <w:rsid w:val="64722691"/>
    <w:rsid w:val="6478D09F"/>
    <w:rsid w:val="648181FC"/>
    <w:rsid w:val="64829A92"/>
    <w:rsid w:val="6485F0E4"/>
    <w:rsid w:val="648F7C53"/>
    <w:rsid w:val="64934832"/>
    <w:rsid w:val="649A889E"/>
    <w:rsid w:val="649F5BCB"/>
    <w:rsid w:val="64A61F92"/>
    <w:rsid w:val="64B2BE22"/>
    <w:rsid w:val="64C66C09"/>
    <w:rsid w:val="64D1D154"/>
    <w:rsid w:val="64DD4C16"/>
    <w:rsid w:val="64E68D92"/>
    <w:rsid w:val="64E9CAC1"/>
    <w:rsid w:val="64F1735E"/>
    <w:rsid w:val="64F9D9B4"/>
    <w:rsid w:val="64FABEB3"/>
    <w:rsid w:val="64FD3B3F"/>
    <w:rsid w:val="650594BD"/>
    <w:rsid w:val="650EFBC9"/>
    <w:rsid w:val="6512952E"/>
    <w:rsid w:val="65138B14"/>
    <w:rsid w:val="65198C75"/>
    <w:rsid w:val="65240A37"/>
    <w:rsid w:val="652443AB"/>
    <w:rsid w:val="652DDC3A"/>
    <w:rsid w:val="65359C1B"/>
    <w:rsid w:val="653C55EA"/>
    <w:rsid w:val="65489D5A"/>
    <w:rsid w:val="654CE18F"/>
    <w:rsid w:val="654F21DC"/>
    <w:rsid w:val="655C1C50"/>
    <w:rsid w:val="656B1DA0"/>
    <w:rsid w:val="657F57F5"/>
    <w:rsid w:val="6584F2D3"/>
    <w:rsid w:val="65875A26"/>
    <w:rsid w:val="65904498"/>
    <w:rsid w:val="6595B57D"/>
    <w:rsid w:val="6598A15D"/>
    <w:rsid w:val="65A52916"/>
    <w:rsid w:val="65A8242B"/>
    <w:rsid w:val="65A83E05"/>
    <w:rsid w:val="65B137CC"/>
    <w:rsid w:val="65B62490"/>
    <w:rsid w:val="65BF5EDE"/>
    <w:rsid w:val="65CF855C"/>
    <w:rsid w:val="65D13619"/>
    <w:rsid w:val="65D4AEA7"/>
    <w:rsid w:val="65E07932"/>
    <w:rsid w:val="65E327F2"/>
    <w:rsid w:val="65EA7E69"/>
    <w:rsid w:val="65EB5FE7"/>
    <w:rsid w:val="66044959"/>
    <w:rsid w:val="66064D45"/>
    <w:rsid w:val="6628740F"/>
    <w:rsid w:val="662A8B07"/>
    <w:rsid w:val="663FD2A3"/>
    <w:rsid w:val="66440D4F"/>
    <w:rsid w:val="664C2A41"/>
    <w:rsid w:val="664E522C"/>
    <w:rsid w:val="66536A74"/>
    <w:rsid w:val="6653F6B9"/>
    <w:rsid w:val="666845E4"/>
    <w:rsid w:val="6676EA51"/>
    <w:rsid w:val="667A55FB"/>
    <w:rsid w:val="667A64FB"/>
    <w:rsid w:val="668CC3EC"/>
    <w:rsid w:val="66A023D3"/>
    <w:rsid w:val="66AD0A37"/>
    <w:rsid w:val="66AF2639"/>
    <w:rsid w:val="66B14167"/>
    <w:rsid w:val="66B38B32"/>
    <w:rsid w:val="66B8B147"/>
    <w:rsid w:val="66C41764"/>
    <w:rsid w:val="66CF12DC"/>
    <w:rsid w:val="66DB277E"/>
    <w:rsid w:val="66EB65D3"/>
    <w:rsid w:val="66ED2B88"/>
    <w:rsid w:val="66EE97DF"/>
    <w:rsid w:val="66F02EB9"/>
    <w:rsid w:val="66F9236D"/>
    <w:rsid w:val="67008692"/>
    <w:rsid w:val="670E6EE4"/>
    <w:rsid w:val="67154871"/>
    <w:rsid w:val="67165AAB"/>
    <w:rsid w:val="6718E0E9"/>
    <w:rsid w:val="671D3C53"/>
    <w:rsid w:val="671D69D8"/>
    <w:rsid w:val="67236D75"/>
    <w:rsid w:val="67246D31"/>
    <w:rsid w:val="6731BF1F"/>
    <w:rsid w:val="6734FBB0"/>
    <w:rsid w:val="6735F1D6"/>
    <w:rsid w:val="673A08EE"/>
    <w:rsid w:val="675603E4"/>
    <w:rsid w:val="675D27A9"/>
    <w:rsid w:val="675EF3CA"/>
    <w:rsid w:val="67641F79"/>
    <w:rsid w:val="67674CFB"/>
    <w:rsid w:val="67689863"/>
    <w:rsid w:val="67696543"/>
    <w:rsid w:val="676DA49F"/>
    <w:rsid w:val="67798A62"/>
    <w:rsid w:val="677A7559"/>
    <w:rsid w:val="677CA213"/>
    <w:rsid w:val="6784ABB0"/>
    <w:rsid w:val="678E0DD1"/>
    <w:rsid w:val="678E763A"/>
    <w:rsid w:val="679069B9"/>
    <w:rsid w:val="67913C8C"/>
    <w:rsid w:val="679B3AE2"/>
    <w:rsid w:val="67AAFC6C"/>
    <w:rsid w:val="67AFBAEE"/>
    <w:rsid w:val="67C95494"/>
    <w:rsid w:val="67D6747D"/>
    <w:rsid w:val="67DAB95A"/>
    <w:rsid w:val="67DBF12C"/>
    <w:rsid w:val="67DC186D"/>
    <w:rsid w:val="67E7BA6A"/>
    <w:rsid w:val="67ED0EA8"/>
    <w:rsid w:val="67EEA178"/>
    <w:rsid w:val="67EF4D9A"/>
    <w:rsid w:val="67F30284"/>
    <w:rsid w:val="67F7A663"/>
    <w:rsid w:val="68032C19"/>
    <w:rsid w:val="68042F85"/>
    <w:rsid w:val="680581DB"/>
    <w:rsid w:val="681100E5"/>
    <w:rsid w:val="68236A2A"/>
    <w:rsid w:val="682F6E99"/>
    <w:rsid w:val="6834308B"/>
    <w:rsid w:val="6837D4F2"/>
    <w:rsid w:val="6852BA36"/>
    <w:rsid w:val="685595D3"/>
    <w:rsid w:val="6857C7AE"/>
    <w:rsid w:val="685A3106"/>
    <w:rsid w:val="685D7A74"/>
    <w:rsid w:val="685DB636"/>
    <w:rsid w:val="68628062"/>
    <w:rsid w:val="686307AA"/>
    <w:rsid w:val="68642CE8"/>
    <w:rsid w:val="686670E6"/>
    <w:rsid w:val="686C905D"/>
    <w:rsid w:val="687B3A48"/>
    <w:rsid w:val="6890A913"/>
    <w:rsid w:val="689BF59C"/>
    <w:rsid w:val="68A49183"/>
    <w:rsid w:val="68B51EAA"/>
    <w:rsid w:val="68B7C74A"/>
    <w:rsid w:val="68BAD009"/>
    <w:rsid w:val="68BB1EBC"/>
    <w:rsid w:val="68C13B07"/>
    <w:rsid w:val="68C64470"/>
    <w:rsid w:val="68CC961D"/>
    <w:rsid w:val="68D10A01"/>
    <w:rsid w:val="68D1A5BE"/>
    <w:rsid w:val="68D82412"/>
    <w:rsid w:val="68E0ECA0"/>
    <w:rsid w:val="68E4CF3F"/>
    <w:rsid w:val="68E6802B"/>
    <w:rsid w:val="68E7C924"/>
    <w:rsid w:val="68EEFC41"/>
    <w:rsid w:val="68F9B7AC"/>
    <w:rsid w:val="6907AB12"/>
    <w:rsid w:val="69094041"/>
    <w:rsid w:val="6916EB4F"/>
    <w:rsid w:val="691CAA3B"/>
    <w:rsid w:val="691EE36A"/>
    <w:rsid w:val="692D8108"/>
    <w:rsid w:val="6932CA1A"/>
    <w:rsid w:val="693A6111"/>
    <w:rsid w:val="69429D37"/>
    <w:rsid w:val="6951A067"/>
    <w:rsid w:val="69609091"/>
    <w:rsid w:val="696501EF"/>
    <w:rsid w:val="6968099F"/>
    <w:rsid w:val="696B3540"/>
    <w:rsid w:val="69756E6E"/>
    <w:rsid w:val="6978A9DF"/>
    <w:rsid w:val="697A67A1"/>
    <w:rsid w:val="698473FA"/>
    <w:rsid w:val="698766F5"/>
    <w:rsid w:val="698B4B6F"/>
    <w:rsid w:val="698FF768"/>
    <w:rsid w:val="699045F2"/>
    <w:rsid w:val="699847BD"/>
    <w:rsid w:val="69999BE3"/>
    <w:rsid w:val="69A0DF6E"/>
    <w:rsid w:val="69B0412A"/>
    <w:rsid w:val="69C80026"/>
    <w:rsid w:val="69CA28F5"/>
    <w:rsid w:val="69CA4CB9"/>
    <w:rsid w:val="69CAB607"/>
    <w:rsid w:val="69D1F822"/>
    <w:rsid w:val="69D55078"/>
    <w:rsid w:val="69E2F39C"/>
    <w:rsid w:val="69F10B11"/>
    <w:rsid w:val="69F69A46"/>
    <w:rsid w:val="6A04DABA"/>
    <w:rsid w:val="6A0563C3"/>
    <w:rsid w:val="6A05B39E"/>
    <w:rsid w:val="6A095CFB"/>
    <w:rsid w:val="6A169020"/>
    <w:rsid w:val="6A176D31"/>
    <w:rsid w:val="6A1A4F3B"/>
    <w:rsid w:val="6A28ABD2"/>
    <w:rsid w:val="6A2A88A5"/>
    <w:rsid w:val="6A3B4230"/>
    <w:rsid w:val="6A45412B"/>
    <w:rsid w:val="6A459E0A"/>
    <w:rsid w:val="6A4A828F"/>
    <w:rsid w:val="6A52A110"/>
    <w:rsid w:val="6A52F8EF"/>
    <w:rsid w:val="6A53125C"/>
    <w:rsid w:val="6A575D90"/>
    <w:rsid w:val="6A5ADD05"/>
    <w:rsid w:val="6A70739D"/>
    <w:rsid w:val="6A71BF29"/>
    <w:rsid w:val="6A78959D"/>
    <w:rsid w:val="6A7A1AC8"/>
    <w:rsid w:val="6A7D933D"/>
    <w:rsid w:val="6A845233"/>
    <w:rsid w:val="6A90FD87"/>
    <w:rsid w:val="6A926EED"/>
    <w:rsid w:val="6A95585D"/>
    <w:rsid w:val="6A9F5C70"/>
    <w:rsid w:val="6AA6E707"/>
    <w:rsid w:val="6AA9818B"/>
    <w:rsid w:val="6AAD2B3C"/>
    <w:rsid w:val="6AB32D4D"/>
    <w:rsid w:val="6AB3AB5D"/>
    <w:rsid w:val="6AC8A31A"/>
    <w:rsid w:val="6AE399DC"/>
    <w:rsid w:val="6AE46B85"/>
    <w:rsid w:val="6AF06DF6"/>
    <w:rsid w:val="6B09981A"/>
    <w:rsid w:val="6B0B0C6E"/>
    <w:rsid w:val="6B0BE0E2"/>
    <w:rsid w:val="6B1B9B1F"/>
    <w:rsid w:val="6B1F4B7B"/>
    <w:rsid w:val="6B255CC0"/>
    <w:rsid w:val="6B3403CB"/>
    <w:rsid w:val="6B4DDE64"/>
    <w:rsid w:val="6B534418"/>
    <w:rsid w:val="6B6287E3"/>
    <w:rsid w:val="6B676CA3"/>
    <w:rsid w:val="6B75644D"/>
    <w:rsid w:val="6B7884B0"/>
    <w:rsid w:val="6B9BD30F"/>
    <w:rsid w:val="6B9E7A13"/>
    <w:rsid w:val="6B9FD339"/>
    <w:rsid w:val="6BA087DC"/>
    <w:rsid w:val="6BA7D457"/>
    <w:rsid w:val="6BAD54FD"/>
    <w:rsid w:val="6BB1E8F4"/>
    <w:rsid w:val="6BC62708"/>
    <w:rsid w:val="6BCBB87E"/>
    <w:rsid w:val="6BD14CFA"/>
    <w:rsid w:val="6BD5D036"/>
    <w:rsid w:val="6BD889F6"/>
    <w:rsid w:val="6BE25D94"/>
    <w:rsid w:val="6BE48C0A"/>
    <w:rsid w:val="6BE64FC9"/>
    <w:rsid w:val="6BEC84B6"/>
    <w:rsid w:val="6BEDCE7B"/>
    <w:rsid w:val="6BEE5D7D"/>
    <w:rsid w:val="6BF04383"/>
    <w:rsid w:val="6BF096AE"/>
    <w:rsid w:val="6BFFDDF8"/>
    <w:rsid w:val="6C0105E5"/>
    <w:rsid w:val="6C03CABE"/>
    <w:rsid w:val="6C0D3C81"/>
    <w:rsid w:val="6C150110"/>
    <w:rsid w:val="6C170FDA"/>
    <w:rsid w:val="6C177FCC"/>
    <w:rsid w:val="6C22BAE4"/>
    <w:rsid w:val="6C238FEA"/>
    <w:rsid w:val="6C31DB49"/>
    <w:rsid w:val="6C3294BB"/>
    <w:rsid w:val="6C378001"/>
    <w:rsid w:val="6C43BE55"/>
    <w:rsid w:val="6C43E738"/>
    <w:rsid w:val="6C43FAE5"/>
    <w:rsid w:val="6C4BB552"/>
    <w:rsid w:val="6C4D50AF"/>
    <w:rsid w:val="6C685F1C"/>
    <w:rsid w:val="6C707DA5"/>
    <w:rsid w:val="6C73081A"/>
    <w:rsid w:val="6C7A103E"/>
    <w:rsid w:val="6C7BDFA9"/>
    <w:rsid w:val="6C875CFB"/>
    <w:rsid w:val="6C889E8F"/>
    <w:rsid w:val="6C8CFFB9"/>
    <w:rsid w:val="6C8D57C3"/>
    <w:rsid w:val="6C8FB7E8"/>
    <w:rsid w:val="6C93CFA4"/>
    <w:rsid w:val="6C9AB5D0"/>
    <w:rsid w:val="6C9EF526"/>
    <w:rsid w:val="6CA1A00A"/>
    <w:rsid w:val="6CA1E5EC"/>
    <w:rsid w:val="6CA5A59B"/>
    <w:rsid w:val="6CA672F4"/>
    <w:rsid w:val="6CB3F503"/>
    <w:rsid w:val="6CB76B80"/>
    <w:rsid w:val="6CBB1818"/>
    <w:rsid w:val="6CBD25FF"/>
    <w:rsid w:val="6CC40A7D"/>
    <w:rsid w:val="6CC98E34"/>
    <w:rsid w:val="6CCB24FA"/>
    <w:rsid w:val="6CD8F1C2"/>
    <w:rsid w:val="6CD93E8B"/>
    <w:rsid w:val="6CDA6793"/>
    <w:rsid w:val="6CDC611C"/>
    <w:rsid w:val="6CDC90CA"/>
    <w:rsid w:val="6CF88EA3"/>
    <w:rsid w:val="6CF97812"/>
    <w:rsid w:val="6CFF4B0F"/>
    <w:rsid w:val="6D01A6BB"/>
    <w:rsid w:val="6D01AC59"/>
    <w:rsid w:val="6D2CC2F6"/>
    <w:rsid w:val="6D2E0182"/>
    <w:rsid w:val="6D39765B"/>
    <w:rsid w:val="6D3D29BE"/>
    <w:rsid w:val="6D488624"/>
    <w:rsid w:val="6D4E2CF5"/>
    <w:rsid w:val="6D515DA5"/>
    <w:rsid w:val="6D5834B5"/>
    <w:rsid w:val="6D597E94"/>
    <w:rsid w:val="6D5E2EB7"/>
    <w:rsid w:val="6D5FF273"/>
    <w:rsid w:val="6D60AA81"/>
    <w:rsid w:val="6D633FCA"/>
    <w:rsid w:val="6D6B093D"/>
    <w:rsid w:val="6D6F3985"/>
    <w:rsid w:val="6D7AA2B7"/>
    <w:rsid w:val="6D7F204D"/>
    <w:rsid w:val="6DAABB0D"/>
    <w:rsid w:val="6DAB9E5F"/>
    <w:rsid w:val="6DAE9FBD"/>
    <w:rsid w:val="6DB2E788"/>
    <w:rsid w:val="6DB9FE1C"/>
    <w:rsid w:val="6DC514F2"/>
    <w:rsid w:val="6DCB7C6C"/>
    <w:rsid w:val="6DD13CAA"/>
    <w:rsid w:val="6DD43C66"/>
    <w:rsid w:val="6DE08AD5"/>
    <w:rsid w:val="6DECC673"/>
    <w:rsid w:val="6DEED7F4"/>
    <w:rsid w:val="6DF00BCC"/>
    <w:rsid w:val="6DF32672"/>
    <w:rsid w:val="6E070B96"/>
    <w:rsid w:val="6E0B78A0"/>
    <w:rsid w:val="6E15103B"/>
    <w:rsid w:val="6E15675C"/>
    <w:rsid w:val="6E1612BC"/>
    <w:rsid w:val="6E19E7D0"/>
    <w:rsid w:val="6E1B4D86"/>
    <w:rsid w:val="6E1CAD3E"/>
    <w:rsid w:val="6E2196C8"/>
    <w:rsid w:val="6E336900"/>
    <w:rsid w:val="6E5DAE3E"/>
    <w:rsid w:val="6E80491D"/>
    <w:rsid w:val="6E97B65B"/>
    <w:rsid w:val="6E99E939"/>
    <w:rsid w:val="6E9CE341"/>
    <w:rsid w:val="6EB4EA84"/>
    <w:rsid w:val="6EB4FEB1"/>
    <w:rsid w:val="6EB501E5"/>
    <w:rsid w:val="6EB95F03"/>
    <w:rsid w:val="6EBA1DB9"/>
    <w:rsid w:val="6EDC65D9"/>
    <w:rsid w:val="6EE45685"/>
    <w:rsid w:val="6EEEFDB7"/>
    <w:rsid w:val="6EF2A1D2"/>
    <w:rsid w:val="6EF65CB4"/>
    <w:rsid w:val="6EF7B1A5"/>
    <w:rsid w:val="6EFF419F"/>
    <w:rsid w:val="6F080B8A"/>
    <w:rsid w:val="6F16AB0C"/>
    <w:rsid w:val="6F26F0A3"/>
    <w:rsid w:val="6F2B8792"/>
    <w:rsid w:val="6F32BD13"/>
    <w:rsid w:val="6F4B1041"/>
    <w:rsid w:val="6F54E1C7"/>
    <w:rsid w:val="6F588B7F"/>
    <w:rsid w:val="6F5A54B0"/>
    <w:rsid w:val="6F70EA7B"/>
    <w:rsid w:val="6F71E59A"/>
    <w:rsid w:val="6F71EC3B"/>
    <w:rsid w:val="6F76BC4F"/>
    <w:rsid w:val="6F7816C8"/>
    <w:rsid w:val="6F7C016C"/>
    <w:rsid w:val="6F7FAA40"/>
    <w:rsid w:val="6F9141B9"/>
    <w:rsid w:val="6F98DF08"/>
    <w:rsid w:val="6FB17886"/>
    <w:rsid w:val="6FB7E13D"/>
    <w:rsid w:val="6FB82108"/>
    <w:rsid w:val="6FC6374F"/>
    <w:rsid w:val="6FE62F36"/>
    <w:rsid w:val="6FEE3581"/>
    <w:rsid w:val="6FF2D47E"/>
    <w:rsid w:val="7003F475"/>
    <w:rsid w:val="700E7B85"/>
    <w:rsid w:val="701A50D9"/>
    <w:rsid w:val="701DFCDC"/>
    <w:rsid w:val="701FEC14"/>
    <w:rsid w:val="70260696"/>
    <w:rsid w:val="70263630"/>
    <w:rsid w:val="7028FBA4"/>
    <w:rsid w:val="7039C6C7"/>
    <w:rsid w:val="703DFCA9"/>
    <w:rsid w:val="70584BFA"/>
    <w:rsid w:val="705B4D56"/>
    <w:rsid w:val="706604E5"/>
    <w:rsid w:val="708026E6"/>
    <w:rsid w:val="7085FDAA"/>
    <w:rsid w:val="708E7233"/>
    <w:rsid w:val="7093E99C"/>
    <w:rsid w:val="7098CE0A"/>
    <w:rsid w:val="70B23307"/>
    <w:rsid w:val="70B3D0E2"/>
    <w:rsid w:val="70B4111A"/>
    <w:rsid w:val="70B9E838"/>
    <w:rsid w:val="70BDBFEF"/>
    <w:rsid w:val="70C94EE4"/>
    <w:rsid w:val="70CA86D8"/>
    <w:rsid w:val="70CC190B"/>
    <w:rsid w:val="70D3D753"/>
    <w:rsid w:val="70E61FB6"/>
    <w:rsid w:val="7106C58F"/>
    <w:rsid w:val="71071948"/>
    <w:rsid w:val="710AA59D"/>
    <w:rsid w:val="711E4D0C"/>
    <w:rsid w:val="71257146"/>
    <w:rsid w:val="713CCC97"/>
    <w:rsid w:val="713CF290"/>
    <w:rsid w:val="713F5C3D"/>
    <w:rsid w:val="713FA21A"/>
    <w:rsid w:val="714127B1"/>
    <w:rsid w:val="714FD812"/>
    <w:rsid w:val="7151A92B"/>
    <w:rsid w:val="71548E38"/>
    <w:rsid w:val="715B13C4"/>
    <w:rsid w:val="715D4F59"/>
    <w:rsid w:val="717B61F9"/>
    <w:rsid w:val="717D5775"/>
    <w:rsid w:val="717F780B"/>
    <w:rsid w:val="71838278"/>
    <w:rsid w:val="7185A091"/>
    <w:rsid w:val="718C879E"/>
    <w:rsid w:val="71934632"/>
    <w:rsid w:val="71A19A38"/>
    <w:rsid w:val="71A93162"/>
    <w:rsid w:val="71B1A960"/>
    <w:rsid w:val="71B59B5F"/>
    <w:rsid w:val="71BDB2E9"/>
    <w:rsid w:val="71C33D7E"/>
    <w:rsid w:val="71C8B901"/>
    <w:rsid w:val="71C9138A"/>
    <w:rsid w:val="71DA524E"/>
    <w:rsid w:val="71DECE22"/>
    <w:rsid w:val="71DF0F50"/>
    <w:rsid w:val="71E8F3C4"/>
    <w:rsid w:val="71F24C82"/>
    <w:rsid w:val="71F4E3D6"/>
    <w:rsid w:val="71FB1C81"/>
    <w:rsid w:val="71FB1DEC"/>
    <w:rsid w:val="720A9458"/>
    <w:rsid w:val="72110FAC"/>
    <w:rsid w:val="72168CE8"/>
    <w:rsid w:val="72188DC1"/>
    <w:rsid w:val="72244C68"/>
    <w:rsid w:val="724BB7D0"/>
    <w:rsid w:val="72544859"/>
    <w:rsid w:val="7256FF20"/>
    <w:rsid w:val="7257FD23"/>
    <w:rsid w:val="72635C3F"/>
    <w:rsid w:val="7265C53C"/>
    <w:rsid w:val="7270A11D"/>
    <w:rsid w:val="72777077"/>
    <w:rsid w:val="7278C037"/>
    <w:rsid w:val="727BA90B"/>
    <w:rsid w:val="72846B2A"/>
    <w:rsid w:val="7286B8D2"/>
    <w:rsid w:val="728E29BD"/>
    <w:rsid w:val="7295190A"/>
    <w:rsid w:val="729705B4"/>
    <w:rsid w:val="72976712"/>
    <w:rsid w:val="72A7513A"/>
    <w:rsid w:val="72AD0A2A"/>
    <w:rsid w:val="72B8249D"/>
    <w:rsid w:val="72CE1EB0"/>
    <w:rsid w:val="72CF66CF"/>
    <w:rsid w:val="72D27175"/>
    <w:rsid w:val="72DB43DF"/>
    <w:rsid w:val="72E7F510"/>
    <w:rsid w:val="72F53AE6"/>
    <w:rsid w:val="72F56DB7"/>
    <w:rsid w:val="72F8F2E7"/>
    <w:rsid w:val="730406A0"/>
    <w:rsid w:val="7304A8B0"/>
    <w:rsid w:val="730C3BFF"/>
    <w:rsid w:val="732254C0"/>
    <w:rsid w:val="7322D422"/>
    <w:rsid w:val="7324D3DA"/>
    <w:rsid w:val="73262A25"/>
    <w:rsid w:val="732D6683"/>
    <w:rsid w:val="732D8AFD"/>
    <w:rsid w:val="7334BE66"/>
    <w:rsid w:val="73352E00"/>
    <w:rsid w:val="733D205F"/>
    <w:rsid w:val="73527744"/>
    <w:rsid w:val="735F277B"/>
    <w:rsid w:val="7369C6C1"/>
    <w:rsid w:val="736DE312"/>
    <w:rsid w:val="737640CA"/>
    <w:rsid w:val="73818A8B"/>
    <w:rsid w:val="738A33A4"/>
    <w:rsid w:val="738F4150"/>
    <w:rsid w:val="7391BA0F"/>
    <w:rsid w:val="739558A3"/>
    <w:rsid w:val="73ACC7B8"/>
    <w:rsid w:val="73BC0975"/>
    <w:rsid w:val="73C612F5"/>
    <w:rsid w:val="73CB88E0"/>
    <w:rsid w:val="73D68317"/>
    <w:rsid w:val="73DDACB7"/>
    <w:rsid w:val="73E4700A"/>
    <w:rsid w:val="73EEFF99"/>
    <w:rsid w:val="73F53132"/>
    <w:rsid w:val="73FFB61E"/>
    <w:rsid w:val="740637BE"/>
    <w:rsid w:val="7408D199"/>
    <w:rsid w:val="74098072"/>
    <w:rsid w:val="74119A35"/>
    <w:rsid w:val="74177CBA"/>
    <w:rsid w:val="74194322"/>
    <w:rsid w:val="741CAD0C"/>
    <w:rsid w:val="7421BA95"/>
    <w:rsid w:val="742483A3"/>
    <w:rsid w:val="742B7C34"/>
    <w:rsid w:val="7431E5A3"/>
    <w:rsid w:val="7436A3FC"/>
    <w:rsid w:val="7437449D"/>
    <w:rsid w:val="7446A54B"/>
    <w:rsid w:val="744DC888"/>
    <w:rsid w:val="744DE642"/>
    <w:rsid w:val="74500BF4"/>
    <w:rsid w:val="745C9079"/>
    <w:rsid w:val="745FC661"/>
    <w:rsid w:val="74738930"/>
    <w:rsid w:val="7481AF97"/>
    <w:rsid w:val="748356DF"/>
    <w:rsid w:val="7487290D"/>
    <w:rsid w:val="749ED189"/>
    <w:rsid w:val="74A66263"/>
    <w:rsid w:val="74B0B37E"/>
    <w:rsid w:val="74B7185D"/>
    <w:rsid w:val="74C482C6"/>
    <w:rsid w:val="74D0DE27"/>
    <w:rsid w:val="74DB2595"/>
    <w:rsid w:val="74E267C2"/>
    <w:rsid w:val="74E415DF"/>
    <w:rsid w:val="74E60A13"/>
    <w:rsid w:val="74F67E96"/>
    <w:rsid w:val="74FBCF1D"/>
    <w:rsid w:val="75008923"/>
    <w:rsid w:val="75092B5A"/>
    <w:rsid w:val="7509F11F"/>
    <w:rsid w:val="750FB6F2"/>
    <w:rsid w:val="751B2FA7"/>
    <w:rsid w:val="751CAD98"/>
    <w:rsid w:val="751DB280"/>
    <w:rsid w:val="7523165B"/>
    <w:rsid w:val="752580F9"/>
    <w:rsid w:val="7527EA80"/>
    <w:rsid w:val="75390BE0"/>
    <w:rsid w:val="754C70CB"/>
    <w:rsid w:val="75709F06"/>
    <w:rsid w:val="7577739F"/>
    <w:rsid w:val="757785B7"/>
    <w:rsid w:val="757B3D07"/>
    <w:rsid w:val="757F4B7C"/>
    <w:rsid w:val="75866CB6"/>
    <w:rsid w:val="75868D02"/>
    <w:rsid w:val="75A8F8C9"/>
    <w:rsid w:val="75AC8F80"/>
    <w:rsid w:val="75B4AAAB"/>
    <w:rsid w:val="75CE78FE"/>
    <w:rsid w:val="75D0E0C6"/>
    <w:rsid w:val="75D868AA"/>
    <w:rsid w:val="75E5A926"/>
    <w:rsid w:val="75E78012"/>
    <w:rsid w:val="75EEA080"/>
    <w:rsid w:val="75F197AC"/>
    <w:rsid w:val="75FE9B41"/>
    <w:rsid w:val="76030AB6"/>
    <w:rsid w:val="760464B1"/>
    <w:rsid w:val="7611CAB3"/>
    <w:rsid w:val="7615FE2F"/>
    <w:rsid w:val="761E5120"/>
    <w:rsid w:val="762340F2"/>
    <w:rsid w:val="7626992A"/>
    <w:rsid w:val="762EF7BC"/>
    <w:rsid w:val="76336841"/>
    <w:rsid w:val="76431C2D"/>
    <w:rsid w:val="76457378"/>
    <w:rsid w:val="764ACA9A"/>
    <w:rsid w:val="765805A1"/>
    <w:rsid w:val="765BF900"/>
    <w:rsid w:val="765EDFCB"/>
    <w:rsid w:val="76820904"/>
    <w:rsid w:val="768B1AF8"/>
    <w:rsid w:val="768DF1ED"/>
    <w:rsid w:val="7699898F"/>
    <w:rsid w:val="76A3CF00"/>
    <w:rsid w:val="76A7AA68"/>
    <w:rsid w:val="76AD6539"/>
    <w:rsid w:val="76ADA9DA"/>
    <w:rsid w:val="76AF99CF"/>
    <w:rsid w:val="76B9DF1F"/>
    <w:rsid w:val="76CDD16C"/>
    <w:rsid w:val="76CF3578"/>
    <w:rsid w:val="76DF2A70"/>
    <w:rsid w:val="76E34504"/>
    <w:rsid w:val="76E6E447"/>
    <w:rsid w:val="76E75E70"/>
    <w:rsid w:val="76EBC13A"/>
    <w:rsid w:val="770210A9"/>
    <w:rsid w:val="77152540"/>
    <w:rsid w:val="77162881"/>
    <w:rsid w:val="77188275"/>
    <w:rsid w:val="7723E019"/>
    <w:rsid w:val="7734FBEC"/>
    <w:rsid w:val="77359D28"/>
    <w:rsid w:val="773648F5"/>
    <w:rsid w:val="773A8F54"/>
    <w:rsid w:val="773E8E2D"/>
    <w:rsid w:val="774486C5"/>
    <w:rsid w:val="7746E98F"/>
    <w:rsid w:val="775210B9"/>
    <w:rsid w:val="77528D58"/>
    <w:rsid w:val="7757F2A4"/>
    <w:rsid w:val="77712BF3"/>
    <w:rsid w:val="77781B43"/>
    <w:rsid w:val="777AC4D0"/>
    <w:rsid w:val="777C7C97"/>
    <w:rsid w:val="77851B62"/>
    <w:rsid w:val="7795844C"/>
    <w:rsid w:val="779C5654"/>
    <w:rsid w:val="77A1053D"/>
    <w:rsid w:val="77A81B98"/>
    <w:rsid w:val="77A8BC8A"/>
    <w:rsid w:val="77B03BBD"/>
    <w:rsid w:val="77BB5D10"/>
    <w:rsid w:val="77C71872"/>
    <w:rsid w:val="77D10B97"/>
    <w:rsid w:val="77ED014B"/>
    <w:rsid w:val="77FB83AF"/>
    <w:rsid w:val="78047545"/>
    <w:rsid w:val="78081F3C"/>
    <w:rsid w:val="780850BB"/>
    <w:rsid w:val="78116B0D"/>
    <w:rsid w:val="7814E6CE"/>
    <w:rsid w:val="781D8657"/>
    <w:rsid w:val="782E4C85"/>
    <w:rsid w:val="782F1235"/>
    <w:rsid w:val="78374B49"/>
    <w:rsid w:val="7838E64F"/>
    <w:rsid w:val="783C78FC"/>
    <w:rsid w:val="7841E1D6"/>
    <w:rsid w:val="7842538F"/>
    <w:rsid w:val="784CAB8E"/>
    <w:rsid w:val="784D0B63"/>
    <w:rsid w:val="784ECA4C"/>
    <w:rsid w:val="7850F34F"/>
    <w:rsid w:val="785E5B3A"/>
    <w:rsid w:val="785EF3CA"/>
    <w:rsid w:val="78626C58"/>
    <w:rsid w:val="7869ECD9"/>
    <w:rsid w:val="78702D92"/>
    <w:rsid w:val="7872793A"/>
    <w:rsid w:val="78751E8F"/>
    <w:rsid w:val="7875FC28"/>
    <w:rsid w:val="78789F5D"/>
    <w:rsid w:val="7878F730"/>
    <w:rsid w:val="7889E1D4"/>
    <w:rsid w:val="789703F6"/>
    <w:rsid w:val="789E7563"/>
    <w:rsid w:val="78A533A3"/>
    <w:rsid w:val="78A5CDA9"/>
    <w:rsid w:val="78AF2679"/>
    <w:rsid w:val="78B59225"/>
    <w:rsid w:val="78B775D2"/>
    <w:rsid w:val="78BE9A51"/>
    <w:rsid w:val="78DD4A6E"/>
    <w:rsid w:val="78E58D6C"/>
    <w:rsid w:val="78E82B56"/>
    <w:rsid w:val="78F9EEF0"/>
    <w:rsid w:val="79045A8E"/>
    <w:rsid w:val="79079403"/>
    <w:rsid w:val="790F33C2"/>
    <w:rsid w:val="7930E343"/>
    <w:rsid w:val="793CD59E"/>
    <w:rsid w:val="79446337"/>
    <w:rsid w:val="796ABA76"/>
    <w:rsid w:val="796B082F"/>
    <w:rsid w:val="796F877C"/>
    <w:rsid w:val="79710021"/>
    <w:rsid w:val="798044E5"/>
    <w:rsid w:val="798C1672"/>
    <w:rsid w:val="79B6586C"/>
    <w:rsid w:val="79BC6BB7"/>
    <w:rsid w:val="79BF289B"/>
    <w:rsid w:val="79C5B108"/>
    <w:rsid w:val="79CE7F46"/>
    <w:rsid w:val="79D491AA"/>
    <w:rsid w:val="79E34824"/>
    <w:rsid w:val="79EA9EC6"/>
    <w:rsid w:val="79EC2AE2"/>
    <w:rsid w:val="79F8E679"/>
    <w:rsid w:val="7A24DE1D"/>
    <w:rsid w:val="7A3C188F"/>
    <w:rsid w:val="7A3D197B"/>
    <w:rsid w:val="7A4421D5"/>
    <w:rsid w:val="7A5C972A"/>
    <w:rsid w:val="7A5F4851"/>
    <w:rsid w:val="7A628847"/>
    <w:rsid w:val="7A676DA3"/>
    <w:rsid w:val="7A6BF61F"/>
    <w:rsid w:val="7A7025C6"/>
    <w:rsid w:val="7A7D00A0"/>
    <w:rsid w:val="7A7E6DD5"/>
    <w:rsid w:val="7A92EDFE"/>
    <w:rsid w:val="7AA49495"/>
    <w:rsid w:val="7AA92461"/>
    <w:rsid w:val="7AAA3BA1"/>
    <w:rsid w:val="7AB0A4DA"/>
    <w:rsid w:val="7AB492C5"/>
    <w:rsid w:val="7AB9AD17"/>
    <w:rsid w:val="7AC18F4B"/>
    <w:rsid w:val="7AD0DB59"/>
    <w:rsid w:val="7AEA3A5F"/>
    <w:rsid w:val="7AEA91AD"/>
    <w:rsid w:val="7AEB73E7"/>
    <w:rsid w:val="7AF4D46B"/>
    <w:rsid w:val="7AF9508D"/>
    <w:rsid w:val="7AFC0445"/>
    <w:rsid w:val="7AFC4C48"/>
    <w:rsid w:val="7B10E985"/>
    <w:rsid w:val="7B2CEB17"/>
    <w:rsid w:val="7B326BDA"/>
    <w:rsid w:val="7B38D4A5"/>
    <w:rsid w:val="7B4445E4"/>
    <w:rsid w:val="7B49B585"/>
    <w:rsid w:val="7B4B2D0C"/>
    <w:rsid w:val="7B505681"/>
    <w:rsid w:val="7B59DB9F"/>
    <w:rsid w:val="7B5C7D23"/>
    <w:rsid w:val="7B6AC7F1"/>
    <w:rsid w:val="7B6E8031"/>
    <w:rsid w:val="7B706658"/>
    <w:rsid w:val="7B71DC95"/>
    <w:rsid w:val="7B74DFF2"/>
    <w:rsid w:val="7B7DB3B7"/>
    <w:rsid w:val="7B8897BD"/>
    <w:rsid w:val="7B8F3E7E"/>
    <w:rsid w:val="7B947B79"/>
    <w:rsid w:val="7B982D55"/>
    <w:rsid w:val="7BA1836F"/>
    <w:rsid w:val="7BA25F47"/>
    <w:rsid w:val="7BABE74C"/>
    <w:rsid w:val="7BAD9889"/>
    <w:rsid w:val="7BAFA234"/>
    <w:rsid w:val="7BB0063E"/>
    <w:rsid w:val="7BB347AF"/>
    <w:rsid w:val="7BB85A1C"/>
    <w:rsid w:val="7BBB20CC"/>
    <w:rsid w:val="7BBE24E0"/>
    <w:rsid w:val="7BC699EF"/>
    <w:rsid w:val="7BCAB658"/>
    <w:rsid w:val="7BCFA9D0"/>
    <w:rsid w:val="7BE2CCFA"/>
    <w:rsid w:val="7BEF40EF"/>
    <w:rsid w:val="7BFA838B"/>
    <w:rsid w:val="7C021049"/>
    <w:rsid w:val="7C081761"/>
    <w:rsid w:val="7C25DA1B"/>
    <w:rsid w:val="7C2ED91B"/>
    <w:rsid w:val="7C3627A0"/>
    <w:rsid w:val="7C41DD5E"/>
    <w:rsid w:val="7C491570"/>
    <w:rsid w:val="7C4CC6E8"/>
    <w:rsid w:val="7C4DDAC4"/>
    <w:rsid w:val="7C511FB8"/>
    <w:rsid w:val="7C54AD97"/>
    <w:rsid w:val="7C551E54"/>
    <w:rsid w:val="7C58AEE2"/>
    <w:rsid w:val="7C5A1B95"/>
    <w:rsid w:val="7C5E3D4E"/>
    <w:rsid w:val="7C662F60"/>
    <w:rsid w:val="7C6B86F0"/>
    <w:rsid w:val="7C6BA71E"/>
    <w:rsid w:val="7C77DC52"/>
    <w:rsid w:val="7C7EF344"/>
    <w:rsid w:val="7C92EEB0"/>
    <w:rsid w:val="7C93D0AA"/>
    <w:rsid w:val="7CA3C2E9"/>
    <w:rsid w:val="7CA8AA15"/>
    <w:rsid w:val="7CACA86E"/>
    <w:rsid w:val="7CB2E1FB"/>
    <w:rsid w:val="7CBA9ABE"/>
    <w:rsid w:val="7CBD1D36"/>
    <w:rsid w:val="7CC45551"/>
    <w:rsid w:val="7CCD184B"/>
    <w:rsid w:val="7CD09BED"/>
    <w:rsid w:val="7CD79D51"/>
    <w:rsid w:val="7CDF56E0"/>
    <w:rsid w:val="7CE1FEE2"/>
    <w:rsid w:val="7CE20C11"/>
    <w:rsid w:val="7CE5A97A"/>
    <w:rsid w:val="7CE76F5C"/>
    <w:rsid w:val="7D178B90"/>
    <w:rsid w:val="7D3A4E99"/>
    <w:rsid w:val="7D3C9C11"/>
    <w:rsid w:val="7D3CDF60"/>
    <w:rsid w:val="7D3E9C05"/>
    <w:rsid w:val="7D3F2442"/>
    <w:rsid w:val="7D436BE4"/>
    <w:rsid w:val="7D481920"/>
    <w:rsid w:val="7D55AD65"/>
    <w:rsid w:val="7D5AF78F"/>
    <w:rsid w:val="7D5D4732"/>
    <w:rsid w:val="7D6A8B1A"/>
    <w:rsid w:val="7D705D01"/>
    <w:rsid w:val="7D80B49F"/>
    <w:rsid w:val="7D84DBC3"/>
    <w:rsid w:val="7D90AA68"/>
    <w:rsid w:val="7DA0F97D"/>
    <w:rsid w:val="7DA71451"/>
    <w:rsid w:val="7DAD51D5"/>
    <w:rsid w:val="7DAF0714"/>
    <w:rsid w:val="7DB7AAFD"/>
    <w:rsid w:val="7DC16FE1"/>
    <w:rsid w:val="7DC7F12B"/>
    <w:rsid w:val="7DD9D531"/>
    <w:rsid w:val="7DE44B7D"/>
    <w:rsid w:val="7DECA141"/>
    <w:rsid w:val="7DED804A"/>
    <w:rsid w:val="7DF528EA"/>
    <w:rsid w:val="7E06A8A7"/>
    <w:rsid w:val="7E081A83"/>
    <w:rsid w:val="7E1B4FAD"/>
    <w:rsid w:val="7E1CD9D0"/>
    <w:rsid w:val="7E1F2BF5"/>
    <w:rsid w:val="7E2785D8"/>
    <w:rsid w:val="7E2C122E"/>
    <w:rsid w:val="7E356956"/>
    <w:rsid w:val="7E3BF5FD"/>
    <w:rsid w:val="7E478CDF"/>
    <w:rsid w:val="7E4C4849"/>
    <w:rsid w:val="7E4F7AB3"/>
    <w:rsid w:val="7E5BA40D"/>
    <w:rsid w:val="7E67A6F1"/>
    <w:rsid w:val="7E6B20BA"/>
    <w:rsid w:val="7E6CC594"/>
    <w:rsid w:val="7E71E5FE"/>
    <w:rsid w:val="7E7498D2"/>
    <w:rsid w:val="7E7B28C3"/>
    <w:rsid w:val="7E84CC77"/>
    <w:rsid w:val="7E87B66B"/>
    <w:rsid w:val="7E94974A"/>
    <w:rsid w:val="7E9D84E1"/>
    <w:rsid w:val="7E9DFED3"/>
    <w:rsid w:val="7EA43A30"/>
    <w:rsid w:val="7EB1BC83"/>
    <w:rsid w:val="7EB2D63B"/>
    <w:rsid w:val="7EB7E81C"/>
    <w:rsid w:val="7EBC07B7"/>
    <w:rsid w:val="7EBEC19C"/>
    <w:rsid w:val="7EC5A2E8"/>
    <w:rsid w:val="7EE142B7"/>
    <w:rsid w:val="7EF22BDB"/>
    <w:rsid w:val="7EF6EC3A"/>
    <w:rsid w:val="7F0F70B6"/>
    <w:rsid w:val="7F12C69B"/>
    <w:rsid w:val="7F16D79C"/>
    <w:rsid w:val="7F267742"/>
    <w:rsid w:val="7F2A60C0"/>
    <w:rsid w:val="7F2E364F"/>
    <w:rsid w:val="7F34049F"/>
    <w:rsid w:val="7F365033"/>
    <w:rsid w:val="7F373730"/>
    <w:rsid w:val="7F3A5BA1"/>
    <w:rsid w:val="7F5D073F"/>
    <w:rsid w:val="7F645B7E"/>
    <w:rsid w:val="7F64FC3E"/>
    <w:rsid w:val="7F6B8193"/>
    <w:rsid w:val="7F6FFCF6"/>
    <w:rsid w:val="7F75EE05"/>
    <w:rsid w:val="7F84EDDD"/>
    <w:rsid w:val="7F85010B"/>
    <w:rsid w:val="7F8D5338"/>
    <w:rsid w:val="7FA27A6A"/>
    <w:rsid w:val="7FA84A34"/>
    <w:rsid w:val="7FAA7772"/>
    <w:rsid w:val="7FB2941C"/>
    <w:rsid w:val="7FBC44D1"/>
    <w:rsid w:val="7FD2D9CD"/>
    <w:rsid w:val="7FD3903E"/>
    <w:rsid w:val="7FD4F811"/>
    <w:rsid w:val="7FD94D94"/>
    <w:rsid w:val="7FDB0954"/>
    <w:rsid w:val="7FDD5D90"/>
    <w:rsid w:val="7FE01D6A"/>
    <w:rsid w:val="7FE07866"/>
    <w:rsid w:val="7FEC87AE"/>
    <w:rsid w:val="7FF0775E"/>
    <w:rsid w:val="7FFEB19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9E9CB0"/>
  <w15:docId w15:val="{1C9526FF-4A32-40A3-A8E3-73C370863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ES_tradnl"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0459"/>
    <w:pPr>
      <w:spacing w:after="0" w:line="240" w:lineRule="auto"/>
    </w:pPr>
    <w:rPr>
      <w:rFonts w:ascii="Times New Roman" w:eastAsia="Times New Roman" w:hAnsi="Times New Roman" w:cs="Times New Roman"/>
      <w:sz w:val="24"/>
      <w:szCs w:val="24"/>
      <w:lang w:val="es-CO" w:eastAsia="es-MX"/>
    </w:rPr>
  </w:style>
  <w:style w:type="paragraph" w:styleId="Ttulo1">
    <w:name w:val="heading 1"/>
    <w:basedOn w:val="Normal"/>
    <w:next w:val="Normal"/>
    <w:uiPriority w:val="9"/>
    <w:qFormat/>
    <w:rsid w:val="001D377D"/>
    <w:pPr>
      <w:keepNext/>
      <w:keepLines/>
      <w:spacing w:before="480" w:after="120"/>
      <w:outlineLvl w:val="0"/>
    </w:pPr>
    <w:rPr>
      <w:rFonts w:ascii="Geomanist Bold" w:hAnsi="Geomanist Bold"/>
      <w:b/>
      <w:color w:val="002060"/>
      <w:sz w:val="22"/>
      <w:szCs w:val="48"/>
    </w:rPr>
  </w:style>
  <w:style w:type="paragraph" w:styleId="Ttulo2">
    <w:name w:val="heading 2"/>
    <w:basedOn w:val="Normal"/>
    <w:next w:val="Normal"/>
    <w:uiPriority w:val="9"/>
    <w:unhideWhenUsed/>
    <w:qFormat/>
    <w:rsid w:val="0000709B"/>
    <w:pPr>
      <w:keepNext/>
      <w:keepLines/>
      <w:spacing w:before="360" w:after="80"/>
      <w:outlineLvl w:val="1"/>
    </w:pPr>
    <w:rPr>
      <w:rFonts w:ascii="Geomanist Light" w:hAnsi="Geomanist Light"/>
      <w:b/>
      <w:color w:val="002060"/>
      <w:sz w:val="22"/>
      <w:szCs w:val="36"/>
    </w:rPr>
  </w:style>
  <w:style w:type="paragraph" w:styleId="Ttulo3">
    <w:name w:val="heading 3"/>
    <w:basedOn w:val="Normal"/>
    <w:next w:val="Normal"/>
    <w:uiPriority w:val="9"/>
    <w:unhideWhenUsed/>
    <w:qFormat/>
    <w:rsid w:val="009759C7"/>
    <w:pPr>
      <w:keepNext/>
      <w:keepLines/>
      <w:spacing w:before="280" w:after="80"/>
      <w:outlineLvl w:val="2"/>
    </w:pPr>
    <w:rPr>
      <w:rFonts w:ascii="Geomanist Light" w:hAnsi="Geomanist Light"/>
      <w:b/>
      <w:i/>
      <w:color w:val="002060"/>
      <w:sz w:val="22"/>
      <w:szCs w:val="28"/>
    </w:rPr>
  </w:style>
  <w:style w:type="paragraph" w:styleId="Ttulo4">
    <w:name w:val="heading 4"/>
    <w:basedOn w:val="Normal"/>
    <w:next w:val="Normal"/>
    <w:uiPriority w:val="9"/>
    <w:unhideWhenUsed/>
    <w:qFormat/>
    <w:rsid w:val="00AE1C08"/>
    <w:pPr>
      <w:keepNext/>
      <w:keepLines/>
      <w:spacing w:before="240" w:after="40"/>
      <w:jc w:val="both"/>
      <w:outlineLvl w:val="3"/>
    </w:pPr>
    <w:rPr>
      <w:rFonts w:ascii="Geomanist Light" w:hAnsi="Geomanist Light"/>
      <w:b/>
      <w:i/>
      <w:color w:val="002060"/>
      <w:sz w:val="22"/>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uiPriority w:val="10"/>
    <w:qFormat/>
    <w:pPr>
      <w:keepNext/>
      <w:keepLines/>
      <w:spacing w:before="480" w:after="120"/>
    </w:pPr>
    <w:rPr>
      <w:b/>
      <w:sz w:val="72"/>
      <w:szCs w:val="72"/>
    </w:rPr>
  </w:style>
  <w:style w:type="paragraph" w:customStyle="1" w:styleId="Normal0">
    <w:name w:val="Normal0"/>
    <w:qFormat/>
    <w:rsid w:val="001D377D"/>
    <w:pPr>
      <w:spacing w:line="240" w:lineRule="auto"/>
      <w:jc w:val="both"/>
    </w:pPr>
    <w:rPr>
      <w:rFonts w:ascii="Geomanist Light" w:hAnsi="Geomanist Light"/>
      <w:lang w:val="es-ES"/>
    </w:rPr>
  </w:style>
  <w:style w:type="table" w:customStyle="1" w:styleId="NormalTable0">
    <w:name w:val="Normal Table0"/>
    <w:uiPriority w:val="99"/>
    <w:semiHidden/>
    <w:unhideWhenUsed/>
    <w:tblPr>
      <w:tblInd w:w="0" w:type="dxa"/>
      <w:tblCellMar>
        <w:top w:w="0" w:type="dxa"/>
        <w:left w:w="108" w:type="dxa"/>
        <w:bottom w:w="0" w:type="dxa"/>
        <w:right w:w="108" w:type="dxa"/>
      </w:tblCellMar>
    </w:tblPr>
  </w:style>
  <w:style w:type="paragraph" w:styleId="Encabezado">
    <w:name w:val="header"/>
    <w:aliases w:val="h,h8,h9,h10,h18"/>
    <w:basedOn w:val="Normal0"/>
    <w:link w:val="EncabezadoCar"/>
    <w:uiPriority w:val="99"/>
    <w:rsid w:val="009034B7"/>
    <w:pPr>
      <w:tabs>
        <w:tab w:val="center" w:pos="4419"/>
        <w:tab w:val="right" w:pos="8838"/>
      </w:tabs>
      <w:spacing w:after="0"/>
    </w:pPr>
    <w:rPr>
      <w:rFonts w:ascii="Times New Roman" w:eastAsia="MS Mincho" w:hAnsi="Times New Roman" w:cs="Times New Roman"/>
      <w:sz w:val="24"/>
      <w:szCs w:val="24"/>
      <w:lang w:val="es-CO"/>
    </w:rPr>
  </w:style>
  <w:style w:type="character" w:customStyle="1" w:styleId="EncabezadoCar">
    <w:name w:val="Encabezado Car"/>
    <w:aliases w:val="h Car,h8 Car,h9 Car,h10 Car,h18 Car"/>
    <w:basedOn w:val="Fuentedeprrafopredeter"/>
    <w:link w:val="Encabezado"/>
    <w:uiPriority w:val="99"/>
    <w:rsid w:val="009034B7"/>
    <w:rPr>
      <w:rFonts w:ascii="Times New Roman" w:eastAsia="MS Mincho" w:hAnsi="Times New Roman" w:cs="Times New Roman"/>
      <w:sz w:val="24"/>
      <w:szCs w:val="24"/>
      <w:lang w:val="es-CO"/>
    </w:rPr>
  </w:style>
  <w:style w:type="paragraph" w:styleId="Piedepgina">
    <w:name w:val="footer"/>
    <w:basedOn w:val="Normal0"/>
    <w:link w:val="PiedepginaCar"/>
    <w:uiPriority w:val="99"/>
    <w:rsid w:val="009034B7"/>
    <w:pPr>
      <w:tabs>
        <w:tab w:val="center" w:pos="4419"/>
        <w:tab w:val="right" w:pos="8838"/>
      </w:tabs>
      <w:spacing w:after="0"/>
    </w:pPr>
    <w:rPr>
      <w:rFonts w:ascii="Times New Roman" w:eastAsia="MS Mincho" w:hAnsi="Times New Roman" w:cs="Times New Roman"/>
      <w:sz w:val="24"/>
      <w:szCs w:val="24"/>
      <w:lang w:val="es-CO"/>
    </w:rPr>
  </w:style>
  <w:style w:type="character" w:customStyle="1" w:styleId="PiedepginaCar">
    <w:name w:val="Pie de página Car"/>
    <w:basedOn w:val="Fuentedeprrafopredeter"/>
    <w:link w:val="Piedepgina"/>
    <w:uiPriority w:val="99"/>
    <w:rsid w:val="009034B7"/>
    <w:rPr>
      <w:rFonts w:ascii="Times New Roman" w:eastAsia="MS Mincho" w:hAnsi="Times New Roman" w:cs="Times New Roman"/>
      <w:sz w:val="24"/>
      <w:szCs w:val="24"/>
      <w:lang w:val="es-CO"/>
    </w:rPr>
  </w:style>
  <w:style w:type="paragraph" w:styleId="Sinespaciado">
    <w:name w:val="No Spacing"/>
    <w:aliases w:val="Encabezado CCE"/>
    <w:link w:val="SinespaciadoCar"/>
    <w:uiPriority w:val="1"/>
    <w:qFormat/>
    <w:rsid w:val="009034B7"/>
    <w:pPr>
      <w:spacing w:after="0" w:line="240" w:lineRule="auto"/>
    </w:pPr>
    <w:rPr>
      <w:rFonts w:ascii="Times New Roman" w:eastAsia="MS Mincho" w:hAnsi="Times New Roman" w:cs="Times New Roman"/>
      <w:sz w:val="24"/>
      <w:szCs w:val="24"/>
    </w:rPr>
  </w:style>
  <w:style w:type="paragraph" w:customStyle="1" w:styleId="Normal11pt">
    <w:name w:val="Normal + 11 pt"/>
    <w:aliases w:val="Negro,Justificado,Izquierda:  -0,95 cm,Derecha:  0,04 cm"/>
    <w:basedOn w:val="Normal0"/>
    <w:rsid w:val="009034B7"/>
    <w:pPr>
      <w:spacing w:after="0"/>
      <w:ind w:left="-540"/>
    </w:pPr>
    <w:rPr>
      <w:rFonts w:ascii="Arial" w:eastAsia="Times New Roman" w:hAnsi="Arial" w:cs="Arial"/>
      <w:color w:val="000000"/>
      <w:lang w:val="es-ES_tradnl" w:eastAsia="es-ES"/>
    </w:rPr>
  </w:style>
  <w:style w:type="paragraph" w:styleId="Textonotapie">
    <w:name w:val="footnote text"/>
    <w:aliases w:val="Footnote Text Char Char Char Char Char,Footnote Text Char Char Char Char,Ref. de nota al pie1,FA Fu,texto de nota al pie,Footnote Text Char Char Char,Footnote Text Char,Car Car,Footnote reference,Car,ft Car, Car,Nota a pie/Bibliog,ft,Car1"/>
    <w:basedOn w:val="Normal0"/>
    <w:link w:val="TextonotapieCar"/>
    <w:uiPriority w:val="99"/>
    <w:unhideWhenUsed/>
    <w:qFormat/>
    <w:rsid w:val="009034B7"/>
    <w:pPr>
      <w:spacing w:after="0"/>
    </w:pPr>
    <w:rPr>
      <w:rFonts w:ascii="Times New Roman" w:eastAsia="MS Mincho" w:hAnsi="Times New Roman" w:cs="Times New Roman"/>
      <w:sz w:val="20"/>
      <w:szCs w:val="20"/>
      <w:lang w:val="es-CO"/>
    </w:rPr>
  </w:style>
  <w:style w:type="character" w:customStyle="1" w:styleId="TextonotapieCar">
    <w:name w:val="Texto nota pie Car"/>
    <w:aliases w:val="Footnote Text Char Char Char Char Char Car,Footnote Text Char Char Char Char Car,Ref. de nota al pie1 Car,FA Fu Car,texto de nota al pie Car,Footnote Text Char Char Char Car,Footnote Text Char Car,Car Car Car,Footnote reference Car"/>
    <w:basedOn w:val="Fuentedeprrafopredeter"/>
    <w:link w:val="Textonotapie"/>
    <w:uiPriority w:val="99"/>
    <w:qFormat/>
    <w:rsid w:val="009034B7"/>
    <w:rPr>
      <w:rFonts w:ascii="Times New Roman" w:eastAsia="MS Mincho" w:hAnsi="Times New Roman" w:cs="Times New Roman"/>
      <w:sz w:val="20"/>
      <w:szCs w:val="20"/>
      <w:lang w:val="es-CO"/>
    </w:rPr>
  </w:style>
  <w:style w:type="character" w:styleId="Refdenotaalpie">
    <w:name w:val="footnote reference"/>
    <w:aliases w:val="referencia nota al pie,Texto de nota al pie,Nota de pie,Texto nota al pie,Appel note de bas de page,Footnotes refss,Ref. de nota al pie2,Massilia Footnote Reference,Pie de pagina,Ref. de nota al pie 2,Footnote number,BVI fnr,f,16 Poi"/>
    <w:link w:val="Appelnotedebasde"/>
    <w:uiPriority w:val="99"/>
    <w:unhideWhenUsed/>
    <w:qFormat/>
    <w:rsid w:val="009034B7"/>
    <w:rPr>
      <w:vertAlign w:val="superscript"/>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List Paragraph1,Foot,H"/>
    <w:basedOn w:val="Normal0"/>
    <w:link w:val="PrrafodelistaCar"/>
    <w:uiPriority w:val="34"/>
    <w:qFormat/>
    <w:rsid w:val="009034B7"/>
    <w:pPr>
      <w:ind w:left="720"/>
      <w:contextualSpacing/>
    </w:pPr>
    <w:rPr>
      <w:rFonts w:cs="Times New Roman"/>
      <w:lang w:val="es-CO"/>
    </w:rPr>
  </w:style>
  <w:style w:type="paragraph" w:styleId="NormalWeb">
    <w:name w:val="Normal (Web)"/>
    <w:basedOn w:val="Normal0"/>
    <w:uiPriority w:val="99"/>
    <w:unhideWhenUsed/>
    <w:rsid w:val="009034B7"/>
    <w:pPr>
      <w:spacing w:before="100" w:beforeAutospacing="1" w:after="100" w:afterAutospacing="1"/>
    </w:pPr>
    <w:rPr>
      <w:rFonts w:ascii="Times New Roman" w:eastAsia="Times New Roman" w:hAnsi="Times New Roman" w:cs="Times New Roman"/>
      <w:sz w:val="24"/>
      <w:szCs w:val="24"/>
      <w:lang w:val="es-CO"/>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rsid w:val="009034B7"/>
    <w:rPr>
      <w:rFonts w:ascii="Calibri" w:eastAsia="Calibri" w:hAnsi="Calibri" w:cs="Times New Roman"/>
    </w:rPr>
  </w:style>
  <w:style w:type="character" w:styleId="Refdecomentario">
    <w:name w:val="annotation reference"/>
    <w:basedOn w:val="Fuentedeprrafopredeter"/>
    <w:uiPriority w:val="99"/>
    <w:unhideWhenUsed/>
    <w:rPr>
      <w:sz w:val="16"/>
      <w:szCs w:val="16"/>
    </w:r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sid w:val="009034B7"/>
    <w:rPr>
      <w:rFonts w:ascii="Times New Roman" w:eastAsia="Times New Roman" w:hAnsi="Times New Roman" w:cs="Times New Roman"/>
      <w:sz w:val="20"/>
      <w:szCs w:val="20"/>
      <w:lang w:val="es-CO" w:eastAsia="es-MX"/>
    </w:rPr>
  </w:style>
  <w:style w:type="character" w:styleId="Hipervnculo">
    <w:name w:val="Hyperlink"/>
    <w:basedOn w:val="Fuentedeprrafopredeter"/>
    <w:uiPriority w:val="99"/>
    <w:unhideWhenUsed/>
    <w:qFormat/>
    <w:rsid w:val="009034B7"/>
    <w:rPr>
      <w:color w:val="0000FF"/>
      <w:u w:val="single"/>
    </w:rPr>
  </w:style>
  <w:style w:type="paragraph" w:styleId="Textodeglobo">
    <w:name w:val="Balloon Text"/>
    <w:basedOn w:val="Normal0"/>
    <w:link w:val="TextodegloboCar"/>
    <w:uiPriority w:val="99"/>
    <w:semiHidden/>
    <w:unhideWhenUsed/>
    <w:rsid w:val="009034B7"/>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034B7"/>
    <w:rPr>
      <w:rFonts w:ascii="Segoe UI" w:hAnsi="Segoe UI" w:cs="Segoe UI"/>
      <w:sz w:val="18"/>
      <w:szCs w:val="18"/>
      <w:lang w:val="es-ES"/>
    </w:rPr>
  </w:style>
  <w:style w:type="paragraph" w:styleId="Asuntodelcomentario">
    <w:name w:val="annotation subject"/>
    <w:basedOn w:val="Textocomentario"/>
    <w:next w:val="Textocomentario"/>
    <w:link w:val="AsuntodelcomentarioCar"/>
    <w:uiPriority w:val="99"/>
    <w:semiHidden/>
    <w:unhideWhenUsed/>
    <w:rsid w:val="00C812AE"/>
    <w:pPr>
      <w:spacing w:after="160"/>
      <w:jc w:val="both"/>
    </w:pPr>
    <w:rPr>
      <w:rFonts w:ascii="Geomanist Light" w:eastAsia="Calibri" w:hAnsi="Geomanist Light" w:cs="Calibri"/>
      <w:b/>
      <w:bCs/>
      <w:lang w:val="es-ES" w:eastAsia="es-CO"/>
    </w:rPr>
  </w:style>
  <w:style w:type="character" w:customStyle="1" w:styleId="AsuntodelcomentarioCar">
    <w:name w:val="Asunto del comentario Car"/>
    <w:basedOn w:val="TextocomentarioCar"/>
    <w:link w:val="Asuntodelcomentario"/>
    <w:uiPriority w:val="99"/>
    <w:semiHidden/>
    <w:rsid w:val="00C812AE"/>
    <w:rPr>
      <w:rFonts w:ascii="Geomanist Light" w:eastAsia="Times New Roman" w:hAnsi="Geomanist Light" w:cs="Times New Roman"/>
      <w:b/>
      <w:bCs/>
      <w:sz w:val="20"/>
      <w:szCs w:val="20"/>
      <w:lang w:val="es-ES" w:eastAsia="es-MX"/>
    </w:rPr>
  </w:style>
  <w:style w:type="table" w:styleId="Tablaconcuadrcula">
    <w:name w:val="Table Grid"/>
    <w:basedOn w:val="NormalTable0"/>
    <w:uiPriority w:val="39"/>
    <w:rsid w:val="00A23A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nfasis21">
    <w:name w:val="Tabla con cuadrícula 2 - Énfasis 21"/>
    <w:basedOn w:val="NormalTable0"/>
    <w:uiPriority w:val="47"/>
    <w:rsid w:val="00B8091C"/>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lista3-nfasis31">
    <w:name w:val="Tabla de lista 3 - Énfasis 31"/>
    <w:basedOn w:val="NormalTable0"/>
    <w:uiPriority w:val="48"/>
    <w:rsid w:val="002D7398"/>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5oscura-nfasis31">
    <w:name w:val="Tabla con cuadrícula 5 oscura - Énfasis 31"/>
    <w:basedOn w:val="NormalTable0"/>
    <w:uiPriority w:val="50"/>
    <w:rsid w:val="006736D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4-nfasis31">
    <w:name w:val="Tabla con cuadrícula 4 - Énfasis 31"/>
    <w:basedOn w:val="NormalTable0"/>
    <w:uiPriority w:val="49"/>
    <w:rsid w:val="006736D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textrun">
    <w:name w:val="textrun"/>
    <w:basedOn w:val="Fuentedeprrafopredeter"/>
    <w:rsid w:val="00D3692F"/>
  </w:style>
  <w:style w:type="character" w:customStyle="1" w:styleId="normaltextrun">
    <w:name w:val="normaltextrun"/>
    <w:basedOn w:val="Fuentedeprrafopredeter"/>
    <w:rsid w:val="00D3692F"/>
  </w:style>
  <w:style w:type="character" w:customStyle="1" w:styleId="eop">
    <w:name w:val="eop"/>
    <w:basedOn w:val="Fuentedeprrafopredeter"/>
    <w:rsid w:val="00D3692F"/>
  </w:style>
  <w:style w:type="table" w:customStyle="1" w:styleId="Tablaconcuadrcula1">
    <w:name w:val="Tabla con cuadrícula1"/>
    <w:basedOn w:val="NormalTable0"/>
    <w:uiPriority w:val="59"/>
    <w:rsid w:val="002F1C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AB382B"/>
    <w:rPr>
      <w:color w:val="605E5C"/>
      <w:shd w:val="clear" w:color="auto" w:fill="E1DFDD"/>
    </w:rPr>
  </w:style>
  <w:style w:type="paragraph" w:styleId="Sangradetextonormal">
    <w:name w:val="Body Text Indent"/>
    <w:basedOn w:val="Normal0"/>
    <w:link w:val="SangradetextonormalCar"/>
    <w:uiPriority w:val="99"/>
    <w:semiHidden/>
    <w:unhideWhenUsed/>
    <w:rsid w:val="00407523"/>
    <w:pPr>
      <w:spacing w:before="100" w:beforeAutospacing="1" w:after="100" w:afterAutospacing="1"/>
    </w:pPr>
    <w:rPr>
      <w:rFonts w:ascii="Times New Roman" w:eastAsia="Times New Roman" w:hAnsi="Times New Roman" w:cs="Times New Roman"/>
      <w:sz w:val="24"/>
      <w:szCs w:val="24"/>
      <w:lang w:val="es-CO"/>
    </w:rPr>
  </w:style>
  <w:style w:type="character" w:customStyle="1" w:styleId="SangradetextonormalCar">
    <w:name w:val="Sangría de texto normal Car"/>
    <w:basedOn w:val="Fuentedeprrafopredeter"/>
    <w:link w:val="Sangradetextonormal"/>
    <w:uiPriority w:val="99"/>
    <w:semiHidden/>
    <w:rsid w:val="00407523"/>
    <w:rPr>
      <w:rFonts w:ascii="Times New Roman" w:eastAsia="Times New Roman" w:hAnsi="Times New Roman" w:cs="Times New Roman"/>
      <w:sz w:val="24"/>
      <w:szCs w:val="24"/>
      <w:lang w:val="es-CO"/>
    </w:rPr>
  </w:style>
  <w:style w:type="table" w:customStyle="1" w:styleId="Tablaconcuadrcula11">
    <w:name w:val="Tabla con cuadrícula11"/>
    <w:basedOn w:val="NormalTable0"/>
    <w:next w:val="Tablaconcuadrcula"/>
    <w:uiPriority w:val="59"/>
    <w:rsid w:val="00563DA4"/>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DF09F1"/>
    <w:rPr>
      <w:color w:val="954F72" w:themeColor="followedHyperlink"/>
      <w:u w:val="single"/>
    </w:rPr>
  </w:style>
  <w:style w:type="paragraph" w:styleId="Subttulo">
    <w:name w:val="Subtitle"/>
    <w:basedOn w:val="Normal0"/>
    <w:next w:val="Normal0"/>
    <w:uiPriority w:val="11"/>
    <w:qFormat/>
    <w:pPr>
      <w:keepNext/>
      <w:keepLines/>
      <w:spacing w:before="360" w:after="80"/>
    </w:pPr>
    <w:rPr>
      <w:rFonts w:ascii="Georgia" w:eastAsia="Georgia" w:hAnsi="Georgia" w:cs="Georgia"/>
      <w:i/>
      <w:color w:val="666666"/>
      <w:sz w:val="48"/>
      <w:szCs w:val="48"/>
    </w:rPr>
  </w:style>
  <w:style w:type="table" w:customStyle="1" w:styleId="3">
    <w:name w:val="3"/>
    <w:basedOn w:val="Tablanormal"/>
    <w:tblPr>
      <w:tblStyleRowBandSize w:val="1"/>
      <w:tblStyleColBandSize w:val="1"/>
      <w:tblCellMar>
        <w:left w:w="70" w:type="dxa"/>
        <w:right w:w="70" w:type="dxa"/>
      </w:tblCellMar>
    </w:tblPr>
  </w:style>
  <w:style w:type="table" w:customStyle="1" w:styleId="2">
    <w:name w:val="2"/>
    <w:basedOn w:val="Tablanormal"/>
    <w:pPr>
      <w:spacing w:after="0" w:line="240" w:lineRule="auto"/>
    </w:pPr>
    <w:tblPr>
      <w:tblStyleRowBandSize w:val="1"/>
      <w:tblStyleColBandSize w:val="1"/>
    </w:tblPr>
    <w:tcPr>
      <w:shd w:val="clear" w:color="auto" w:fill="EDEDED"/>
    </w:tcPr>
  </w:style>
  <w:style w:type="table" w:customStyle="1" w:styleId="1">
    <w:name w:val="1"/>
    <w:basedOn w:val="Tablanormal"/>
    <w:pPr>
      <w:spacing w:after="0" w:line="240" w:lineRule="auto"/>
    </w:pPr>
    <w:tblPr>
      <w:tblStyleRowBandSize w:val="1"/>
      <w:tblStyleColBandSize w:val="1"/>
    </w:tblPr>
    <w:tcPr>
      <w:shd w:val="clear" w:color="auto" w:fill="EDEDED"/>
    </w:tcPr>
  </w:style>
  <w:style w:type="character" w:customStyle="1" w:styleId="baj">
    <w:name w:val="b_aj"/>
    <w:basedOn w:val="Fuentedeprrafopredeter"/>
    <w:rsid w:val="009212FF"/>
  </w:style>
  <w:style w:type="paragraph" w:styleId="Revisin">
    <w:name w:val="Revision"/>
    <w:hidden/>
    <w:uiPriority w:val="99"/>
    <w:semiHidden/>
    <w:rsid w:val="00B10053"/>
    <w:pPr>
      <w:spacing w:after="0" w:line="240" w:lineRule="auto"/>
    </w:pPr>
    <w:rPr>
      <w:rFonts w:ascii="Times New Roman" w:eastAsia="Times New Roman" w:hAnsi="Times New Roman" w:cs="Times New Roman"/>
      <w:sz w:val="24"/>
      <w:szCs w:val="24"/>
      <w:lang w:val="es-CO" w:eastAsia="es-MX"/>
    </w:rPr>
  </w:style>
  <w:style w:type="paragraph" w:customStyle="1" w:styleId="Appelnotedebasde">
    <w:name w:val="Appel note de bas de..."/>
    <w:basedOn w:val="Normal"/>
    <w:link w:val="Refdenotaalpie"/>
    <w:uiPriority w:val="99"/>
    <w:rsid w:val="0003356C"/>
    <w:pPr>
      <w:spacing w:after="160" w:line="240" w:lineRule="exact"/>
    </w:pPr>
    <w:rPr>
      <w:rFonts w:ascii="Calibri" w:eastAsia="Calibri" w:hAnsi="Calibri" w:cs="Calibri"/>
      <w:sz w:val="22"/>
      <w:szCs w:val="22"/>
      <w:vertAlign w:val="superscript"/>
      <w:lang w:val="es-ES_tradnl" w:eastAsia="es-CO"/>
    </w:rPr>
  </w:style>
  <w:style w:type="paragraph" w:customStyle="1" w:styleId="Default">
    <w:name w:val="Default"/>
    <w:rsid w:val="008F0391"/>
    <w:pPr>
      <w:autoSpaceDE w:val="0"/>
      <w:autoSpaceDN w:val="0"/>
      <w:adjustRightInd w:val="0"/>
      <w:spacing w:after="0" w:line="240" w:lineRule="auto"/>
    </w:pPr>
    <w:rPr>
      <w:rFonts w:ascii="Arial" w:hAnsi="Arial" w:cs="Arial"/>
      <w:color w:val="000000"/>
      <w:sz w:val="24"/>
      <w:szCs w:val="24"/>
      <w:lang w:val="es-CO"/>
    </w:rPr>
  </w:style>
  <w:style w:type="character" w:customStyle="1" w:styleId="tooltiptext">
    <w:name w:val="tooltiptext"/>
    <w:basedOn w:val="Fuentedeprrafopredeter"/>
    <w:rsid w:val="00D603CD"/>
  </w:style>
  <w:style w:type="character" w:styleId="Fuerte">
    <w:name w:val="Strong"/>
    <w:basedOn w:val="Fuentedeprrafopredeter"/>
    <w:uiPriority w:val="22"/>
    <w:qFormat/>
    <w:rsid w:val="00C2312F"/>
    <w:rPr>
      <w:b/>
      <w:bCs/>
    </w:rPr>
  </w:style>
  <w:style w:type="paragraph" w:styleId="Textonotaalfinal">
    <w:name w:val="endnote text"/>
    <w:basedOn w:val="Normal"/>
    <w:link w:val="TextonotaalfinalCar"/>
    <w:uiPriority w:val="99"/>
    <w:semiHidden/>
    <w:unhideWhenUsed/>
    <w:rsid w:val="00002695"/>
    <w:rPr>
      <w:sz w:val="20"/>
      <w:szCs w:val="20"/>
    </w:rPr>
  </w:style>
  <w:style w:type="character" w:customStyle="1" w:styleId="TextonotaalfinalCar">
    <w:name w:val="Texto nota al final Car"/>
    <w:basedOn w:val="Fuentedeprrafopredeter"/>
    <w:link w:val="Textonotaalfinal"/>
    <w:uiPriority w:val="99"/>
    <w:semiHidden/>
    <w:rsid w:val="00002695"/>
    <w:rPr>
      <w:rFonts w:ascii="Times New Roman" w:eastAsia="Times New Roman" w:hAnsi="Times New Roman" w:cs="Times New Roman"/>
      <w:sz w:val="20"/>
      <w:szCs w:val="20"/>
      <w:lang w:val="es-CO" w:eastAsia="es-MX"/>
    </w:rPr>
  </w:style>
  <w:style w:type="character" w:styleId="Refdenotaalfinal">
    <w:name w:val="endnote reference"/>
    <w:basedOn w:val="Fuentedeprrafopredeter"/>
    <w:uiPriority w:val="99"/>
    <w:semiHidden/>
    <w:unhideWhenUsed/>
    <w:rsid w:val="00002695"/>
    <w:rPr>
      <w:vertAlign w:val="superscript"/>
    </w:rPr>
  </w:style>
  <w:style w:type="paragraph" w:customStyle="1" w:styleId="paragraph">
    <w:name w:val="paragraph"/>
    <w:basedOn w:val="Normal"/>
    <w:qFormat/>
    <w:rsid w:val="00A02544"/>
    <w:pPr>
      <w:spacing w:before="100" w:beforeAutospacing="1" w:after="100" w:afterAutospacing="1"/>
    </w:pPr>
    <w:rPr>
      <w:lang w:eastAsia="es-CO"/>
    </w:rPr>
  </w:style>
  <w:style w:type="character" w:customStyle="1" w:styleId="mo">
    <w:name w:val="mo"/>
    <w:basedOn w:val="Fuentedeprrafopredeter"/>
    <w:rsid w:val="00A02544"/>
  </w:style>
  <w:style w:type="character" w:customStyle="1" w:styleId="mjxassistivemathml">
    <w:name w:val="mjx_assistive_mathml"/>
    <w:basedOn w:val="Fuentedeprrafopredeter"/>
    <w:rsid w:val="00A02544"/>
  </w:style>
  <w:style w:type="character" w:customStyle="1" w:styleId="mn">
    <w:name w:val="mn"/>
    <w:basedOn w:val="Fuentedeprrafopredeter"/>
    <w:rsid w:val="00A02544"/>
  </w:style>
  <w:style w:type="table" w:customStyle="1" w:styleId="Tablaconcuadrcula2">
    <w:name w:val="Tabla con cuadrícula2"/>
    <w:basedOn w:val="Tablanormal"/>
    <w:next w:val="Tablaconcuadrcula"/>
    <w:uiPriority w:val="59"/>
    <w:rsid w:val="00E01A49"/>
    <w:pPr>
      <w:spacing w:after="0" w:line="240" w:lineRule="auto"/>
    </w:pPr>
    <w:rPr>
      <w:rFonts w:ascii="Arial" w:eastAsia="Arial" w:hAnsi="Arial" w:cs="Times New Roman"/>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Fuentedeprrafopredeter"/>
    <w:uiPriority w:val="99"/>
    <w:unhideWhenUsed/>
    <w:rsid w:val="008621B8"/>
    <w:rPr>
      <w:color w:val="605E5C"/>
      <w:shd w:val="clear" w:color="auto" w:fill="E1DFDD"/>
    </w:rPr>
  </w:style>
  <w:style w:type="character" w:customStyle="1" w:styleId="Mention1">
    <w:name w:val="Mention1"/>
    <w:basedOn w:val="Fuentedeprrafopredeter"/>
    <w:uiPriority w:val="99"/>
    <w:unhideWhenUsed/>
    <w:rsid w:val="008621B8"/>
    <w:rPr>
      <w:color w:val="2B579A"/>
      <w:shd w:val="clear" w:color="auto" w:fill="E1DFDD"/>
    </w:rPr>
  </w:style>
  <w:style w:type="paragraph" w:styleId="Textoindependiente">
    <w:name w:val="Body Text"/>
    <w:aliases w:val="Subsection Body Text"/>
    <w:basedOn w:val="Normal"/>
    <w:link w:val="TextoindependienteCar"/>
    <w:uiPriority w:val="99"/>
    <w:unhideWhenUsed/>
    <w:qFormat/>
    <w:rsid w:val="0001635E"/>
    <w:pPr>
      <w:spacing w:after="120"/>
    </w:pPr>
  </w:style>
  <w:style w:type="character" w:customStyle="1" w:styleId="TextoindependienteCar">
    <w:name w:val="Texto independiente Car"/>
    <w:aliases w:val="Subsection Body Text Car"/>
    <w:basedOn w:val="Fuentedeprrafopredeter"/>
    <w:link w:val="Textoindependiente"/>
    <w:uiPriority w:val="99"/>
    <w:rsid w:val="0001635E"/>
    <w:rPr>
      <w:rFonts w:ascii="Times New Roman" w:eastAsia="Times New Roman" w:hAnsi="Times New Roman" w:cs="Times New Roman"/>
      <w:sz w:val="24"/>
      <w:szCs w:val="24"/>
      <w:lang w:val="es-CO" w:eastAsia="es-MX"/>
    </w:rPr>
  </w:style>
  <w:style w:type="character" w:customStyle="1" w:styleId="Mencinsinresolver2">
    <w:name w:val="Mención sin resolver2"/>
    <w:basedOn w:val="Fuentedeprrafopredeter"/>
    <w:uiPriority w:val="99"/>
    <w:semiHidden/>
    <w:unhideWhenUsed/>
    <w:rsid w:val="003303AD"/>
    <w:rPr>
      <w:color w:val="605E5C"/>
      <w:shd w:val="clear" w:color="auto" w:fill="E1DFDD"/>
    </w:rPr>
  </w:style>
  <w:style w:type="character" w:customStyle="1" w:styleId="UnresolvedMention2">
    <w:name w:val="Unresolved Mention2"/>
    <w:basedOn w:val="Fuentedeprrafopredeter"/>
    <w:uiPriority w:val="99"/>
    <w:unhideWhenUsed/>
    <w:rsid w:val="008579DB"/>
    <w:rPr>
      <w:color w:val="605E5C"/>
      <w:shd w:val="clear" w:color="auto" w:fill="E1DFDD"/>
    </w:rPr>
  </w:style>
  <w:style w:type="character" w:customStyle="1" w:styleId="Mention2">
    <w:name w:val="Mention2"/>
    <w:basedOn w:val="Fuentedeprrafopredeter"/>
    <w:uiPriority w:val="99"/>
    <w:unhideWhenUsed/>
    <w:rsid w:val="008579DB"/>
    <w:rPr>
      <w:color w:val="2B579A"/>
      <w:shd w:val="clear" w:color="auto" w:fill="E1DFDD"/>
    </w:rPr>
  </w:style>
  <w:style w:type="character" w:customStyle="1" w:styleId="cf01">
    <w:name w:val="cf01"/>
    <w:basedOn w:val="Fuentedeprrafopredeter"/>
    <w:rsid w:val="004D16B5"/>
    <w:rPr>
      <w:rFonts w:ascii="Segoe UI" w:hAnsi="Segoe UI" w:cs="Segoe UI" w:hint="default"/>
      <w:sz w:val="18"/>
      <w:szCs w:val="18"/>
    </w:rPr>
  </w:style>
  <w:style w:type="character" w:customStyle="1" w:styleId="cf11">
    <w:name w:val="cf11"/>
    <w:basedOn w:val="Fuentedeprrafopredeter"/>
    <w:rsid w:val="004D16B5"/>
    <w:rPr>
      <w:rFonts w:ascii="Segoe UI" w:hAnsi="Segoe UI" w:cs="Segoe UI" w:hint="default"/>
      <w:sz w:val="18"/>
      <w:szCs w:val="18"/>
    </w:rPr>
  </w:style>
  <w:style w:type="paragraph" w:customStyle="1" w:styleId="Titulo1">
    <w:name w:val="Titulo 1"/>
    <w:qFormat/>
    <w:rsid w:val="00CA00BF"/>
    <w:rPr>
      <w:rFonts w:ascii="Geomanist Bold" w:hAnsi="Geomanist Bold"/>
      <w:color w:val="002060"/>
      <w:sz w:val="24"/>
      <w:lang w:val="es-ES"/>
    </w:rPr>
  </w:style>
  <w:style w:type="character" w:customStyle="1" w:styleId="Mencinsinresolver3">
    <w:name w:val="Mención sin resolver3"/>
    <w:basedOn w:val="Fuentedeprrafopredeter"/>
    <w:uiPriority w:val="99"/>
    <w:unhideWhenUsed/>
    <w:rsid w:val="00EF7A53"/>
    <w:rPr>
      <w:color w:val="605E5C"/>
      <w:shd w:val="clear" w:color="auto" w:fill="E1DFDD"/>
    </w:rPr>
  </w:style>
  <w:style w:type="character" w:customStyle="1" w:styleId="Mencionar1">
    <w:name w:val="Mencionar1"/>
    <w:basedOn w:val="Fuentedeprrafopredeter"/>
    <w:uiPriority w:val="99"/>
    <w:unhideWhenUsed/>
    <w:rsid w:val="00EF7A53"/>
    <w:rPr>
      <w:color w:val="2B579A"/>
      <w:shd w:val="clear" w:color="auto" w:fill="E1DFDD"/>
    </w:rPr>
  </w:style>
  <w:style w:type="character" w:customStyle="1" w:styleId="SinespaciadoCar">
    <w:name w:val="Sin espaciado Car"/>
    <w:aliases w:val="Encabezado CCE Car"/>
    <w:link w:val="Sinespaciado"/>
    <w:uiPriority w:val="1"/>
    <w:qFormat/>
    <w:rsid w:val="005E2179"/>
    <w:rPr>
      <w:rFonts w:ascii="Times New Roman" w:eastAsia="MS Mincho" w:hAnsi="Times New Roman" w:cs="Times New Roman"/>
      <w:sz w:val="24"/>
      <w:szCs w:val="24"/>
    </w:rPr>
  </w:style>
  <w:style w:type="paragraph" w:customStyle="1" w:styleId="TextodenotaalpieCar">
    <w:name w:val="Texto de nota al pie Car"/>
    <w:aliases w:val="referencia nota al pie Car,BVI fnr Car Char Car Char Car,BVI fnr Car Car Car Char Car Char Car,BVI fnr Car Car Char Car Char Car, BVI fnr Car Char Car Char Car, BVI fnr Car Car Car Char Car Char Car"/>
    <w:basedOn w:val="Normal"/>
    <w:uiPriority w:val="99"/>
    <w:qFormat/>
    <w:rsid w:val="005E2179"/>
    <w:pPr>
      <w:spacing w:after="160" w:line="240" w:lineRule="exact"/>
      <w:jc w:val="both"/>
    </w:pPr>
    <w:rPr>
      <w:rFonts w:asciiTheme="minorHAnsi" w:eastAsiaTheme="minorHAnsi" w:hAnsiTheme="minorHAnsi" w:cstheme="minorBidi"/>
      <w:kern w:val="2"/>
      <w:sz w:val="22"/>
      <w:szCs w:val="22"/>
      <w:vertAlign w:val="superscript"/>
      <w:lang w:eastAsia="en-US"/>
      <w14:ligatures w14:val="standardContextual"/>
    </w:rPr>
  </w:style>
  <w:style w:type="paragraph" w:styleId="Descripcin">
    <w:name w:val="caption"/>
    <w:basedOn w:val="Normal"/>
    <w:next w:val="Normal"/>
    <w:uiPriority w:val="35"/>
    <w:unhideWhenUsed/>
    <w:qFormat/>
    <w:rsid w:val="005E2179"/>
    <w:pPr>
      <w:spacing w:after="200" w:line="276" w:lineRule="auto"/>
    </w:pPr>
    <w:rPr>
      <w:rFonts w:ascii="Calibri" w:eastAsia="Calibri" w:hAnsi="Calibri"/>
      <w:b/>
      <w:bCs/>
      <w:sz w:val="20"/>
      <w:szCs w:val="20"/>
      <w:lang w:val="es-ES" w:eastAsia="en-US"/>
    </w:rPr>
  </w:style>
  <w:style w:type="paragraph" w:customStyle="1" w:styleId="Textoindependiente31">
    <w:name w:val="Texto independiente 31"/>
    <w:basedOn w:val="Normal"/>
    <w:uiPriority w:val="99"/>
    <w:rsid w:val="00B96FB8"/>
    <w:pPr>
      <w:jc w:val="both"/>
    </w:pPr>
    <w:rPr>
      <w:rFonts w:ascii="Arial" w:hAnsi="Arial"/>
      <w:sz w:val="22"/>
      <w:szCs w:val="20"/>
      <w:lang w:val="es-ES" w:eastAsia="es-ES"/>
    </w:rPr>
  </w:style>
  <w:style w:type="character" w:styleId="Mencinsinresolver">
    <w:name w:val="Unresolved Mention"/>
    <w:basedOn w:val="Fuentedeprrafopredeter"/>
    <w:uiPriority w:val="99"/>
    <w:semiHidden/>
    <w:unhideWhenUsed/>
    <w:rsid w:val="0061032C"/>
    <w:rPr>
      <w:color w:val="605E5C"/>
      <w:shd w:val="clear" w:color="auto" w:fill="E1DFDD"/>
    </w:rPr>
  </w:style>
  <w:style w:type="character" w:styleId="Mencionar">
    <w:name w:val="Mention"/>
    <w:basedOn w:val="Fuentedeprrafopredeter"/>
    <w:uiPriority w:val="99"/>
    <w:unhideWhenUsed/>
    <w:rsid w:val="00444827"/>
    <w:rPr>
      <w:color w:val="2B579A"/>
      <w:shd w:val="clear" w:color="auto" w:fill="E1DFDD"/>
    </w:rPr>
  </w:style>
  <w:style w:type="paragraph" w:styleId="TtuloTDC">
    <w:name w:val="TOC Heading"/>
    <w:basedOn w:val="Ttulo1"/>
    <w:next w:val="Normal"/>
    <w:uiPriority w:val="39"/>
    <w:unhideWhenUsed/>
    <w:qFormat/>
    <w:rsid w:val="006558F8"/>
    <w:pPr>
      <w:spacing w:before="240" w:after="0" w:line="259" w:lineRule="auto"/>
      <w:outlineLvl w:val="9"/>
    </w:pPr>
    <w:rPr>
      <w:rFonts w:asciiTheme="majorHAnsi" w:eastAsiaTheme="majorEastAsia" w:hAnsiTheme="majorHAnsi" w:cstheme="majorBidi"/>
      <w:b w:val="0"/>
      <w:color w:val="2F5496" w:themeColor="accent1" w:themeShade="BF"/>
      <w:sz w:val="32"/>
      <w:szCs w:val="32"/>
      <w:lang w:eastAsia="es-CO"/>
    </w:rPr>
  </w:style>
  <w:style w:type="paragraph" w:styleId="TDC1">
    <w:name w:val="toc 1"/>
    <w:basedOn w:val="Normal"/>
    <w:next w:val="Normal"/>
    <w:autoRedefine/>
    <w:uiPriority w:val="39"/>
    <w:unhideWhenUsed/>
    <w:rsid w:val="00DE16C5"/>
    <w:pPr>
      <w:tabs>
        <w:tab w:val="left" w:pos="480"/>
        <w:tab w:val="left" w:pos="1560"/>
        <w:tab w:val="right" w:leader="dot" w:pos="9629"/>
      </w:tabs>
      <w:spacing w:after="100"/>
      <w:jc w:val="both"/>
    </w:pPr>
  </w:style>
  <w:style w:type="paragraph" w:styleId="TDC2">
    <w:name w:val="toc 2"/>
    <w:basedOn w:val="Normal"/>
    <w:next w:val="Normal"/>
    <w:autoRedefine/>
    <w:uiPriority w:val="39"/>
    <w:unhideWhenUsed/>
    <w:rsid w:val="006558F8"/>
    <w:pPr>
      <w:spacing w:after="100"/>
      <w:ind w:left="240"/>
    </w:pPr>
  </w:style>
  <w:style w:type="paragraph" w:styleId="TDC3">
    <w:name w:val="toc 3"/>
    <w:basedOn w:val="Normal"/>
    <w:next w:val="Normal"/>
    <w:autoRedefine/>
    <w:uiPriority w:val="39"/>
    <w:unhideWhenUsed/>
    <w:rsid w:val="006558F8"/>
    <w:pPr>
      <w:spacing w:after="100"/>
      <w:ind w:left="480"/>
    </w:pPr>
  </w:style>
  <w:style w:type="paragraph" w:customStyle="1" w:styleId="destacado">
    <w:name w:val="destacado"/>
    <w:basedOn w:val="Normal"/>
    <w:rsid w:val="000C6E1B"/>
    <w:pPr>
      <w:keepNext/>
      <w:spacing w:before="120" w:after="120" w:line="360" w:lineRule="auto"/>
    </w:pPr>
    <w:rPr>
      <w:rFonts w:ascii="Arial" w:hAnsi="Arial" w:cs="Arial"/>
      <w:sz w:val="22"/>
      <w:szCs w:val="20"/>
      <w:lang w:val="es-ES" w:eastAsia="en-US"/>
      <w14:ligatures w14:val="standardContextual"/>
    </w:rPr>
  </w:style>
  <w:style w:type="paragraph" w:styleId="Tabladeilustraciones">
    <w:name w:val="table of figures"/>
    <w:aliases w:val="verda"/>
    <w:basedOn w:val="Normal"/>
    <w:next w:val="Normal"/>
    <w:uiPriority w:val="99"/>
    <w:unhideWhenUsed/>
    <w:rsid w:val="00E5326C"/>
    <w:rPr>
      <w:rFonts w:ascii="Verdana" w:hAnsi="Verdana"/>
      <w:sz w:val="22"/>
    </w:rPr>
  </w:style>
  <w:style w:type="table" w:styleId="Tablaconcuadrcula5oscura-nfasis1">
    <w:name w:val="Grid Table 5 Dark Accent 1"/>
    <w:basedOn w:val="Tabla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TableParagraph">
    <w:name w:val="Table Paragraph"/>
    <w:basedOn w:val="Normal"/>
    <w:uiPriority w:val="1"/>
    <w:qFormat/>
    <w:rsid w:val="004E6AA4"/>
    <w:pPr>
      <w:widowControl w:val="0"/>
      <w:autoSpaceDE w:val="0"/>
      <w:autoSpaceDN w:val="0"/>
    </w:pPr>
    <w:rPr>
      <w:rFonts w:ascii="Arial" w:eastAsia="Arial" w:hAnsi="Arial" w:cs="Arial"/>
      <w:sz w:val="22"/>
      <w:szCs w:val="22"/>
      <w:lang w:val="es-ES" w:eastAsia="en-US"/>
    </w:rPr>
  </w:style>
  <w:style w:type="table" w:styleId="Tablanormal1">
    <w:name w:val="Plain Table 1"/>
    <w:basedOn w:val="Tablanormal"/>
    <w:uiPriority w:val="41"/>
    <w:rsid w:val="00B43D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51">
    <w:name w:val="Tabla con cuadrícula51"/>
    <w:basedOn w:val="Tablanormal"/>
    <w:next w:val="Tablaconcuadrcula"/>
    <w:uiPriority w:val="59"/>
    <w:rsid w:val="00C2444E"/>
    <w:pPr>
      <w:spacing w:after="0" w:line="240" w:lineRule="auto"/>
    </w:pPr>
    <w:rPr>
      <w:rFonts w:cs="Times New Roman"/>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4D50D7"/>
    <w:pPr>
      <w:spacing w:after="0" w:line="240" w:lineRule="auto"/>
    </w:pPr>
    <w:rPr>
      <w:rFonts w:asciiTheme="minorHAnsi" w:eastAsiaTheme="minorHAnsi" w:hAnsiTheme="minorHAnsi" w:cstheme="minorBidi"/>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7873">
      <w:bodyDiv w:val="1"/>
      <w:marLeft w:val="0"/>
      <w:marRight w:val="0"/>
      <w:marTop w:val="0"/>
      <w:marBottom w:val="0"/>
      <w:divBdr>
        <w:top w:val="none" w:sz="0" w:space="0" w:color="auto"/>
        <w:left w:val="none" w:sz="0" w:space="0" w:color="auto"/>
        <w:bottom w:val="none" w:sz="0" w:space="0" w:color="auto"/>
        <w:right w:val="none" w:sz="0" w:space="0" w:color="auto"/>
      </w:divBdr>
    </w:div>
    <w:div w:id="50931024">
      <w:bodyDiv w:val="1"/>
      <w:marLeft w:val="0"/>
      <w:marRight w:val="0"/>
      <w:marTop w:val="0"/>
      <w:marBottom w:val="0"/>
      <w:divBdr>
        <w:top w:val="none" w:sz="0" w:space="0" w:color="auto"/>
        <w:left w:val="none" w:sz="0" w:space="0" w:color="auto"/>
        <w:bottom w:val="none" w:sz="0" w:space="0" w:color="auto"/>
        <w:right w:val="none" w:sz="0" w:space="0" w:color="auto"/>
      </w:divBdr>
      <w:divsChild>
        <w:div w:id="475087">
          <w:marLeft w:val="0"/>
          <w:marRight w:val="0"/>
          <w:marTop w:val="0"/>
          <w:marBottom w:val="0"/>
          <w:divBdr>
            <w:top w:val="none" w:sz="0" w:space="0" w:color="auto"/>
            <w:left w:val="none" w:sz="0" w:space="0" w:color="auto"/>
            <w:bottom w:val="none" w:sz="0" w:space="0" w:color="auto"/>
            <w:right w:val="none" w:sz="0" w:space="0" w:color="auto"/>
          </w:divBdr>
        </w:div>
      </w:divsChild>
    </w:div>
    <w:div w:id="55056334">
      <w:bodyDiv w:val="1"/>
      <w:marLeft w:val="0"/>
      <w:marRight w:val="0"/>
      <w:marTop w:val="0"/>
      <w:marBottom w:val="0"/>
      <w:divBdr>
        <w:top w:val="none" w:sz="0" w:space="0" w:color="auto"/>
        <w:left w:val="none" w:sz="0" w:space="0" w:color="auto"/>
        <w:bottom w:val="none" w:sz="0" w:space="0" w:color="auto"/>
        <w:right w:val="none" w:sz="0" w:space="0" w:color="auto"/>
      </w:divBdr>
    </w:div>
    <w:div w:id="57479256">
      <w:bodyDiv w:val="1"/>
      <w:marLeft w:val="0"/>
      <w:marRight w:val="0"/>
      <w:marTop w:val="0"/>
      <w:marBottom w:val="0"/>
      <w:divBdr>
        <w:top w:val="none" w:sz="0" w:space="0" w:color="auto"/>
        <w:left w:val="none" w:sz="0" w:space="0" w:color="auto"/>
        <w:bottom w:val="none" w:sz="0" w:space="0" w:color="auto"/>
        <w:right w:val="none" w:sz="0" w:space="0" w:color="auto"/>
      </w:divBdr>
      <w:divsChild>
        <w:div w:id="657071813">
          <w:marLeft w:val="0"/>
          <w:marRight w:val="0"/>
          <w:marTop w:val="0"/>
          <w:marBottom w:val="0"/>
          <w:divBdr>
            <w:top w:val="none" w:sz="0" w:space="0" w:color="auto"/>
            <w:left w:val="none" w:sz="0" w:space="0" w:color="auto"/>
            <w:bottom w:val="none" w:sz="0" w:space="0" w:color="auto"/>
            <w:right w:val="none" w:sz="0" w:space="0" w:color="auto"/>
          </w:divBdr>
        </w:div>
      </w:divsChild>
    </w:div>
    <w:div w:id="85729264">
      <w:bodyDiv w:val="1"/>
      <w:marLeft w:val="0"/>
      <w:marRight w:val="0"/>
      <w:marTop w:val="0"/>
      <w:marBottom w:val="0"/>
      <w:divBdr>
        <w:top w:val="none" w:sz="0" w:space="0" w:color="auto"/>
        <w:left w:val="none" w:sz="0" w:space="0" w:color="auto"/>
        <w:bottom w:val="none" w:sz="0" w:space="0" w:color="auto"/>
        <w:right w:val="none" w:sz="0" w:space="0" w:color="auto"/>
      </w:divBdr>
    </w:div>
    <w:div w:id="110436845">
      <w:bodyDiv w:val="1"/>
      <w:marLeft w:val="0"/>
      <w:marRight w:val="0"/>
      <w:marTop w:val="0"/>
      <w:marBottom w:val="0"/>
      <w:divBdr>
        <w:top w:val="none" w:sz="0" w:space="0" w:color="auto"/>
        <w:left w:val="none" w:sz="0" w:space="0" w:color="auto"/>
        <w:bottom w:val="none" w:sz="0" w:space="0" w:color="auto"/>
        <w:right w:val="none" w:sz="0" w:space="0" w:color="auto"/>
      </w:divBdr>
    </w:div>
    <w:div w:id="127094171">
      <w:bodyDiv w:val="1"/>
      <w:marLeft w:val="0"/>
      <w:marRight w:val="0"/>
      <w:marTop w:val="0"/>
      <w:marBottom w:val="0"/>
      <w:divBdr>
        <w:top w:val="none" w:sz="0" w:space="0" w:color="auto"/>
        <w:left w:val="none" w:sz="0" w:space="0" w:color="auto"/>
        <w:bottom w:val="none" w:sz="0" w:space="0" w:color="auto"/>
        <w:right w:val="none" w:sz="0" w:space="0" w:color="auto"/>
      </w:divBdr>
    </w:div>
    <w:div w:id="129322874">
      <w:bodyDiv w:val="1"/>
      <w:marLeft w:val="0"/>
      <w:marRight w:val="0"/>
      <w:marTop w:val="0"/>
      <w:marBottom w:val="0"/>
      <w:divBdr>
        <w:top w:val="none" w:sz="0" w:space="0" w:color="auto"/>
        <w:left w:val="none" w:sz="0" w:space="0" w:color="auto"/>
        <w:bottom w:val="none" w:sz="0" w:space="0" w:color="auto"/>
        <w:right w:val="none" w:sz="0" w:space="0" w:color="auto"/>
      </w:divBdr>
    </w:div>
    <w:div w:id="135025213">
      <w:bodyDiv w:val="1"/>
      <w:marLeft w:val="0"/>
      <w:marRight w:val="0"/>
      <w:marTop w:val="0"/>
      <w:marBottom w:val="0"/>
      <w:divBdr>
        <w:top w:val="none" w:sz="0" w:space="0" w:color="auto"/>
        <w:left w:val="none" w:sz="0" w:space="0" w:color="auto"/>
        <w:bottom w:val="none" w:sz="0" w:space="0" w:color="auto"/>
        <w:right w:val="none" w:sz="0" w:space="0" w:color="auto"/>
      </w:divBdr>
    </w:div>
    <w:div w:id="142697285">
      <w:bodyDiv w:val="1"/>
      <w:marLeft w:val="0"/>
      <w:marRight w:val="0"/>
      <w:marTop w:val="0"/>
      <w:marBottom w:val="0"/>
      <w:divBdr>
        <w:top w:val="none" w:sz="0" w:space="0" w:color="auto"/>
        <w:left w:val="none" w:sz="0" w:space="0" w:color="auto"/>
        <w:bottom w:val="none" w:sz="0" w:space="0" w:color="auto"/>
        <w:right w:val="none" w:sz="0" w:space="0" w:color="auto"/>
      </w:divBdr>
    </w:div>
    <w:div w:id="143209333">
      <w:bodyDiv w:val="1"/>
      <w:marLeft w:val="0"/>
      <w:marRight w:val="0"/>
      <w:marTop w:val="0"/>
      <w:marBottom w:val="0"/>
      <w:divBdr>
        <w:top w:val="none" w:sz="0" w:space="0" w:color="auto"/>
        <w:left w:val="none" w:sz="0" w:space="0" w:color="auto"/>
        <w:bottom w:val="none" w:sz="0" w:space="0" w:color="auto"/>
        <w:right w:val="none" w:sz="0" w:space="0" w:color="auto"/>
      </w:divBdr>
    </w:div>
    <w:div w:id="170530619">
      <w:bodyDiv w:val="1"/>
      <w:marLeft w:val="0"/>
      <w:marRight w:val="0"/>
      <w:marTop w:val="0"/>
      <w:marBottom w:val="0"/>
      <w:divBdr>
        <w:top w:val="none" w:sz="0" w:space="0" w:color="auto"/>
        <w:left w:val="none" w:sz="0" w:space="0" w:color="auto"/>
        <w:bottom w:val="none" w:sz="0" w:space="0" w:color="auto"/>
        <w:right w:val="none" w:sz="0" w:space="0" w:color="auto"/>
      </w:divBdr>
    </w:div>
    <w:div w:id="171114537">
      <w:bodyDiv w:val="1"/>
      <w:marLeft w:val="0"/>
      <w:marRight w:val="0"/>
      <w:marTop w:val="0"/>
      <w:marBottom w:val="0"/>
      <w:divBdr>
        <w:top w:val="none" w:sz="0" w:space="0" w:color="auto"/>
        <w:left w:val="none" w:sz="0" w:space="0" w:color="auto"/>
        <w:bottom w:val="none" w:sz="0" w:space="0" w:color="auto"/>
        <w:right w:val="none" w:sz="0" w:space="0" w:color="auto"/>
      </w:divBdr>
    </w:div>
    <w:div w:id="178475639">
      <w:bodyDiv w:val="1"/>
      <w:marLeft w:val="0"/>
      <w:marRight w:val="0"/>
      <w:marTop w:val="0"/>
      <w:marBottom w:val="0"/>
      <w:divBdr>
        <w:top w:val="none" w:sz="0" w:space="0" w:color="auto"/>
        <w:left w:val="none" w:sz="0" w:space="0" w:color="auto"/>
        <w:bottom w:val="none" w:sz="0" w:space="0" w:color="auto"/>
        <w:right w:val="none" w:sz="0" w:space="0" w:color="auto"/>
      </w:divBdr>
    </w:div>
    <w:div w:id="194461348">
      <w:bodyDiv w:val="1"/>
      <w:marLeft w:val="0"/>
      <w:marRight w:val="0"/>
      <w:marTop w:val="0"/>
      <w:marBottom w:val="0"/>
      <w:divBdr>
        <w:top w:val="none" w:sz="0" w:space="0" w:color="auto"/>
        <w:left w:val="none" w:sz="0" w:space="0" w:color="auto"/>
        <w:bottom w:val="none" w:sz="0" w:space="0" w:color="auto"/>
        <w:right w:val="none" w:sz="0" w:space="0" w:color="auto"/>
      </w:divBdr>
      <w:divsChild>
        <w:div w:id="440151610">
          <w:marLeft w:val="0"/>
          <w:marRight w:val="0"/>
          <w:marTop w:val="0"/>
          <w:marBottom w:val="0"/>
          <w:divBdr>
            <w:top w:val="none" w:sz="0" w:space="0" w:color="auto"/>
            <w:left w:val="none" w:sz="0" w:space="0" w:color="auto"/>
            <w:bottom w:val="none" w:sz="0" w:space="0" w:color="auto"/>
            <w:right w:val="none" w:sz="0" w:space="0" w:color="auto"/>
          </w:divBdr>
        </w:div>
      </w:divsChild>
    </w:div>
    <w:div w:id="205878600">
      <w:bodyDiv w:val="1"/>
      <w:marLeft w:val="0"/>
      <w:marRight w:val="0"/>
      <w:marTop w:val="0"/>
      <w:marBottom w:val="0"/>
      <w:divBdr>
        <w:top w:val="none" w:sz="0" w:space="0" w:color="auto"/>
        <w:left w:val="none" w:sz="0" w:space="0" w:color="auto"/>
        <w:bottom w:val="none" w:sz="0" w:space="0" w:color="auto"/>
        <w:right w:val="none" w:sz="0" w:space="0" w:color="auto"/>
      </w:divBdr>
      <w:divsChild>
        <w:div w:id="501550738">
          <w:marLeft w:val="0"/>
          <w:marRight w:val="0"/>
          <w:marTop w:val="0"/>
          <w:marBottom w:val="0"/>
          <w:divBdr>
            <w:top w:val="none" w:sz="0" w:space="0" w:color="auto"/>
            <w:left w:val="none" w:sz="0" w:space="0" w:color="auto"/>
            <w:bottom w:val="none" w:sz="0" w:space="0" w:color="auto"/>
            <w:right w:val="none" w:sz="0" w:space="0" w:color="auto"/>
          </w:divBdr>
        </w:div>
      </w:divsChild>
    </w:div>
    <w:div w:id="230772941">
      <w:bodyDiv w:val="1"/>
      <w:marLeft w:val="0"/>
      <w:marRight w:val="0"/>
      <w:marTop w:val="0"/>
      <w:marBottom w:val="0"/>
      <w:divBdr>
        <w:top w:val="none" w:sz="0" w:space="0" w:color="auto"/>
        <w:left w:val="none" w:sz="0" w:space="0" w:color="auto"/>
        <w:bottom w:val="none" w:sz="0" w:space="0" w:color="auto"/>
        <w:right w:val="none" w:sz="0" w:space="0" w:color="auto"/>
      </w:divBdr>
      <w:divsChild>
        <w:div w:id="725881558">
          <w:marLeft w:val="0"/>
          <w:marRight w:val="0"/>
          <w:marTop w:val="0"/>
          <w:marBottom w:val="0"/>
          <w:divBdr>
            <w:top w:val="none" w:sz="0" w:space="0" w:color="auto"/>
            <w:left w:val="none" w:sz="0" w:space="0" w:color="auto"/>
            <w:bottom w:val="none" w:sz="0" w:space="0" w:color="auto"/>
            <w:right w:val="none" w:sz="0" w:space="0" w:color="auto"/>
          </w:divBdr>
        </w:div>
        <w:div w:id="963197322">
          <w:marLeft w:val="0"/>
          <w:marRight w:val="0"/>
          <w:marTop w:val="0"/>
          <w:marBottom w:val="0"/>
          <w:divBdr>
            <w:top w:val="none" w:sz="0" w:space="0" w:color="auto"/>
            <w:left w:val="none" w:sz="0" w:space="0" w:color="auto"/>
            <w:bottom w:val="none" w:sz="0" w:space="0" w:color="auto"/>
            <w:right w:val="none" w:sz="0" w:space="0" w:color="auto"/>
          </w:divBdr>
        </w:div>
      </w:divsChild>
    </w:div>
    <w:div w:id="244655567">
      <w:bodyDiv w:val="1"/>
      <w:marLeft w:val="0"/>
      <w:marRight w:val="0"/>
      <w:marTop w:val="0"/>
      <w:marBottom w:val="0"/>
      <w:divBdr>
        <w:top w:val="none" w:sz="0" w:space="0" w:color="auto"/>
        <w:left w:val="none" w:sz="0" w:space="0" w:color="auto"/>
        <w:bottom w:val="none" w:sz="0" w:space="0" w:color="auto"/>
        <w:right w:val="none" w:sz="0" w:space="0" w:color="auto"/>
      </w:divBdr>
      <w:divsChild>
        <w:div w:id="111287845">
          <w:marLeft w:val="0"/>
          <w:marRight w:val="0"/>
          <w:marTop w:val="0"/>
          <w:marBottom w:val="0"/>
          <w:divBdr>
            <w:top w:val="none" w:sz="0" w:space="0" w:color="auto"/>
            <w:left w:val="none" w:sz="0" w:space="0" w:color="auto"/>
            <w:bottom w:val="none" w:sz="0" w:space="0" w:color="auto"/>
            <w:right w:val="none" w:sz="0" w:space="0" w:color="auto"/>
          </w:divBdr>
        </w:div>
        <w:div w:id="246619490">
          <w:marLeft w:val="0"/>
          <w:marRight w:val="0"/>
          <w:marTop w:val="0"/>
          <w:marBottom w:val="0"/>
          <w:divBdr>
            <w:top w:val="none" w:sz="0" w:space="0" w:color="auto"/>
            <w:left w:val="none" w:sz="0" w:space="0" w:color="auto"/>
            <w:bottom w:val="none" w:sz="0" w:space="0" w:color="auto"/>
            <w:right w:val="none" w:sz="0" w:space="0" w:color="auto"/>
          </w:divBdr>
        </w:div>
        <w:div w:id="782967504">
          <w:marLeft w:val="0"/>
          <w:marRight w:val="0"/>
          <w:marTop w:val="0"/>
          <w:marBottom w:val="0"/>
          <w:divBdr>
            <w:top w:val="none" w:sz="0" w:space="0" w:color="auto"/>
            <w:left w:val="none" w:sz="0" w:space="0" w:color="auto"/>
            <w:bottom w:val="none" w:sz="0" w:space="0" w:color="auto"/>
            <w:right w:val="none" w:sz="0" w:space="0" w:color="auto"/>
          </w:divBdr>
        </w:div>
        <w:div w:id="1105466454">
          <w:marLeft w:val="0"/>
          <w:marRight w:val="0"/>
          <w:marTop w:val="0"/>
          <w:marBottom w:val="0"/>
          <w:divBdr>
            <w:top w:val="none" w:sz="0" w:space="0" w:color="auto"/>
            <w:left w:val="none" w:sz="0" w:space="0" w:color="auto"/>
            <w:bottom w:val="none" w:sz="0" w:space="0" w:color="auto"/>
            <w:right w:val="none" w:sz="0" w:space="0" w:color="auto"/>
          </w:divBdr>
        </w:div>
      </w:divsChild>
    </w:div>
    <w:div w:id="255133621">
      <w:bodyDiv w:val="1"/>
      <w:marLeft w:val="0"/>
      <w:marRight w:val="0"/>
      <w:marTop w:val="0"/>
      <w:marBottom w:val="0"/>
      <w:divBdr>
        <w:top w:val="none" w:sz="0" w:space="0" w:color="auto"/>
        <w:left w:val="none" w:sz="0" w:space="0" w:color="auto"/>
        <w:bottom w:val="none" w:sz="0" w:space="0" w:color="auto"/>
        <w:right w:val="none" w:sz="0" w:space="0" w:color="auto"/>
      </w:divBdr>
    </w:div>
    <w:div w:id="262882328">
      <w:bodyDiv w:val="1"/>
      <w:marLeft w:val="0"/>
      <w:marRight w:val="0"/>
      <w:marTop w:val="0"/>
      <w:marBottom w:val="0"/>
      <w:divBdr>
        <w:top w:val="none" w:sz="0" w:space="0" w:color="auto"/>
        <w:left w:val="none" w:sz="0" w:space="0" w:color="auto"/>
        <w:bottom w:val="none" w:sz="0" w:space="0" w:color="auto"/>
        <w:right w:val="none" w:sz="0" w:space="0" w:color="auto"/>
      </w:divBdr>
    </w:div>
    <w:div w:id="273680088">
      <w:bodyDiv w:val="1"/>
      <w:marLeft w:val="0"/>
      <w:marRight w:val="0"/>
      <w:marTop w:val="0"/>
      <w:marBottom w:val="0"/>
      <w:divBdr>
        <w:top w:val="none" w:sz="0" w:space="0" w:color="auto"/>
        <w:left w:val="none" w:sz="0" w:space="0" w:color="auto"/>
        <w:bottom w:val="none" w:sz="0" w:space="0" w:color="auto"/>
        <w:right w:val="none" w:sz="0" w:space="0" w:color="auto"/>
      </w:divBdr>
    </w:div>
    <w:div w:id="282926712">
      <w:bodyDiv w:val="1"/>
      <w:marLeft w:val="0"/>
      <w:marRight w:val="0"/>
      <w:marTop w:val="0"/>
      <w:marBottom w:val="0"/>
      <w:divBdr>
        <w:top w:val="none" w:sz="0" w:space="0" w:color="auto"/>
        <w:left w:val="none" w:sz="0" w:space="0" w:color="auto"/>
        <w:bottom w:val="none" w:sz="0" w:space="0" w:color="auto"/>
        <w:right w:val="none" w:sz="0" w:space="0" w:color="auto"/>
      </w:divBdr>
    </w:div>
    <w:div w:id="287324427">
      <w:bodyDiv w:val="1"/>
      <w:marLeft w:val="0"/>
      <w:marRight w:val="0"/>
      <w:marTop w:val="0"/>
      <w:marBottom w:val="0"/>
      <w:divBdr>
        <w:top w:val="none" w:sz="0" w:space="0" w:color="auto"/>
        <w:left w:val="none" w:sz="0" w:space="0" w:color="auto"/>
        <w:bottom w:val="none" w:sz="0" w:space="0" w:color="auto"/>
        <w:right w:val="none" w:sz="0" w:space="0" w:color="auto"/>
      </w:divBdr>
    </w:div>
    <w:div w:id="300112409">
      <w:bodyDiv w:val="1"/>
      <w:marLeft w:val="0"/>
      <w:marRight w:val="0"/>
      <w:marTop w:val="0"/>
      <w:marBottom w:val="0"/>
      <w:divBdr>
        <w:top w:val="none" w:sz="0" w:space="0" w:color="auto"/>
        <w:left w:val="none" w:sz="0" w:space="0" w:color="auto"/>
        <w:bottom w:val="none" w:sz="0" w:space="0" w:color="auto"/>
        <w:right w:val="none" w:sz="0" w:space="0" w:color="auto"/>
      </w:divBdr>
    </w:div>
    <w:div w:id="323313913">
      <w:bodyDiv w:val="1"/>
      <w:marLeft w:val="0"/>
      <w:marRight w:val="0"/>
      <w:marTop w:val="0"/>
      <w:marBottom w:val="0"/>
      <w:divBdr>
        <w:top w:val="none" w:sz="0" w:space="0" w:color="auto"/>
        <w:left w:val="none" w:sz="0" w:space="0" w:color="auto"/>
        <w:bottom w:val="none" w:sz="0" w:space="0" w:color="auto"/>
        <w:right w:val="none" w:sz="0" w:space="0" w:color="auto"/>
      </w:divBdr>
    </w:div>
    <w:div w:id="327639432">
      <w:bodyDiv w:val="1"/>
      <w:marLeft w:val="0"/>
      <w:marRight w:val="0"/>
      <w:marTop w:val="0"/>
      <w:marBottom w:val="0"/>
      <w:divBdr>
        <w:top w:val="none" w:sz="0" w:space="0" w:color="auto"/>
        <w:left w:val="none" w:sz="0" w:space="0" w:color="auto"/>
        <w:bottom w:val="none" w:sz="0" w:space="0" w:color="auto"/>
        <w:right w:val="none" w:sz="0" w:space="0" w:color="auto"/>
      </w:divBdr>
      <w:divsChild>
        <w:div w:id="280233991">
          <w:marLeft w:val="0"/>
          <w:marRight w:val="0"/>
          <w:marTop w:val="0"/>
          <w:marBottom w:val="0"/>
          <w:divBdr>
            <w:top w:val="none" w:sz="0" w:space="0" w:color="auto"/>
            <w:left w:val="none" w:sz="0" w:space="0" w:color="auto"/>
            <w:bottom w:val="none" w:sz="0" w:space="0" w:color="auto"/>
            <w:right w:val="none" w:sz="0" w:space="0" w:color="auto"/>
          </w:divBdr>
          <w:divsChild>
            <w:div w:id="1055659320">
              <w:marLeft w:val="0"/>
              <w:marRight w:val="0"/>
              <w:marTop w:val="0"/>
              <w:marBottom w:val="0"/>
              <w:divBdr>
                <w:top w:val="none" w:sz="0" w:space="0" w:color="auto"/>
                <w:left w:val="none" w:sz="0" w:space="0" w:color="auto"/>
                <w:bottom w:val="none" w:sz="0" w:space="0" w:color="auto"/>
                <w:right w:val="none" w:sz="0" w:space="0" w:color="auto"/>
              </w:divBdr>
            </w:div>
          </w:divsChild>
        </w:div>
        <w:div w:id="316693763">
          <w:marLeft w:val="0"/>
          <w:marRight w:val="0"/>
          <w:marTop w:val="0"/>
          <w:marBottom w:val="0"/>
          <w:divBdr>
            <w:top w:val="none" w:sz="0" w:space="0" w:color="auto"/>
            <w:left w:val="none" w:sz="0" w:space="0" w:color="auto"/>
            <w:bottom w:val="none" w:sz="0" w:space="0" w:color="auto"/>
            <w:right w:val="none" w:sz="0" w:space="0" w:color="auto"/>
          </w:divBdr>
          <w:divsChild>
            <w:div w:id="1435248877">
              <w:marLeft w:val="0"/>
              <w:marRight w:val="0"/>
              <w:marTop w:val="0"/>
              <w:marBottom w:val="0"/>
              <w:divBdr>
                <w:top w:val="none" w:sz="0" w:space="0" w:color="auto"/>
                <w:left w:val="none" w:sz="0" w:space="0" w:color="auto"/>
                <w:bottom w:val="none" w:sz="0" w:space="0" w:color="auto"/>
                <w:right w:val="none" w:sz="0" w:space="0" w:color="auto"/>
              </w:divBdr>
            </w:div>
          </w:divsChild>
        </w:div>
        <w:div w:id="769811458">
          <w:marLeft w:val="0"/>
          <w:marRight w:val="0"/>
          <w:marTop w:val="0"/>
          <w:marBottom w:val="0"/>
          <w:divBdr>
            <w:top w:val="none" w:sz="0" w:space="0" w:color="auto"/>
            <w:left w:val="none" w:sz="0" w:space="0" w:color="auto"/>
            <w:bottom w:val="none" w:sz="0" w:space="0" w:color="auto"/>
            <w:right w:val="none" w:sz="0" w:space="0" w:color="auto"/>
          </w:divBdr>
          <w:divsChild>
            <w:div w:id="172571653">
              <w:marLeft w:val="0"/>
              <w:marRight w:val="0"/>
              <w:marTop w:val="0"/>
              <w:marBottom w:val="0"/>
              <w:divBdr>
                <w:top w:val="none" w:sz="0" w:space="0" w:color="auto"/>
                <w:left w:val="none" w:sz="0" w:space="0" w:color="auto"/>
                <w:bottom w:val="none" w:sz="0" w:space="0" w:color="auto"/>
                <w:right w:val="none" w:sz="0" w:space="0" w:color="auto"/>
              </w:divBdr>
            </w:div>
          </w:divsChild>
        </w:div>
        <w:div w:id="991178991">
          <w:marLeft w:val="0"/>
          <w:marRight w:val="0"/>
          <w:marTop w:val="0"/>
          <w:marBottom w:val="0"/>
          <w:divBdr>
            <w:top w:val="none" w:sz="0" w:space="0" w:color="auto"/>
            <w:left w:val="none" w:sz="0" w:space="0" w:color="auto"/>
            <w:bottom w:val="none" w:sz="0" w:space="0" w:color="auto"/>
            <w:right w:val="none" w:sz="0" w:space="0" w:color="auto"/>
          </w:divBdr>
          <w:divsChild>
            <w:div w:id="367603420">
              <w:marLeft w:val="0"/>
              <w:marRight w:val="0"/>
              <w:marTop w:val="0"/>
              <w:marBottom w:val="0"/>
              <w:divBdr>
                <w:top w:val="none" w:sz="0" w:space="0" w:color="auto"/>
                <w:left w:val="none" w:sz="0" w:space="0" w:color="auto"/>
                <w:bottom w:val="none" w:sz="0" w:space="0" w:color="auto"/>
                <w:right w:val="none" w:sz="0" w:space="0" w:color="auto"/>
              </w:divBdr>
            </w:div>
          </w:divsChild>
        </w:div>
        <w:div w:id="1123889794">
          <w:marLeft w:val="0"/>
          <w:marRight w:val="0"/>
          <w:marTop w:val="0"/>
          <w:marBottom w:val="0"/>
          <w:divBdr>
            <w:top w:val="none" w:sz="0" w:space="0" w:color="auto"/>
            <w:left w:val="none" w:sz="0" w:space="0" w:color="auto"/>
            <w:bottom w:val="none" w:sz="0" w:space="0" w:color="auto"/>
            <w:right w:val="none" w:sz="0" w:space="0" w:color="auto"/>
          </w:divBdr>
          <w:divsChild>
            <w:div w:id="1184712137">
              <w:marLeft w:val="0"/>
              <w:marRight w:val="0"/>
              <w:marTop w:val="0"/>
              <w:marBottom w:val="0"/>
              <w:divBdr>
                <w:top w:val="none" w:sz="0" w:space="0" w:color="auto"/>
                <w:left w:val="none" w:sz="0" w:space="0" w:color="auto"/>
                <w:bottom w:val="none" w:sz="0" w:space="0" w:color="auto"/>
                <w:right w:val="none" w:sz="0" w:space="0" w:color="auto"/>
              </w:divBdr>
            </w:div>
          </w:divsChild>
        </w:div>
        <w:div w:id="1398821453">
          <w:marLeft w:val="0"/>
          <w:marRight w:val="0"/>
          <w:marTop w:val="0"/>
          <w:marBottom w:val="0"/>
          <w:divBdr>
            <w:top w:val="none" w:sz="0" w:space="0" w:color="auto"/>
            <w:left w:val="none" w:sz="0" w:space="0" w:color="auto"/>
            <w:bottom w:val="none" w:sz="0" w:space="0" w:color="auto"/>
            <w:right w:val="none" w:sz="0" w:space="0" w:color="auto"/>
          </w:divBdr>
          <w:divsChild>
            <w:div w:id="771321789">
              <w:marLeft w:val="0"/>
              <w:marRight w:val="0"/>
              <w:marTop w:val="0"/>
              <w:marBottom w:val="0"/>
              <w:divBdr>
                <w:top w:val="none" w:sz="0" w:space="0" w:color="auto"/>
                <w:left w:val="none" w:sz="0" w:space="0" w:color="auto"/>
                <w:bottom w:val="none" w:sz="0" w:space="0" w:color="auto"/>
                <w:right w:val="none" w:sz="0" w:space="0" w:color="auto"/>
              </w:divBdr>
            </w:div>
            <w:div w:id="976955487">
              <w:marLeft w:val="0"/>
              <w:marRight w:val="0"/>
              <w:marTop w:val="0"/>
              <w:marBottom w:val="0"/>
              <w:divBdr>
                <w:top w:val="none" w:sz="0" w:space="0" w:color="auto"/>
                <w:left w:val="none" w:sz="0" w:space="0" w:color="auto"/>
                <w:bottom w:val="none" w:sz="0" w:space="0" w:color="auto"/>
                <w:right w:val="none" w:sz="0" w:space="0" w:color="auto"/>
              </w:divBdr>
            </w:div>
            <w:div w:id="1296374220">
              <w:marLeft w:val="0"/>
              <w:marRight w:val="0"/>
              <w:marTop w:val="0"/>
              <w:marBottom w:val="0"/>
              <w:divBdr>
                <w:top w:val="none" w:sz="0" w:space="0" w:color="auto"/>
                <w:left w:val="none" w:sz="0" w:space="0" w:color="auto"/>
                <w:bottom w:val="none" w:sz="0" w:space="0" w:color="auto"/>
                <w:right w:val="none" w:sz="0" w:space="0" w:color="auto"/>
              </w:divBdr>
            </w:div>
            <w:div w:id="1484195800">
              <w:marLeft w:val="0"/>
              <w:marRight w:val="0"/>
              <w:marTop w:val="0"/>
              <w:marBottom w:val="0"/>
              <w:divBdr>
                <w:top w:val="none" w:sz="0" w:space="0" w:color="auto"/>
                <w:left w:val="none" w:sz="0" w:space="0" w:color="auto"/>
                <w:bottom w:val="none" w:sz="0" w:space="0" w:color="auto"/>
                <w:right w:val="none" w:sz="0" w:space="0" w:color="auto"/>
              </w:divBdr>
            </w:div>
            <w:div w:id="1620409531">
              <w:marLeft w:val="0"/>
              <w:marRight w:val="0"/>
              <w:marTop w:val="0"/>
              <w:marBottom w:val="0"/>
              <w:divBdr>
                <w:top w:val="none" w:sz="0" w:space="0" w:color="auto"/>
                <w:left w:val="none" w:sz="0" w:space="0" w:color="auto"/>
                <w:bottom w:val="none" w:sz="0" w:space="0" w:color="auto"/>
                <w:right w:val="none" w:sz="0" w:space="0" w:color="auto"/>
              </w:divBdr>
            </w:div>
          </w:divsChild>
        </w:div>
        <w:div w:id="1548757993">
          <w:marLeft w:val="0"/>
          <w:marRight w:val="0"/>
          <w:marTop w:val="0"/>
          <w:marBottom w:val="0"/>
          <w:divBdr>
            <w:top w:val="none" w:sz="0" w:space="0" w:color="auto"/>
            <w:left w:val="none" w:sz="0" w:space="0" w:color="auto"/>
            <w:bottom w:val="none" w:sz="0" w:space="0" w:color="auto"/>
            <w:right w:val="none" w:sz="0" w:space="0" w:color="auto"/>
          </w:divBdr>
          <w:divsChild>
            <w:div w:id="1489322044">
              <w:marLeft w:val="0"/>
              <w:marRight w:val="0"/>
              <w:marTop w:val="0"/>
              <w:marBottom w:val="0"/>
              <w:divBdr>
                <w:top w:val="none" w:sz="0" w:space="0" w:color="auto"/>
                <w:left w:val="none" w:sz="0" w:space="0" w:color="auto"/>
                <w:bottom w:val="none" w:sz="0" w:space="0" w:color="auto"/>
                <w:right w:val="none" w:sz="0" w:space="0" w:color="auto"/>
              </w:divBdr>
            </w:div>
          </w:divsChild>
        </w:div>
        <w:div w:id="1699311326">
          <w:marLeft w:val="0"/>
          <w:marRight w:val="0"/>
          <w:marTop w:val="0"/>
          <w:marBottom w:val="0"/>
          <w:divBdr>
            <w:top w:val="none" w:sz="0" w:space="0" w:color="auto"/>
            <w:left w:val="none" w:sz="0" w:space="0" w:color="auto"/>
            <w:bottom w:val="none" w:sz="0" w:space="0" w:color="auto"/>
            <w:right w:val="none" w:sz="0" w:space="0" w:color="auto"/>
          </w:divBdr>
          <w:divsChild>
            <w:div w:id="235866132">
              <w:marLeft w:val="0"/>
              <w:marRight w:val="0"/>
              <w:marTop w:val="0"/>
              <w:marBottom w:val="0"/>
              <w:divBdr>
                <w:top w:val="none" w:sz="0" w:space="0" w:color="auto"/>
                <w:left w:val="none" w:sz="0" w:space="0" w:color="auto"/>
                <w:bottom w:val="none" w:sz="0" w:space="0" w:color="auto"/>
                <w:right w:val="none" w:sz="0" w:space="0" w:color="auto"/>
              </w:divBdr>
            </w:div>
          </w:divsChild>
        </w:div>
        <w:div w:id="1996569920">
          <w:marLeft w:val="0"/>
          <w:marRight w:val="0"/>
          <w:marTop w:val="0"/>
          <w:marBottom w:val="0"/>
          <w:divBdr>
            <w:top w:val="none" w:sz="0" w:space="0" w:color="auto"/>
            <w:left w:val="none" w:sz="0" w:space="0" w:color="auto"/>
            <w:bottom w:val="none" w:sz="0" w:space="0" w:color="auto"/>
            <w:right w:val="none" w:sz="0" w:space="0" w:color="auto"/>
          </w:divBdr>
          <w:divsChild>
            <w:div w:id="2114471143">
              <w:marLeft w:val="0"/>
              <w:marRight w:val="0"/>
              <w:marTop w:val="0"/>
              <w:marBottom w:val="0"/>
              <w:divBdr>
                <w:top w:val="none" w:sz="0" w:space="0" w:color="auto"/>
                <w:left w:val="none" w:sz="0" w:space="0" w:color="auto"/>
                <w:bottom w:val="none" w:sz="0" w:space="0" w:color="auto"/>
                <w:right w:val="none" w:sz="0" w:space="0" w:color="auto"/>
              </w:divBdr>
            </w:div>
          </w:divsChild>
        </w:div>
        <w:div w:id="2121410419">
          <w:marLeft w:val="0"/>
          <w:marRight w:val="0"/>
          <w:marTop w:val="0"/>
          <w:marBottom w:val="0"/>
          <w:divBdr>
            <w:top w:val="none" w:sz="0" w:space="0" w:color="auto"/>
            <w:left w:val="none" w:sz="0" w:space="0" w:color="auto"/>
            <w:bottom w:val="none" w:sz="0" w:space="0" w:color="auto"/>
            <w:right w:val="none" w:sz="0" w:space="0" w:color="auto"/>
          </w:divBdr>
          <w:divsChild>
            <w:div w:id="83847389">
              <w:marLeft w:val="0"/>
              <w:marRight w:val="0"/>
              <w:marTop w:val="0"/>
              <w:marBottom w:val="0"/>
              <w:divBdr>
                <w:top w:val="none" w:sz="0" w:space="0" w:color="auto"/>
                <w:left w:val="none" w:sz="0" w:space="0" w:color="auto"/>
                <w:bottom w:val="none" w:sz="0" w:space="0" w:color="auto"/>
                <w:right w:val="none" w:sz="0" w:space="0" w:color="auto"/>
              </w:divBdr>
            </w:div>
            <w:div w:id="1765879588">
              <w:marLeft w:val="0"/>
              <w:marRight w:val="0"/>
              <w:marTop w:val="0"/>
              <w:marBottom w:val="0"/>
              <w:divBdr>
                <w:top w:val="none" w:sz="0" w:space="0" w:color="auto"/>
                <w:left w:val="none" w:sz="0" w:space="0" w:color="auto"/>
                <w:bottom w:val="none" w:sz="0" w:space="0" w:color="auto"/>
                <w:right w:val="none" w:sz="0" w:space="0" w:color="auto"/>
              </w:divBdr>
            </w:div>
            <w:div w:id="212568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353274">
      <w:bodyDiv w:val="1"/>
      <w:marLeft w:val="0"/>
      <w:marRight w:val="0"/>
      <w:marTop w:val="0"/>
      <w:marBottom w:val="0"/>
      <w:divBdr>
        <w:top w:val="none" w:sz="0" w:space="0" w:color="auto"/>
        <w:left w:val="none" w:sz="0" w:space="0" w:color="auto"/>
        <w:bottom w:val="none" w:sz="0" w:space="0" w:color="auto"/>
        <w:right w:val="none" w:sz="0" w:space="0" w:color="auto"/>
      </w:divBdr>
    </w:div>
    <w:div w:id="365644457">
      <w:bodyDiv w:val="1"/>
      <w:marLeft w:val="0"/>
      <w:marRight w:val="0"/>
      <w:marTop w:val="0"/>
      <w:marBottom w:val="0"/>
      <w:divBdr>
        <w:top w:val="none" w:sz="0" w:space="0" w:color="auto"/>
        <w:left w:val="none" w:sz="0" w:space="0" w:color="auto"/>
        <w:bottom w:val="none" w:sz="0" w:space="0" w:color="auto"/>
        <w:right w:val="none" w:sz="0" w:space="0" w:color="auto"/>
      </w:divBdr>
    </w:div>
    <w:div w:id="406730770">
      <w:bodyDiv w:val="1"/>
      <w:marLeft w:val="0"/>
      <w:marRight w:val="0"/>
      <w:marTop w:val="0"/>
      <w:marBottom w:val="0"/>
      <w:divBdr>
        <w:top w:val="none" w:sz="0" w:space="0" w:color="auto"/>
        <w:left w:val="none" w:sz="0" w:space="0" w:color="auto"/>
        <w:bottom w:val="none" w:sz="0" w:space="0" w:color="auto"/>
        <w:right w:val="none" w:sz="0" w:space="0" w:color="auto"/>
      </w:divBdr>
      <w:divsChild>
        <w:div w:id="42875347">
          <w:marLeft w:val="0"/>
          <w:marRight w:val="0"/>
          <w:marTop w:val="0"/>
          <w:marBottom w:val="0"/>
          <w:divBdr>
            <w:top w:val="none" w:sz="0" w:space="0" w:color="auto"/>
            <w:left w:val="none" w:sz="0" w:space="0" w:color="auto"/>
            <w:bottom w:val="none" w:sz="0" w:space="0" w:color="auto"/>
            <w:right w:val="none" w:sz="0" w:space="0" w:color="auto"/>
          </w:divBdr>
          <w:divsChild>
            <w:div w:id="1249730603">
              <w:marLeft w:val="0"/>
              <w:marRight w:val="0"/>
              <w:marTop w:val="0"/>
              <w:marBottom w:val="0"/>
              <w:divBdr>
                <w:top w:val="none" w:sz="0" w:space="0" w:color="auto"/>
                <w:left w:val="none" w:sz="0" w:space="0" w:color="auto"/>
                <w:bottom w:val="none" w:sz="0" w:space="0" w:color="auto"/>
                <w:right w:val="none" w:sz="0" w:space="0" w:color="auto"/>
              </w:divBdr>
            </w:div>
          </w:divsChild>
        </w:div>
        <w:div w:id="99961459">
          <w:marLeft w:val="0"/>
          <w:marRight w:val="0"/>
          <w:marTop w:val="0"/>
          <w:marBottom w:val="0"/>
          <w:divBdr>
            <w:top w:val="none" w:sz="0" w:space="0" w:color="auto"/>
            <w:left w:val="none" w:sz="0" w:space="0" w:color="auto"/>
            <w:bottom w:val="none" w:sz="0" w:space="0" w:color="auto"/>
            <w:right w:val="none" w:sz="0" w:space="0" w:color="auto"/>
          </w:divBdr>
          <w:divsChild>
            <w:div w:id="1655522372">
              <w:marLeft w:val="0"/>
              <w:marRight w:val="0"/>
              <w:marTop w:val="0"/>
              <w:marBottom w:val="0"/>
              <w:divBdr>
                <w:top w:val="none" w:sz="0" w:space="0" w:color="auto"/>
                <w:left w:val="none" w:sz="0" w:space="0" w:color="auto"/>
                <w:bottom w:val="none" w:sz="0" w:space="0" w:color="auto"/>
                <w:right w:val="none" w:sz="0" w:space="0" w:color="auto"/>
              </w:divBdr>
            </w:div>
          </w:divsChild>
        </w:div>
        <w:div w:id="157693598">
          <w:marLeft w:val="0"/>
          <w:marRight w:val="0"/>
          <w:marTop w:val="0"/>
          <w:marBottom w:val="0"/>
          <w:divBdr>
            <w:top w:val="none" w:sz="0" w:space="0" w:color="auto"/>
            <w:left w:val="none" w:sz="0" w:space="0" w:color="auto"/>
            <w:bottom w:val="none" w:sz="0" w:space="0" w:color="auto"/>
            <w:right w:val="none" w:sz="0" w:space="0" w:color="auto"/>
          </w:divBdr>
          <w:divsChild>
            <w:div w:id="1831867650">
              <w:marLeft w:val="0"/>
              <w:marRight w:val="0"/>
              <w:marTop w:val="0"/>
              <w:marBottom w:val="0"/>
              <w:divBdr>
                <w:top w:val="none" w:sz="0" w:space="0" w:color="auto"/>
                <w:left w:val="none" w:sz="0" w:space="0" w:color="auto"/>
                <w:bottom w:val="none" w:sz="0" w:space="0" w:color="auto"/>
                <w:right w:val="none" w:sz="0" w:space="0" w:color="auto"/>
              </w:divBdr>
            </w:div>
          </w:divsChild>
        </w:div>
        <w:div w:id="198707152">
          <w:marLeft w:val="0"/>
          <w:marRight w:val="0"/>
          <w:marTop w:val="0"/>
          <w:marBottom w:val="0"/>
          <w:divBdr>
            <w:top w:val="none" w:sz="0" w:space="0" w:color="auto"/>
            <w:left w:val="none" w:sz="0" w:space="0" w:color="auto"/>
            <w:bottom w:val="none" w:sz="0" w:space="0" w:color="auto"/>
            <w:right w:val="none" w:sz="0" w:space="0" w:color="auto"/>
          </w:divBdr>
          <w:divsChild>
            <w:div w:id="1616214375">
              <w:marLeft w:val="0"/>
              <w:marRight w:val="0"/>
              <w:marTop w:val="0"/>
              <w:marBottom w:val="0"/>
              <w:divBdr>
                <w:top w:val="none" w:sz="0" w:space="0" w:color="auto"/>
                <w:left w:val="none" w:sz="0" w:space="0" w:color="auto"/>
                <w:bottom w:val="none" w:sz="0" w:space="0" w:color="auto"/>
                <w:right w:val="none" w:sz="0" w:space="0" w:color="auto"/>
              </w:divBdr>
            </w:div>
          </w:divsChild>
        </w:div>
        <w:div w:id="246961263">
          <w:marLeft w:val="0"/>
          <w:marRight w:val="0"/>
          <w:marTop w:val="0"/>
          <w:marBottom w:val="0"/>
          <w:divBdr>
            <w:top w:val="none" w:sz="0" w:space="0" w:color="auto"/>
            <w:left w:val="none" w:sz="0" w:space="0" w:color="auto"/>
            <w:bottom w:val="none" w:sz="0" w:space="0" w:color="auto"/>
            <w:right w:val="none" w:sz="0" w:space="0" w:color="auto"/>
          </w:divBdr>
          <w:divsChild>
            <w:div w:id="1569535967">
              <w:marLeft w:val="0"/>
              <w:marRight w:val="0"/>
              <w:marTop w:val="0"/>
              <w:marBottom w:val="0"/>
              <w:divBdr>
                <w:top w:val="none" w:sz="0" w:space="0" w:color="auto"/>
                <w:left w:val="none" w:sz="0" w:space="0" w:color="auto"/>
                <w:bottom w:val="none" w:sz="0" w:space="0" w:color="auto"/>
                <w:right w:val="none" w:sz="0" w:space="0" w:color="auto"/>
              </w:divBdr>
            </w:div>
          </w:divsChild>
        </w:div>
        <w:div w:id="304168870">
          <w:marLeft w:val="0"/>
          <w:marRight w:val="0"/>
          <w:marTop w:val="0"/>
          <w:marBottom w:val="0"/>
          <w:divBdr>
            <w:top w:val="none" w:sz="0" w:space="0" w:color="auto"/>
            <w:left w:val="none" w:sz="0" w:space="0" w:color="auto"/>
            <w:bottom w:val="none" w:sz="0" w:space="0" w:color="auto"/>
            <w:right w:val="none" w:sz="0" w:space="0" w:color="auto"/>
          </w:divBdr>
          <w:divsChild>
            <w:div w:id="1702365318">
              <w:marLeft w:val="0"/>
              <w:marRight w:val="0"/>
              <w:marTop w:val="0"/>
              <w:marBottom w:val="0"/>
              <w:divBdr>
                <w:top w:val="none" w:sz="0" w:space="0" w:color="auto"/>
                <w:left w:val="none" w:sz="0" w:space="0" w:color="auto"/>
                <w:bottom w:val="none" w:sz="0" w:space="0" w:color="auto"/>
                <w:right w:val="none" w:sz="0" w:space="0" w:color="auto"/>
              </w:divBdr>
            </w:div>
          </w:divsChild>
        </w:div>
        <w:div w:id="355617463">
          <w:marLeft w:val="0"/>
          <w:marRight w:val="0"/>
          <w:marTop w:val="0"/>
          <w:marBottom w:val="0"/>
          <w:divBdr>
            <w:top w:val="none" w:sz="0" w:space="0" w:color="auto"/>
            <w:left w:val="none" w:sz="0" w:space="0" w:color="auto"/>
            <w:bottom w:val="none" w:sz="0" w:space="0" w:color="auto"/>
            <w:right w:val="none" w:sz="0" w:space="0" w:color="auto"/>
          </w:divBdr>
          <w:divsChild>
            <w:div w:id="532114834">
              <w:marLeft w:val="0"/>
              <w:marRight w:val="0"/>
              <w:marTop w:val="0"/>
              <w:marBottom w:val="0"/>
              <w:divBdr>
                <w:top w:val="none" w:sz="0" w:space="0" w:color="auto"/>
                <w:left w:val="none" w:sz="0" w:space="0" w:color="auto"/>
                <w:bottom w:val="none" w:sz="0" w:space="0" w:color="auto"/>
                <w:right w:val="none" w:sz="0" w:space="0" w:color="auto"/>
              </w:divBdr>
            </w:div>
          </w:divsChild>
        </w:div>
        <w:div w:id="381369602">
          <w:marLeft w:val="0"/>
          <w:marRight w:val="0"/>
          <w:marTop w:val="0"/>
          <w:marBottom w:val="0"/>
          <w:divBdr>
            <w:top w:val="none" w:sz="0" w:space="0" w:color="auto"/>
            <w:left w:val="none" w:sz="0" w:space="0" w:color="auto"/>
            <w:bottom w:val="none" w:sz="0" w:space="0" w:color="auto"/>
            <w:right w:val="none" w:sz="0" w:space="0" w:color="auto"/>
          </w:divBdr>
          <w:divsChild>
            <w:div w:id="686323534">
              <w:marLeft w:val="0"/>
              <w:marRight w:val="0"/>
              <w:marTop w:val="0"/>
              <w:marBottom w:val="0"/>
              <w:divBdr>
                <w:top w:val="none" w:sz="0" w:space="0" w:color="auto"/>
                <w:left w:val="none" w:sz="0" w:space="0" w:color="auto"/>
                <w:bottom w:val="none" w:sz="0" w:space="0" w:color="auto"/>
                <w:right w:val="none" w:sz="0" w:space="0" w:color="auto"/>
              </w:divBdr>
            </w:div>
          </w:divsChild>
        </w:div>
        <w:div w:id="495652266">
          <w:marLeft w:val="0"/>
          <w:marRight w:val="0"/>
          <w:marTop w:val="0"/>
          <w:marBottom w:val="0"/>
          <w:divBdr>
            <w:top w:val="none" w:sz="0" w:space="0" w:color="auto"/>
            <w:left w:val="none" w:sz="0" w:space="0" w:color="auto"/>
            <w:bottom w:val="none" w:sz="0" w:space="0" w:color="auto"/>
            <w:right w:val="none" w:sz="0" w:space="0" w:color="auto"/>
          </w:divBdr>
          <w:divsChild>
            <w:div w:id="1080443255">
              <w:marLeft w:val="0"/>
              <w:marRight w:val="0"/>
              <w:marTop w:val="0"/>
              <w:marBottom w:val="0"/>
              <w:divBdr>
                <w:top w:val="none" w:sz="0" w:space="0" w:color="auto"/>
                <w:left w:val="none" w:sz="0" w:space="0" w:color="auto"/>
                <w:bottom w:val="none" w:sz="0" w:space="0" w:color="auto"/>
                <w:right w:val="none" w:sz="0" w:space="0" w:color="auto"/>
              </w:divBdr>
            </w:div>
          </w:divsChild>
        </w:div>
        <w:div w:id="754671529">
          <w:marLeft w:val="0"/>
          <w:marRight w:val="0"/>
          <w:marTop w:val="0"/>
          <w:marBottom w:val="0"/>
          <w:divBdr>
            <w:top w:val="none" w:sz="0" w:space="0" w:color="auto"/>
            <w:left w:val="none" w:sz="0" w:space="0" w:color="auto"/>
            <w:bottom w:val="none" w:sz="0" w:space="0" w:color="auto"/>
            <w:right w:val="none" w:sz="0" w:space="0" w:color="auto"/>
          </w:divBdr>
          <w:divsChild>
            <w:div w:id="676268521">
              <w:marLeft w:val="0"/>
              <w:marRight w:val="0"/>
              <w:marTop w:val="0"/>
              <w:marBottom w:val="0"/>
              <w:divBdr>
                <w:top w:val="none" w:sz="0" w:space="0" w:color="auto"/>
                <w:left w:val="none" w:sz="0" w:space="0" w:color="auto"/>
                <w:bottom w:val="none" w:sz="0" w:space="0" w:color="auto"/>
                <w:right w:val="none" w:sz="0" w:space="0" w:color="auto"/>
              </w:divBdr>
            </w:div>
          </w:divsChild>
        </w:div>
        <w:div w:id="760182804">
          <w:marLeft w:val="0"/>
          <w:marRight w:val="0"/>
          <w:marTop w:val="0"/>
          <w:marBottom w:val="0"/>
          <w:divBdr>
            <w:top w:val="none" w:sz="0" w:space="0" w:color="auto"/>
            <w:left w:val="none" w:sz="0" w:space="0" w:color="auto"/>
            <w:bottom w:val="none" w:sz="0" w:space="0" w:color="auto"/>
            <w:right w:val="none" w:sz="0" w:space="0" w:color="auto"/>
          </w:divBdr>
          <w:divsChild>
            <w:div w:id="1414401393">
              <w:marLeft w:val="0"/>
              <w:marRight w:val="0"/>
              <w:marTop w:val="0"/>
              <w:marBottom w:val="0"/>
              <w:divBdr>
                <w:top w:val="none" w:sz="0" w:space="0" w:color="auto"/>
                <w:left w:val="none" w:sz="0" w:space="0" w:color="auto"/>
                <w:bottom w:val="none" w:sz="0" w:space="0" w:color="auto"/>
                <w:right w:val="none" w:sz="0" w:space="0" w:color="auto"/>
              </w:divBdr>
            </w:div>
          </w:divsChild>
        </w:div>
        <w:div w:id="813179091">
          <w:marLeft w:val="0"/>
          <w:marRight w:val="0"/>
          <w:marTop w:val="0"/>
          <w:marBottom w:val="0"/>
          <w:divBdr>
            <w:top w:val="none" w:sz="0" w:space="0" w:color="auto"/>
            <w:left w:val="none" w:sz="0" w:space="0" w:color="auto"/>
            <w:bottom w:val="none" w:sz="0" w:space="0" w:color="auto"/>
            <w:right w:val="none" w:sz="0" w:space="0" w:color="auto"/>
          </w:divBdr>
          <w:divsChild>
            <w:div w:id="471794970">
              <w:marLeft w:val="0"/>
              <w:marRight w:val="0"/>
              <w:marTop w:val="0"/>
              <w:marBottom w:val="0"/>
              <w:divBdr>
                <w:top w:val="none" w:sz="0" w:space="0" w:color="auto"/>
                <w:left w:val="none" w:sz="0" w:space="0" w:color="auto"/>
                <w:bottom w:val="none" w:sz="0" w:space="0" w:color="auto"/>
                <w:right w:val="none" w:sz="0" w:space="0" w:color="auto"/>
              </w:divBdr>
            </w:div>
          </w:divsChild>
        </w:div>
        <w:div w:id="949780154">
          <w:marLeft w:val="0"/>
          <w:marRight w:val="0"/>
          <w:marTop w:val="0"/>
          <w:marBottom w:val="0"/>
          <w:divBdr>
            <w:top w:val="none" w:sz="0" w:space="0" w:color="auto"/>
            <w:left w:val="none" w:sz="0" w:space="0" w:color="auto"/>
            <w:bottom w:val="none" w:sz="0" w:space="0" w:color="auto"/>
            <w:right w:val="none" w:sz="0" w:space="0" w:color="auto"/>
          </w:divBdr>
          <w:divsChild>
            <w:div w:id="220334762">
              <w:marLeft w:val="0"/>
              <w:marRight w:val="0"/>
              <w:marTop w:val="0"/>
              <w:marBottom w:val="0"/>
              <w:divBdr>
                <w:top w:val="none" w:sz="0" w:space="0" w:color="auto"/>
                <w:left w:val="none" w:sz="0" w:space="0" w:color="auto"/>
                <w:bottom w:val="none" w:sz="0" w:space="0" w:color="auto"/>
                <w:right w:val="none" w:sz="0" w:space="0" w:color="auto"/>
              </w:divBdr>
            </w:div>
          </w:divsChild>
        </w:div>
        <w:div w:id="1024552165">
          <w:marLeft w:val="0"/>
          <w:marRight w:val="0"/>
          <w:marTop w:val="0"/>
          <w:marBottom w:val="0"/>
          <w:divBdr>
            <w:top w:val="none" w:sz="0" w:space="0" w:color="auto"/>
            <w:left w:val="none" w:sz="0" w:space="0" w:color="auto"/>
            <w:bottom w:val="none" w:sz="0" w:space="0" w:color="auto"/>
            <w:right w:val="none" w:sz="0" w:space="0" w:color="auto"/>
          </w:divBdr>
          <w:divsChild>
            <w:div w:id="880635243">
              <w:marLeft w:val="0"/>
              <w:marRight w:val="0"/>
              <w:marTop w:val="0"/>
              <w:marBottom w:val="0"/>
              <w:divBdr>
                <w:top w:val="none" w:sz="0" w:space="0" w:color="auto"/>
                <w:left w:val="none" w:sz="0" w:space="0" w:color="auto"/>
                <w:bottom w:val="none" w:sz="0" w:space="0" w:color="auto"/>
                <w:right w:val="none" w:sz="0" w:space="0" w:color="auto"/>
              </w:divBdr>
            </w:div>
          </w:divsChild>
        </w:div>
        <w:div w:id="1127311569">
          <w:marLeft w:val="0"/>
          <w:marRight w:val="0"/>
          <w:marTop w:val="0"/>
          <w:marBottom w:val="0"/>
          <w:divBdr>
            <w:top w:val="none" w:sz="0" w:space="0" w:color="auto"/>
            <w:left w:val="none" w:sz="0" w:space="0" w:color="auto"/>
            <w:bottom w:val="none" w:sz="0" w:space="0" w:color="auto"/>
            <w:right w:val="none" w:sz="0" w:space="0" w:color="auto"/>
          </w:divBdr>
          <w:divsChild>
            <w:div w:id="127864574">
              <w:marLeft w:val="0"/>
              <w:marRight w:val="0"/>
              <w:marTop w:val="0"/>
              <w:marBottom w:val="0"/>
              <w:divBdr>
                <w:top w:val="none" w:sz="0" w:space="0" w:color="auto"/>
                <w:left w:val="none" w:sz="0" w:space="0" w:color="auto"/>
                <w:bottom w:val="none" w:sz="0" w:space="0" w:color="auto"/>
                <w:right w:val="none" w:sz="0" w:space="0" w:color="auto"/>
              </w:divBdr>
            </w:div>
          </w:divsChild>
        </w:div>
        <w:div w:id="1176730398">
          <w:marLeft w:val="0"/>
          <w:marRight w:val="0"/>
          <w:marTop w:val="0"/>
          <w:marBottom w:val="0"/>
          <w:divBdr>
            <w:top w:val="none" w:sz="0" w:space="0" w:color="auto"/>
            <w:left w:val="none" w:sz="0" w:space="0" w:color="auto"/>
            <w:bottom w:val="none" w:sz="0" w:space="0" w:color="auto"/>
            <w:right w:val="none" w:sz="0" w:space="0" w:color="auto"/>
          </w:divBdr>
          <w:divsChild>
            <w:div w:id="2038121312">
              <w:marLeft w:val="0"/>
              <w:marRight w:val="0"/>
              <w:marTop w:val="0"/>
              <w:marBottom w:val="0"/>
              <w:divBdr>
                <w:top w:val="none" w:sz="0" w:space="0" w:color="auto"/>
                <w:left w:val="none" w:sz="0" w:space="0" w:color="auto"/>
                <w:bottom w:val="none" w:sz="0" w:space="0" w:color="auto"/>
                <w:right w:val="none" w:sz="0" w:space="0" w:color="auto"/>
              </w:divBdr>
            </w:div>
          </w:divsChild>
        </w:div>
        <w:div w:id="1189415699">
          <w:marLeft w:val="0"/>
          <w:marRight w:val="0"/>
          <w:marTop w:val="0"/>
          <w:marBottom w:val="0"/>
          <w:divBdr>
            <w:top w:val="none" w:sz="0" w:space="0" w:color="auto"/>
            <w:left w:val="none" w:sz="0" w:space="0" w:color="auto"/>
            <w:bottom w:val="none" w:sz="0" w:space="0" w:color="auto"/>
            <w:right w:val="none" w:sz="0" w:space="0" w:color="auto"/>
          </w:divBdr>
          <w:divsChild>
            <w:div w:id="167721446">
              <w:marLeft w:val="0"/>
              <w:marRight w:val="0"/>
              <w:marTop w:val="0"/>
              <w:marBottom w:val="0"/>
              <w:divBdr>
                <w:top w:val="none" w:sz="0" w:space="0" w:color="auto"/>
                <w:left w:val="none" w:sz="0" w:space="0" w:color="auto"/>
                <w:bottom w:val="none" w:sz="0" w:space="0" w:color="auto"/>
                <w:right w:val="none" w:sz="0" w:space="0" w:color="auto"/>
              </w:divBdr>
            </w:div>
          </w:divsChild>
        </w:div>
        <w:div w:id="1193110095">
          <w:marLeft w:val="0"/>
          <w:marRight w:val="0"/>
          <w:marTop w:val="0"/>
          <w:marBottom w:val="0"/>
          <w:divBdr>
            <w:top w:val="none" w:sz="0" w:space="0" w:color="auto"/>
            <w:left w:val="none" w:sz="0" w:space="0" w:color="auto"/>
            <w:bottom w:val="none" w:sz="0" w:space="0" w:color="auto"/>
            <w:right w:val="none" w:sz="0" w:space="0" w:color="auto"/>
          </w:divBdr>
          <w:divsChild>
            <w:div w:id="802968867">
              <w:marLeft w:val="0"/>
              <w:marRight w:val="0"/>
              <w:marTop w:val="0"/>
              <w:marBottom w:val="0"/>
              <w:divBdr>
                <w:top w:val="none" w:sz="0" w:space="0" w:color="auto"/>
                <w:left w:val="none" w:sz="0" w:space="0" w:color="auto"/>
                <w:bottom w:val="none" w:sz="0" w:space="0" w:color="auto"/>
                <w:right w:val="none" w:sz="0" w:space="0" w:color="auto"/>
              </w:divBdr>
            </w:div>
          </w:divsChild>
        </w:div>
        <w:div w:id="1228876295">
          <w:marLeft w:val="0"/>
          <w:marRight w:val="0"/>
          <w:marTop w:val="0"/>
          <w:marBottom w:val="0"/>
          <w:divBdr>
            <w:top w:val="none" w:sz="0" w:space="0" w:color="auto"/>
            <w:left w:val="none" w:sz="0" w:space="0" w:color="auto"/>
            <w:bottom w:val="none" w:sz="0" w:space="0" w:color="auto"/>
            <w:right w:val="none" w:sz="0" w:space="0" w:color="auto"/>
          </w:divBdr>
          <w:divsChild>
            <w:div w:id="1021978001">
              <w:marLeft w:val="0"/>
              <w:marRight w:val="0"/>
              <w:marTop w:val="0"/>
              <w:marBottom w:val="0"/>
              <w:divBdr>
                <w:top w:val="none" w:sz="0" w:space="0" w:color="auto"/>
                <w:left w:val="none" w:sz="0" w:space="0" w:color="auto"/>
                <w:bottom w:val="none" w:sz="0" w:space="0" w:color="auto"/>
                <w:right w:val="none" w:sz="0" w:space="0" w:color="auto"/>
              </w:divBdr>
            </w:div>
          </w:divsChild>
        </w:div>
        <w:div w:id="1301962475">
          <w:marLeft w:val="0"/>
          <w:marRight w:val="0"/>
          <w:marTop w:val="0"/>
          <w:marBottom w:val="0"/>
          <w:divBdr>
            <w:top w:val="none" w:sz="0" w:space="0" w:color="auto"/>
            <w:left w:val="none" w:sz="0" w:space="0" w:color="auto"/>
            <w:bottom w:val="none" w:sz="0" w:space="0" w:color="auto"/>
            <w:right w:val="none" w:sz="0" w:space="0" w:color="auto"/>
          </w:divBdr>
          <w:divsChild>
            <w:div w:id="1910992322">
              <w:marLeft w:val="0"/>
              <w:marRight w:val="0"/>
              <w:marTop w:val="0"/>
              <w:marBottom w:val="0"/>
              <w:divBdr>
                <w:top w:val="none" w:sz="0" w:space="0" w:color="auto"/>
                <w:left w:val="none" w:sz="0" w:space="0" w:color="auto"/>
                <w:bottom w:val="none" w:sz="0" w:space="0" w:color="auto"/>
                <w:right w:val="none" w:sz="0" w:space="0" w:color="auto"/>
              </w:divBdr>
            </w:div>
          </w:divsChild>
        </w:div>
        <w:div w:id="1341275120">
          <w:marLeft w:val="0"/>
          <w:marRight w:val="0"/>
          <w:marTop w:val="0"/>
          <w:marBottom w:val="0"/>
          <w:divBdr>
            <w:top w:val="none" w:sz="0" w:space="0" w:color="auto"/>
            <w:left w:val="none" w:sz="0" w:space="0" w:color="auto"/>
            <w:bottom w:val="none" w:sz="0" w:space="0" w:color="auto"/>
            <w:right w:val="none" w:sz="0" w:space="0" w:color="auto"/>
          </w:divBdr>
          <w:divsChild>
            <w:div w:id="1669869463">
              <w:marLeft w:val="0"/>
              <w:marRight w:val="0"/>
              <w:marTop w:val="0"/>
              <w:marBottom w:val="0"/>
              <w:divBdr>
                <w:top w:val="none" w:sz="0" w:space="0" w:color="auto"/>
                <w:left w:val="none" w:sz="0" w:space="0" w:color="auto"/>
                <w:bottom w:val="none" w:sz="0" w:space="0" w:color="auto"/>
                <w:right w:val="none" w:sz="0" w:space="0" w:color="auto"/>
              </w:divBdr>
            </w:div>
          </w:divsChild>
        </w:div>
        <w:div w:id="1395203470">
          <w:marLeft w:val="0"/>
          <w:marRight w:val="0"/>
          <w:marTop w:val="0"/>
          <w:marBottom w:val="0"/>
          <w:divBdr>
            <w:top w:val="none" w:sz="0" w:space="0" w:color="auto"/>
            <w:left w:val="none" w:sz="0" w:space="0" w:color="auto"/>
            <w:bottom w:val="none" w:sz="0" w:space="0" w:color="auto"/>
            <w:right w:val="none" w:sz="0" w:space="0" w:color="auto"/>
          </w:divBdr>
          <w:divsChild>
            <w:div w:id="107480266">
              <w:marLeft w:val="0"/>
              <w:marRight w:val="0"/>
              <w:marTop w:val="0"/>
              <w:marBottom w:val="0"/>
              <w:divBdr>
                <w:top w:val="none" w:sz="0" w:space="0" w:color="auto"/>
                <w:left w:val="none" w:sz="0" w:space="0" w:color="auto"/>
                <w:bottom w:val="none" w:sz="0" w:space="0" w:color="auto"/>
                <w:right w:val="none" w:sz="0" w:space="0" w:color="auto"/>
              </w:divBdr>
            </w:div>
          </w:divsChild>
        </w:div>
        <w:div w:id="1470709511">
          <w:marLeft w:val="0"/>
          <w:marRight w:val="0"/>
          <w:marTop w:val="0"/>
          <w:marBottom w:val="0"/>
          <w:divBdr>
            <w:top w:val="none" w:sz="0" w:space="0" w:color="auto"/>
            <w:left w:val="none" w:sz="0" w:space="0" w:color="auto"/>
            <w:bottom w:val="none" w:sz="0" w:space="0" w:color="auto"/>
            <w:right w:val="none" w:sz="0" w:space="0" w:color="auto"/>
          </w:divBdr>
          <w:divsChild>
            <w:div w:id="326398506">
              <w:marLeft w:val="0"/>
              <w:marRight w:val="0"/>
              <w:marTop w:val="0"/>
              <w:marBottom w:val="0"/>
              <w:divBdr>
                <w:top w:val="none" w:sz="0" w:space="0" w:color="auto"/>
                <w:left w:val="none" w:sz="0" w:space="0" w:color="auto"/>
                <w:bottom w:val="none" w:sz="0" w:space="0" w:color="auto"/>
                <w:right w:val="none" w:sz="0" w:space="0" w:color="auto"/>
              </w:divBdr>
            </w:div>
          </w:divsChild>
        </w:div>
        <w:div w:id="1489201127">
          <w:marLeft w:val="0"/>
          <w:marRight w:val="0"/>
          <w:marTop w:val="0"/>
          <w:marBottom w:val="0"/>
          <w:divBdr>
            <w:top w:val="none" w:sz="0" w:space="0" w:color="auto"/>
            <w:left w:val="none" w:sz="0" w:space="0" w:color="auto"/>
            <w:bottom w:val="none" w:sz="0" w:space="0" w:color="auto"/>
            <w:right w:val="none" w:sz="0" w:space="0" w:color="auto"/>
          </w:divBdr>
          <w:divsChild>
            <w:div w:id="1938975113">
              <w:marLeft w:val="0"/>
              <w:marRight w:val="0"/>
              <w:marTop w:val="0"/>
              <w:marBottom w:val="0"/>
              <w:divBdr>
                <w:top w:val="none" w:sz="0" w:space="0" w:color="auto"/>
                <w:left w:val="none" w:sz="0" w:space="0" w:color="auto"/>
                <w:bottom w:val="none" w:sz="0" w:space="0" w:color="auto"/>
                <w:right w:val="none" w:sz="0" w:space="0" w:color="auto"/>
              </w:divBdr>
            </w:div>
          </w:divsChild>
        </w:div>
        <w:div w:id="1490174711">
          <w:marLeft w:val="0"/>
          <w:marRight w:val="0"/>
          <w:marTop w:val="0"/>
          <w:marBottom w:val="0"/>
          <w:divBdr>
            <w:top w:val="none" w:sz="0" w:space="0" w:color="auto"/>
            <w:left w:val="none" w:sz="0" w:space="0" w:color="auto"/>
            <w:bottom w:val="none" w:sz="0" w:space="0" w:color="auto"/>
            <w:right w:val="none" w:sz="0" w:space="0" w:color="auto"/>
          </w:divBdr>
          <w:divsChild>
            <w:div w:id="1060904531">
              <w:marLeft w:val="0"/>
              <w:marRight w:val="0"/>
              <w:marTop w:val="0"/>
              <w:marBottom w:val="0"/>
              <w:divBdr>
                <w:top w:val="none" w:sz="0" w:space="0" w:color="auto"/>
                <w:left w:val="none" w:sz="0" w:space="0" w:color="auto"/>
                <w:bottom w:val="none" w:sz="0" w:space="0" w:color="auto"/>
                <w:right w:val="none" w:sz="0" w:space="0" w:color="auto"/>
              </w:divBdr>
            </w:div>
          </w:divsChild>
        </w:div>
        <w:div w:id="1552695864">
          <w:marLeft w:val="0"/>
          <w:marRight w:val="0"/>
          <w:marTop w:val="0"/>
          <w:marBottom w:val="0"/>
          <w:divBdr>
            <w:top w:val="none" w:sz="0" w:space="0" w:color="auto"/>
            <w:left w:val="none" w:sz="0" w:space="0" w:color="auto"/>
            <w:bottom w:val="none" w:sz="0" w:space="0" w:color="auto"/>
            <w:right w:val="none" w:sz="0" w:space="0" w:color="auto"/>
          </w:divBdr>
          <w:divsChild>
            <w:div w:id="1443182078">
              <w:marLeft w:val="0"/>
              <w:marRight w:val="0"/>
              <w:marTop w:val="0"/>
              <w:marBottom w:val="0"/>
              <w:divBdr>
                <w:top w:val="none" w:sz="0" w:space="0" w:color="auto"/>
                <w:left w:val="none" w:sz="0" w:space="0" w:color="auto"/>
                <w:bottom w:val="none" w:sz="0" w:space="0" w:color="auto"/>
                <w:right w:val="none" w:sz="0" w:space="0" w:color="auto"/>
              </w:divBdr>
            </w:div>
          </w:divsChild>
        </w:div>
        <w:div w:id="1709527222">
          <w:marLeft w:val="0"/>
          <w:marRight w:val="0"/>
          <w:marTop w:val="0"/>
          <w:marBottom w:val="0"/>
          <w:divBdr>
            <w:top w:val="none" w:sz="0" w:space="0" w:color="auto"/>
            <w:left w:val="none" w:sz="0" w:space="0" w:color="auto"/>
            <w:bottom w:val="none" w:sz="0" w:space="0" w:color="auto"/>
            <w:right w:val="none" w:sz="0" w:space="0" w:color="auto"/>
          </w:divBdr>
          <w:divsChild>
            <w:div w:id="852692649">
              <w:marLeft w:val="0"/>
              <w:marRight w:val="0"/>
              <w:marTop w:val="0"/>
              <w:marBottom w:val="0"/>
              <w:divBdr>
                <w:top w:val="none" w:sz="0" w:space="0" w:color="auto"/>
                <w:left w:val="none" w:sz="0" w:space="0" w:color="auto"/>
                <w:bottom w:val="none" w:sz="0" w:space="0" w:color="auto"/>
                <w:right w:val="none" w:sz="0" w:space="0" w:color="auto"/>
              </w:divBdr>
            </w:div>
          </w:divsChild>
        </w:div>
        <w:div w:id="1838417874">
          <w:marLeft w:val="0"/>
          <w:marRight w:val="0"/>
          <w:marTop w:val="0"/>
          <w:marBottom w:val="0"/>
          <w:divBdr>
            <w:top w:val="none" w:sz="0" w:space="0" w:color="auto"/>
            <w:left w:val="none" w:sz="0" w:space="0" w:color="auto"/>
            <w:bottom w:val="none" w:sz="0" w:space="0" w:color="auto"/>
            <w:right w:val="none" w:sz="0" w:space="0" w:color="auto"/>
          </w:divBdr>
          <w:divsChild>
            <w:div w:id="1997491989">
              <w:marLeft w:val="0"/>
              <w:marRight w:val="0"/>
              <w:marTop w:val="0"/>
              <w:marBottom w:val="0"/>
              <w:divBdr>
                <w:top w:val="none" w:sz="0" w:space="0" w:color="auto"/>
                <w:left w:val="none" w:sz="0" w:space="0" w:color="auto"/>
                <w:bottom w:val="none" w:sz="0" w:space="0" w:color="auto"/>
                <w:right w:val="none" w:sz="0" w:space="0" w:color="auto"/>
              </w:divBdr>
            </w:div>
          </w:divsChild>
        </w:div>
        <w:div w:id="1919056839">
          <w:marLeft w:val="0"/>
          <w:marRight w:val="0"/>
          <w:marTop w:val="0"/>
          <w:marBottom w:val="0"/>
          <w:divBdr>
            <w:top w:val="none" w:sz="0" w:space="0" w:color="auto"/>
            <w:left w:val="none" w:sz="0" w:space="0" w:color="auto"/>
            <w:bottom w:val="none" w:sz="0" w:space="0" w:color="auto"/>
            <w:right w:val="none" w:sz="0" w:space="0" w:color="auto"/>
          </w:divBdr>
          <w:divsChild>
            <w:div w:id="1878352299">
              <w:marLeft w:val="0"/>
              <w:marRight w:val="0"/>
              <w:marTop w:val="0"/>
              <w:marBottom w:val="0"/>
              <w:divBdr>
                <w:top w:val="none" w:sz="0" w:space="0" w:color="auto"/>
                <w:left w:val="none" w:sz="0" w:space="0" w:color="auto"/>
                <w:bottom w:val="none" w:sz="0" w:space="0" w:color="auto"/>
                <w:right w:val="none" w:sz="0" w:space="0" w:color="auto"/>
              </w:divBdr>
            </w:div>
          </w:divsChild>
        </w:div>
        <w:div w:id="1921674250">
          <w:marLeft w:val="0"/>
          <w:marRight w:val="0"/>
          <w:marTop w:val="0"/>
          <w:marBottom w:val="0"/>
          <w:divBdr>
            <w:top w:val="none" w:sz="0" w:space="0" w:color="auto"/>
            <w:left w:val="none" w:sz="0" w:space="0" w:color="auto"/>
            <w:bottom w:val="none" w:sz="0" w:space="0" w:color="auto"/>
            <w:right w:val="none" w:sz="0" w:space="0" w:color="auto"/>
          </w:divBdr>
          <w:divsChild>
            <w:div w:id="1213299997">
              <w:marLeft w:val="0"/>
              <w:marRight w:val="0"/>
              <w:marTop w:val="0"/>
              <w:marBottom w:val="0"/>
              <w:divBdr>
                <w:top w:val="none" w:sz="0" w:space="0" w:color="auto"/>
                <w:left w:val="none" w:sz="0" w:space="0" w:color="auto"/>
                <w:bottom w:val="none" w:sz="0" w:space="0" w:color="auto"/>
                <w:right w:val="none" w:sz="0" w:space="0" w:color="auto"/>
              </w:divBdr>
            </w:div>
          </w:divsChild>
        </w:div>
        <w:div w:id="1993874441">
          <w:marLeft w:val="0"/>
          <w:marRight w:val="0"/>
          <w:marTop w:val="0"/>
          <w:marBottom w:val="0"/>
          <w:divBdr>
            <w:top w:val="none" w:sz="0" w:space="0" w:color="auto"/>
            <w:left w:val="none" w:sz="0" w:space="0" w:color="auto"/>
            <w:bottom w:val="none" w:sz="0" w:space="0" w:color="auto"/>
            <w:right w:val="none" w:sz="0" w:space="0" w:color="auto"/>
          </w:divBdr>
          <w:divsChild>
            <w:div w:id="2033527957">
              <w:marLeft w:val="0"/>
              <w:marRight w:val="0"/>
              <w:marTop w:val="0"/>
              <w:marBottom w:val="0"/>
              <w:divBdr>
                <w:top w:val="none" w:sz="0" w:space="0" w:color="auto"/>
                <w:left w:val="none" w:sz="0" w:space="0" w:color="auto"/>
                <w:bottom w:val="none" w:sz="0" w:space="0" w:color="auto"/>
                <w:right w:val="none" w:sz="0" w:space="0" w:color="auto"/>
              </w:divBdr>
            </w:div>
          </w:divsChild>
        </w:div>
        <w:div w:id="2053537442">
          <w:marLeft w:val="0"/>
          <w:marRight w:val="0"/>
          <w:marTop w:val="0"/>
          <w:marBottom w:val="0"/>
          <w:divBdr>
            <w:top w:val="none" w:sz="0" w:space="0" w:color="auto"/>
            <w:left w:val="none" w:sz="0" w:space="0" w:color="auto"/>
            <w:bottom w:val="none" w:sz="0" w:space="0" w:color="auto"/>
            <w:right w:val="none" w:sz="0" w:space="0" w:color="auto"/>
          </w:divBdr>
          <w:divsChild>
            <w:div w:id="2006321589">
              <w:marLeft w:val="0"/>
              <w:marRight w:val="0"/>
              <w:marTop w:val="0"/>
              <w:marBottom w:val="0"/>
              <w:divBdr>
                <w:top w:val="none" w:sz="0" w:space="0" w:color="auto"/>
                <w:left w:val="none" w:sz="0" w:space="0" w:color="auto"/>
                <w:bottom w:val="none" w:sz="0" w:space="0" w:color="auto"/>
                <w:right w:val="none" w:sz="0" w:space="0" w:color="auto"/>
              </w:divBdr>
            </w:div>
          </w:divsChild>
        </w:div>
        <w:div w:id="2073656276">
          <w:marLeft w:val="0"/>
          <w:marRight w:val="0"/>
          <w:marTop w:val="0"/>
          <w:marBottom w:val="0"/>
          <w:divBdr>
            <w:top w:val="none" w:sz="0" w:space="0" w:color="auto"/>
            <w:left w:val="none" w:sz="0" w:space="0" w:color="auto"/>
            <w:bottom w:val="none" w:sz="0" w:space="0" w:color="auto"/>
            <w:right w:val="none" w:sz="0" w:space="0" w:color="auto"/>
          </w:divBdr>
          <w:divsChild>
            <w:div w:id="109326386">
              <w:marLeft w:val="0"/>
              <w:marRight w:val="0"/>
              <w:marTop w:val="0"/>
              <w:marBottom w:val="0"/>
              <w:divBdr>
                <w:top w:val="none" w:sz="0" w:space="0" w:color="auto"/>
                <w:left w:val="none" w:sz="0" w:space="0" w:color="auto"/>
                <w:bottom w:val="none" w:sz="0" w:space="0" w:color="auto"/>
                <w:right w:val="none" w:sz="0" w:space="0" w:color="auto"/>
              </w:divBdr>
            </w:div>
          </w:divsChild>
        </w:div>
        <w:div w:id="2083601174">
          <w:marLeft w:val="0"/>
          <w:marRight w:val="0"/>
          <w:marTop w:val="0"/>
          <w:marBottom w:val="0"/>
          <w:divBdr>
            <w:top w:val="none" w:sz="0" w:space="0" w:color="auto"/>
            <w:left w:val="none" w:sz="0" w:space="0" w:color="auto"/>
            <w:bottom w:val="none" w:sz="0" w:space="0" w:color="auto"/>
            <w:right w:val="none" w:sz="0" w:space="0" w:color="auto"/>
          </w:divBdr>
          <w:divsChild>
            <w:div w:id="1234003078">
              <w:marLeft w:val="0"/>
              <w:marRight w:val="0"/>
              <w:marTop w:val="0"/>
              <w:marBottom w:val="0"/>
              <w:divBdr>
                <w:top w:val="none" w:sz="0" w:space="0" w:color="auto"/>
                <w:left w:val="none" w:sz="0" w:space="0" w:color="auto"/>
                <w:bottom w:val="none" w:sz="0" w:space="0" w:color="auto"/>
                <w:right w:val="none" w:sz="0" w:space="0" w:color="auto"/>
              </w:divBdr>
            </w:div>
          </w:divsChild>
        </w:div>
        <w:div w:id="2126651971">
          <w:marLeft w:val="0"/>
          <w:marRight w:val="0"/>
          <w:marTop w:val="0"/>
          <w:marBottom w:val="0"/>
          <w:divBdr>
            <w:top w:val="none" w:sz="0" w:space="0" w:color="auto"/>
            <w:left w:val="none" w:sz="0" w:space="0" w:color="auto"/>
            <w:bottom w:val="none" w:sz="0" w:space="0" w:color="auto"/>
            <w:right w:val="none" w:sz="0" w:space="0" w:color="auto"/>
          </w:divBdr>
          <w:divsChild>
            <w:div w:id="59140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373139">
      <w:bodyDiv w:val="1"/>
      <w:marLeft w:val="0"/>
      <w:marRight w:val="0"/>
      <w:marTop w:val="0"/>
      <w:marBottom w:val="0"/>
      <w:divBdr>
        <w:top w:val="none" w:sz="0" w:space="0" w:color="auto"/>
        <w:left w:val="none" w:sz="0" w:space="0" w:color="auto"/>
        <w:bottom w:val="none" w:sz="0" w:space="0" w:color="auto"/>
        <w:right w:val="none" w:sz="0" w:space="0" w:color="auto"/>
      </w:divBdr>
    </w:div>
    <w:div w:id="437721871">
      <w:bodyDiv w:val="1"/>
      <w:marLeft w:val="0"/>
      <w:marRight w:val="0"/>
      <w:marTop w:val="0"/>
      <w:marBottom w:val="0"/>
      <w:divBdr>
        <w:top w:val="none" w:sz="0" w:space="0" w:color="auto"/>
        <w:left w:val="none" w:sz="0" w:space="0" w:color="auto"/>
        <w:bottom w:val="none" w:sz="0" w:space="0" w:color="auto"/>
        <w:right w:val="none" w:sz="0" w:space="0" w:color="auto"/>
      </w:divBdr>
    </w:div>
    <w:div w:id="445664011">
      <w:bodyDiv w:val="1"/>
      <w:marLeft w:val="0"/>
      <w:marRight w:val="0"/>
      <w:marTop w:val="0"/>
      <w:marBottom w:val="0"/>
      <w:divBdr>
        <w:top w:val="none" w:sz="0" w:space="0" w:color="auto"/>
        <w:left w:val="none" w:sz="0" w:space="0" w:color="auto"/>
        <w:bottom w:val="none" w:sz="0" w:space="0" w:color="auto"/>
        <w:right w:val="none" w:sz="0" w:space="0" w:color="auto"/>
      </w:divBdr>
    </w:div>
    <w:div w:id="445924375">
      <w:bodyDiv w:val="1"/>
      <w:marLeft w:val="0"/>
      <w:marRight w:val="0"/>
      <w:marTop w:val="0"/>
      <w:marBottom w:val="0"/>
      <w:divBdr>
        <w:top w:val="none" w:sz="0" w:space="0" w:color="auto"/>
        <w:left w:val="none" w:sz="0" w:space="0" w:color="auto"/>
        <w:bottom w:val="none" w:sz="0" w:space="0" w:color="auto"/>
        <w:right w:val="none" w:sz="0" w:space="0" w:color="auto"/>
      </w:divBdr>
    </w:div>
    <w:div w:id="452333595">
      <w:bodyDiv w:val="1"/>
      <w:marLeft w:val="0"/>
      <w:marRight w:val="0"/>
      <w:marTop w:val="0"/>
      <w:marBottom w:val="0"/>
      <w:divBdr>
        <w:top w:val="none" w:sz="0" w:space="0" w:color="auto"/>
        <w:left w:val="none" w:sz="0" w:space="0" w:color="auto"/>
        <w:bottom w:val="none" w:sz="0" w:space="0" w:color="auto"/>
        <w:right w:val="none" w:sz="0" w:space="0" w:color="auto"/>
      </w:divBdr>
    </w:div>
    <w:div w:id="467673989">
      <w:bodyDiv w:val="1"/>
      <w:marLeft w:val="0"/>
      <w:marRight w:val="0"/>
      <w:marTop w:val="0"/>
      <w:marBottom w:val="0"/>
      <w:divBdr>
        <w:top w:val="none" w:sz="0" w:space="0" w:color="auto"/>
        <w:left w:val="none" w:sz="0" w:space="0" w:color="auto"/>
        <w:bottom w:val="none" w:sz="0" w:space="0" w:color="auto"/>
        <w:right w:val="none" w:sz="0" w:space="0" w:color="auto"/>
      </w:divBdr>
    </w:div>
    <w:div w:id="480460244">
      <w:bodyDiv w:val="1"/>
      <w:marLeft w:val="0"/>
      <w:marRight w:val="0"/>
      <w:marTop w:val="0"/>
      <w:marBottom w:val="0"/>
      <w:divBdr>
        <w:top w:val="none" w:sz="0" w:space="0" w:color="auto"/>
        <w:left w:val="none" w:sz="0" w:space="0" w:color="auto"/>
        <w:bottom w:val="none" w:sz="0" w:space="0" w:color="auto"/>
        <w:right w:val="none" w:sz="0" w:space="0" w:color="auto"/>
      </w:divBdr>
    </w:div>
    <w:div w:id="483739977">
      <w:bodyDiv w:val="1"/>
      <w:marLeft w:val="0"/>
      <w:marRight w:val="0"/>
      <w:marTop w:val="0"/>
      <w:marBottom w:val="0"/>
      <w:divBdr>
        <w:top w:val="none" w:sz="0" w:space="0" w:color="auto"/>
        <w:left w:val="none" w:sz="0" w:space="0" w:color="auto"/>
        <w:bottom w:val="none" w:sz="0" w:space="0" w:color="auto"/>
        <w:right w:val="none" w:sz="0" w:space="0" w:color="auto"/>
      </w:divBdr>
      <w:divsChild>
        <w:div w:id="1438016933">
          <w:marLeft w:val="0"/>
          <w:marRight w:val="0"/>
          <w:marTop w:val="0"/>
          <w:marBottom w:val="0"/>
          <w:divBdr>
            <w:top w:val="none" w:sz="0" w:space="0" w:color="auto"/>
            <w:left w:val="none" w:sz="0" w:space="0" w:color="auto"/>
            <w:bottom w:val="none" w:sz="0" w:space="0" w:color="auto"/>
            <w:right w:val="none" w:sz="0" w:space="0" w:color="auto"/>
          </w:divBdr>
        </w:div>
      </w:divsChild>
    </w:div>
    <w:div w:id="492186169">
      <w:bodyDiv w:val="1"/>
      <w:marLeft w:val="0"/>
      <w:marRight w:val="0"/>
      <w:marTop w:val="0"/>
      <w:marBottom w:val="0"/>
      <w:divBdr>
        <w:top w:val="none" w:sz="0" w:space="0" w:color="auto"/>
        <w:left w:val="none" w:sz="0" w:space="0" w:color="auto"/>
        <w:bottom w:val="none" w:sz="0" w:space="0" w:color="auto"/>
        <w:right w:val="none" w:sz="0" w:space="0" w:color="auto"/>
      </w:divBdr>
    </w:div>
    <w:div w:id="499124059">
      <w:bodyDiv w:val="1"/>
      <w:marLeft w:val="0"/>
      <w:marRight w:val="0"/>
      <w:marTop w:val="0"/>
      <w:marBottom w:val="0"/>
      <w:divBdr>
        <w:top w:val="none" w:sz="0" w:space="0" w:color="auto"/>
        <w:left w:val="none" w:sz="0" w:space="0" w:color="auto"/>
        <w:bottom w:val="none" w:sz="0" w:space="0" w:color="auto"/>
        <w:right w:val="none" w:sz="0" w:space="0" w:color="auto"/>
      </w:divBdr>
    </w:div>
    <w:div w:id="504051293">
      <w:bodyDiv w:val="1"/>
      <w:marLeft w:val="0"/>
      <w:marRight w:val="0"/>
      <w:marTop w:val="0"/>
      <w:marBottom w:val="0"/>
      <w:divBdr>
        <w:top w:val="none" w:sz="0" w:space="0" w:color="auto"/>
        <w:left w:val="none" w:sz="0" w:space="0" w:color="auto"/>
        <w:bottom w:val="none" w:sz="0" w:space="0" w:color="auto"/>
        <w:right w:val="none" w:sz="0" w:space="0" w:color="auto"/>
      </w:divBdr>
    </w:div>
    <w:div w:id="515849944">
      <w:bodyDiv w:val="1"/>
      <w:marLeft w:val="0"/>
      <w:marRight w:val="0"/>
      <w:marTop w:val="0"/>
      <w:marBottom w:val="0"/>
      <w:divBdr>
        <w:top w:val="none" w:sz="0" w:space="0" w:color="auto"/>
        <w:left w:val="none" w:sz="0" w:space="0" w:color="auto"/>
        <w:bottom w:val="none" w:sz="0" w:space="0" w:color="auto"/>
        <w:right w:val="none" w:sz="0" w:space="0" w:color="auto"/>
      </w:divBdr>
    </w:div>
    <w:div w:id="516776098">
      <w:bodyDiv w:val="1"/>
      <w:marLeft w:val="0"/>
      <w:marRight w:val="0"/>
      <w:marTop w:val="0"/>
      <w:marBottom w:val="0"/>
      <w:divBdr>
        <w:top w:val="none" w:sz="0" w:space="0" w:color="auto"/>
        <w:left w:val="none" w:sz="0" w:space="0" w:color="auto"/>
        <w:bottom w:val="none" w:sz="0" w:space="0" w:color="auto"/>
        <w:right w:val="none" w:sz="0" w:space="0" w:color="auto"/>
      </w:divBdr>
    </w:div>
    <w:div w:id="529103489">
      <w:bodyDiv w:val="1"/>
      <w:marLeft w:val="0"/>
      <w:marRight w:val="0"/>
      <w:marTop w:val="0"/>
      <w:marBottom w:val="0"/>
      <w:divBdr>
        <w:top w:val="none" w:sz="0" w:space="0" w:color="auto"/>
        <w:left w:val="none" w:sz="0" w:space="0" w:color="auto"/>
        <w:bottom w:val="none" w:sz="0" w:space="0" w:color="auto"/>
        <w:right w:val="none" w:sz="0" w:space="0" w:color="auto"/>
      </w:divBdr>
    </w:div>
    <w:div w:id="540628517">
      <w:bodyDiv w:val="1"/>
      <w:marLeft w:val="0"/>
      <w:marRight w:val="0"/>
      <w:marTop w:val="0"/>
      <w:marBottom w:val="0"/>
      <w:divBdr>
        <w:top w:val="none" w:sz="0" w:space="0" w:color="auto"/>
        <w:left w:val="none" w:sz="0" w:space="0" w:color="auto"/>
        <w:bottom w:val="none" w:sz="0" w:space="0" w:color="auto"/>
        <w:right w:val="none" w:sz="0" w:space="0" w:color="auto"/>
      </w:divBdr>
    </w:div>
    <w:div w:id="543102278">
      <w:bodyDiv w:val="1"/>
      <w:marLeft w:val="0"/>
      <w:marRight w:val="0"/>
      <w:marTop w:val="0"/>
      <w:marBottom w:val="0"/>
      <w:divBdr>
        <w:top w:val="none" w:sz="0" w:space="0" w:color="auto"/>
        <w:left w:val="none" w:sz="0" w:space="0" w:color="auto"/>
        <w:bottom w:val="none" w:sz="0" w:space="0" w:color="auto"/>
        <w:right w:val="none" w:sz="0" w:space="0" w:color="auto"/>
      </w:divBdr>
    </w:div>
    <w:div w:id="545333928">
      <w:bodyDiv w:val="1"/>
      <w:marLeft w:val="0"/>
      <w:marRight w:val="0"/>
      <w:marTop w:val="0"/>
      <w:marBottom w:val="0"/>
      <w:divBdr>
        <w:top w:val="none" w:sz="0" w:space="0" w:color="auto"/>
        <w:left w:val="none" w:sz="0" w:space="0" w:color="auto"/>
        <w:bottom w:val="none" w:sz="0" w:space="0" w:color="auto"/>
        <w:right w:val="none" w:sz="0" w:space="0" w:color="auto"/>
      </w:divBdr>
    </w:div>
    <w:div w:id="555818947">
      <w:bodyDiv w:val="1"/>
      <w:marLeft w:val="0"/>
      <w:marRight w:val="0"/>
      <w:marTop w:val="0"/>
      <w:marBottom w:val="0"/>
      <w:divBdr>
        <w:top w:val="none" w:sz="0" w:space="0" w:color="auto"/>
        <w:left w:val="none" w:sz="0" w:space="0" w:color="auto"/>
        <w:bottom w:val="none" w:sz="0" w:space="0" w:color="auto"/>
        <w:right w:val="none" w:sz="0" w:space="0" w:color="auto"/>
      </w:divBdr>
    </w:div>
    <w:div w:id="558324082">
      <w:bodyDiv w:val="1"/>
      <w:marLeft w:val="0"/>
      <w:marRight w:val="0"/>
      <w:marTop w:val="0"/>
      <w:marBottom w:val="0"/>
      <w:divBdr>
        <w:top w:val="none" w:sz="0" w:space="0" w:color="auto"/>
        <w:left w:val="none" w:sz="0" w:space="0" w:color="auto"/>
        <w:bottom w:val="none" w:sz="0" w:space="0" w:color="auto"/>
        <w:right w:val="none" w:sz="0" w:space="0" w:color="auto"/>
      </w:divBdr>
      <w:divsChild>
        <w:div w:id="71316082">
          <w:marLeft w:val="0"/>
          <w:marRight w:val="0"/>
          <w:marTop w:val="0"/>
          <w:marBottom w:val="0"/>
          <w:divBdr>
            <w:top w:val="none" w:sz="0" w:space="0" w:color="auto"/>
            <w:left w:val="none" w:sz="0" w:space="0" w:color="auto"/>
            <w:bottom w:val="none" w:sz="0" w:space="0" w:color="auto"/>
            <w:right w:val="none" w:sz="0" w:space="0" w:color="auto"/>
          </w:divBdr>
        </w:div>
        <w:div w:id="192353502">
          <w:marLeft w:val="0"/>
          <w:marRight w:val="0"/>
          <w:marTop w:val="0"/>
          <w:marBottom w:val="0"/>
          <w:divBdr>
            <w:top w:val="none" w:sz="0" w:space="0" w:color="auto"/>
            <w:left w:val="none" w:sz="0" w:space="0" w:color="auto"/>
            <w:bottom w:val="none" w:sz="0" w:space="0" w:color="auto"/>
            <w:right w:val="none" w:sz="0" w:space="0" w:color="auto"/>
          </w:divBdr>
        </w:div>
        <w:div w:id="194852346">
          <w:marLeft w:val="0"/>
          <w:marRight w:val="0"/>
          <w:marTop w:val="0"/>
          <w:marBottom w:val="0"/>
          <w:divBdr>
            <w:top w:val="none" w:sz="0" w:space="0" w:color="auto"/>
            <w:left w:val="none" w:sz="0" w:space="0" w:color="auto"/>
            <w:bottom w:val="none" w:sz="0" w:space="0" w:color="auto"/>
            <w:right w:val="none" w:sz="0" w:space="0" w:color="auto"/>
          </w:divBdr>
        </w:div>
        <w:div w:id="377364484">
          <w:marLeft w:val="0"/>
          <w:marRight w:val="0"/>
          <w:marTop w:val="0"/>
          <w:marBottom w:val="0"/>
          <w:divBdr>
            <w:top w:val="none" w:sz="0" w:space="0" w:color="auto"/>
            <w:left w:val="none" w:sz="0" w:space="0" w:color="auto"/>
            <w:bottom w:val="none" w:sz="0" w:space="0" w:color="auto"/>
            <w:right w:val="none" w:sz="0" w:space="0" w:color="auto"/>
          </w:divBdr>
        </w:div>
        <w:div w:id="734164810">
          <w:marLeft w:val="0"/>
          <w:marRight w:val="0"/>
          <w:marTop w:val="0"/>
          <w:marBottom w:val="0"/>
          <w:divBdr>
            <w:top w:val="none" w:sz="0" w:space="0" w:color="auto"/>
            <w:left w:val="none" w:sz="0" w:space="0" w:color="auto"/>
            <w:bottom w:val="none" w:sz="0" w:space="0" w:color="auto"/>
            <w:right w:val="none" w:sz="0" w:space="0" w:color="auto"/>
          </w:divBdr>
        </w:div>
        <w:div w:id="888342891">
          <w:marLeft w:val="0"/>
          <w:marRight w:val="0"/>
          <w:marTop w:val="0"/>
          <w:marBottom w:val="0"/>
          <w:divBdr>
            <w:top w:val="none" w:sz="0" w:space="0" w:color="auto"/>
            <w:left w:val="none" w:sz="0" w:space="0" w:color="auto"/>
            <w:bottom w:val="none" w:sz="0" w:space="0" w:color="auto"/>
            <w:right w:val="none" w:sz="0" w:space="0" w:color="auto"/>
          </w:divBdr>
        </w:div>
        <w:div w:id="907615992">
          <w:marLeft w:val="0"/>
          <w:marRight w:val="0"/>
          <w:marTop w:val="0"/>
          <w:marBottom w:val="0"/>
          <w:divBdr>
            <w:top w:val="none" w:sz="0" w:space="0" w:color="auto"/>
            <w:left w:val="none" w:sz="0" w:space="0" w:color="auto"/>
            <w:bottom w:val="none" w:sz="0" w:space="0" w:color="auto"/>
            <w:right w:val="none" w:sz="0" w:space="0" w:color="auto"/>
          </w:divBdr>
          <w:divsChild>
            <w:div w:id="757946546">
              <w:marLeft w:val="-75"/>
              <w:marRight w:val="0"/>
              <w:marTop w:val="30"/>
              <w:marBottom w:val="30"/>
              <w:divBdr>
                <w:top w:val="none" w:sz="0" w:space="0" w:color="auto"/>
                <w:left w:val="none" w:sz="0" w:space="0" w:color="auto"/>
                <w:bottom w:val="none" w:sz="0" w:space="0" w:color="auto"/>
                <w:right w:val="none" w:sz="0" w:space="0" w:color="auto"/>
              </w:divBdr>
              <w:divsChild>
                <w:div w:id="78524609">
                  <w:marLeft w:val="0"/>
                  <w:marRight w:val="0"/>
                  <w:marTop w:val="0"/>
                  <w:marBottom w:val="0"/>
                  <w:divBdr>
                    <w:top w:val="none" w:sz="0" w:space="0" w:color="auto"/>
                    <w:left w:val="none" w:sz="0" w:space="0" w:color="auto"/>
                    <w:bottom w:val="none" w:sz="0" w:space="0" w:color="auto"/>
                    <w:right w:val="none" w:sz="0" w:space="0" w:color="auto"/>
                  </w:divBdr>
                  <w:divsChild>
                    <w:div w:id="1473448557">
                      <w:marLeft w:val="0"/>
                      <w:marRight w:val="0"/>
                      <w:marTop w:val="0"/>
                      <w:marBottom w:val="0"/>
                      <w:divBdr>
                        <w:top w:val="none" w:sz="0" w:space="0" w:color="auto"/>
                        <w:left w:val="none" w:sz="0" w:space="0" w:color="auto"/>
                        <w:bottom w:val="none" w:sz="0" w:space="0" w:color="auto"/>
                        <w:right w:val="none" w:sz="0" w:space="0" w:color="auto"/>
                      </w:divBdr>
                    </w:div>
                  </w:divsChild>
                </w:div>
                <w:div w:id="105126959">
                  <w:marLeft w:val="0"/>
                  <w:marRight w:val="0"/>
                  <w:marTop w:val="0"/>
                  <w:marBottom w:val="0"/>
                  <w:divBdr>
                    <w:top w:val="none" w:sz="0" w:space="0" w:color="auto"/>
                    <w:left w:val="none" w:sz="0" w:space="0" w:color="auto"/>
                    <w:bottom w:val="none" w:sz="0" w:space="0" w:color="auto"/>
                    <w:right w:val="none" w:sz="0" w:space="0" w:color="auto"/>
                  </w:divBdr>
                  <w:divsChild>
                    <w:div w:id="10180614">
                      <w:marLeft w:val="0"/>
                      <w:marRight w:val="0"/>
                      <w:marTop w:val="0"/>
                      <w:marBottom w:val="0"/>
                      <w:divBdr>
                        <w:top w:val="none" w:sz="0" w:space="0" w:color="auto"/>
                        <w:left w:val="none" w:sz="0" w:space="0" w:color="auto"/>
                        <w:bottom w:val="none" w:sz="0" w:space="0" w:color="auto"/>
                        <w:right w:val="none" w:sz="0" w:space="0" w:color="auto"/>
                      </w:divBdr>
                    </w:div>
                  </w:divsChild>
                </w:div>
                <w:div w:id="295842714">
                  <w:marLeft w:val="0"/>
                  <w:marRight w:val="0"/>
                  <w:marTop w:val="0"/>
                  <w:marBottom w:val="0"/>
                  <w:divBdr>
                    <w:top w:val="none" w:sz="0" w:space="0" w:color="auto"/>
                    <w:left w:val="none" w:sz="0" w:space="0" w:color="auto"/>
                    <w:bottom w:val="none" w:sz="0" w:space="0" w:color="auto"/>
                    <w:right w:val="none" w:sz="0" w:space="0" w:color="auto"/>
                  </w:divBdr>
                  <w:divsChild>
                    <w:div w:id="1453402235">
                      <w:marLeft w:val="0"/>
                      <w:marRight w:val="0"/>
                      <w:marTop w:val="0"/>
                      <w:marBottom w:val="0"/>
                      <w:divBdr>
                        <w:top w:val="none" w:sz="0" w:space="0" w:color="auto"/>
                        <w:left w:val="none" w:sz="0" w:space="0" w:color="auto"/>
                        <w:bottom w:val="none" w:sz="0" w:space="0" w:color="auto"/>
                        <w:right w:val="none" w:sz="0" w:space="0" w:color="auto"/>
                      </w:divBdr>
                    </w:div>
                    <w:div w:id="2112771267">
                      <w:marLeft w:val="0"/>
                      <w:marRight w:val="0"/>
                      <w:marTop w:val="0"/>
                      <w:marBottom w:val="0"/>
                      <w:divBdr>
                        <w:top w:val="none" w:sz="0" w:space="0" w:color="auto"/>
                        <w:left w:val="none" w:sz="0" w:space="0" w:color="auto"/>
                        <w:bottom w:val="none" w:sz="0" w:space="0" w:color="auto"/>
                        <w:right w:val="none" w:sz="0" w:space="0" w:color="auto"/>
                      </w:divBdr>
                    </w:div>
                  </w:divsChild>
                </w:div>
                <w:div w:id="357776830">
                  <w:marLeft w:val="0"/>
                  <w:marRight w:val="0"/>
                  <w:marTop w:val="0"/>
                  <w:marBottom w:val="0"/>
                  <w:divBdr>
                    <w:top w:val="none" w:sz="0" w:space="0" w:color="auto"/>
                    <w:left w:val="none" w:sz="0" w:space="0" w:color="auto"/>
                    <w:bottom w:val="none" w:sz="0" w:space="0" w:color="auto"/>
                    <w:right w:val="none" w:sz="0" w:space="0" w:color="auto"/>
                  </w:divBdr>
                  <w:divsChild>
                    <w:div w:id="1418600584">
                      <w:marLeft w:val="0"/>
                      <w:marRight w:val="0"/>
                      <w:marTop w:val="0"/>
                      <w:marBottom w:val="0"/>
                      <w:divBdr>
                        <w:top w:val="none" w:sz="0" w:space="0" w:color="auto"/>
                        <w:left w:val="none" w:sz="0" w:space="0" w:color="auto"/>
                        <w:bottom w:val="none" w:sz="0" w:space="0" w:color="auto"/>
                        <w:right w:val="none" w:sz="0" w:space="0" w:color="auto"/>
                      </w:divBdr>
                    </w:div>
                  </w:divsChild>
                </w:div>
                <w:div w:id="476458351">
                  <w:marLeft w:val="0"/>
                  <w:marRight w:val="0"/>
                  <w:marTop w:val="0"/>
                  <w:marBottom w:val="0"/>
                  <w:divBdr>
                    <w:top w:val="none" w:sz="0" w:space="0" w:color="auto"/>
                    <w:left w:val="none" w:sz="0" w:space="0" w:color="auto"/>
                    <w:bottom w:val="none" w:sz="0" w:space="0" w:color="auto"/>
                    <w:right w:val="none" w:sz="0" w:space="0" w:color="auto"/>
                  </w:divBdr>
                  <w:divsChild>
                    <w:div w:id="581960948">
                      <w:marLeft w:val="0"/>
                      <w:marRight w:val="0"/>
                      <w:marTop w:val="0"/>
                      <w:marBottom w:val="0"/>
                      <w:divBdr>
                        <w:top w:val="none" w:sz="0" w:space="0" w:color="auto"/>
                        <w:left w:val="none" w:sz="0" w:space="0" w:color="auto"/>
                        <w:bottom w:val="none" w:sz="0" w:space="0" w:color="auto"/>
                        <w:right w:val="none" w:sz="0" w:space="0" w:color="auto"/>
                      </w:divBdr>
                    </w:div>
                  </w:divsChild>
                </w:div>
                <w:div w:id="607129501">
                  <w:marLeft w:val="0"/>
                  <w:marRight w:val="0"/>
                  <w:marTop w:val="0"/>
                  <w:marBottom w:val="0"/>
                  <w:divBdr>
                    <w:top w:val="none" w:sz="0" w:space="0" w:color="auto"/>
                    <w:left w:val="none" w:sz="0" w:space="0" w:color="auto"/>
                    <w:bottom w:val="none" w:sz="0" w:space="0" w:color="auto"/>
                    <w:right w:val="none" w:sz="0" w:space="0" w:color="auto"/>
                  </w:divBdr>
                  <w:divsChild>
                    <w:div w:id="1020817240">
                      <w:marLeft w:val="0"/>
                      <w:marRight w:val="0"/>
                      <w:marTop w:val="0"/>
                      <w:marBottom w:val="0"/>
                      <w:divBdr>
                        <w:top w:val="none" w:sz="0" w:space="0" w:color="auto"/>
                        <w:left w:val="none" w:sz="0" w:space="0" w:color="auto"/>
                        <w:bottom w:val="none" w:sz="0" w:space="0" w:color="auto"/>
                        <w:right w:val="none" w:sz="0" w:space="0" w:color="auto"/>
                      </w:divBdr>
                    </w:div>
                  </w:divsChild>
                </w:div>
                <w:div w:id="627901739">
                  <w:marLeft w:val="0"/>
                  <w:marRight w:val="0"/>
                  <w:marTop w:val="0"/>
                  <w:marBottom w:val="0"/>
                  <w:divBdr>
                    <w:top w:val="none" w:sz="0" w:space="0" w:color="auto"/>
                    <w:left w:val="none" w:sz="0" w:space="0" w:color="auto"/>
                    <w:bottom w:val="none" w:sz="0" w:space="0" w:color="auto"/>
                    <w:right w:val="none" w:sz="0" w:space="0" w:color="auto"/>
                  </w:divBdr>
                  <w:divsChild>
                    <w:div w:id="373509793">
                      <w:marLeft w:val="0"/>
                      <w:marRight w:val="0"/>
                      <w:marTop w:val="0"/>
                      <w:marBottom w:val="0"/>
                      <w:divBdr>
                        <w:top w:val="none" w:sz="0" w:space="0" w:color="auto"/>
                        <w:left w:val="none" w:sz="0" w:space="0" w:color="auto"/>
                        <w:bottom w:val="none" w:sz="0" w:space="0" w:color="auto"/>
                        <w:right w:val="none" w:sz="0" w:space="0" w:color="auto"/>
                      </w:divBdr>
                    </w:div>
                  </w:divsChild>
                </w:div>
                <w:div w:id="681707208">
                  <w:marLeft w:val="0"/>
                  <w:marRight w:val="0"/>
                  <w:marTop w:val="0"/>
                  <w:marBottom w:val="0"/>
                  <w:divBdr>
                    <w:top w:val="none" w:sz="0" w:space="0" w:color="auto"/>
                    <w:left w:val="none" w:sz="0" w:space="0" w:color="auto"/>
                    <w:bottom w:val="none" w:sz="0" w:space="0" w:color="auto"/>
                    <w:right w:val="none" w:sz="0" w:space="0" w:color="auto"/>
                  </w:divBdr>
                  <w:divsChild>
                    <w:div w:id="1990134759">
                      <w:marLeft w:val="0"/>
                      <w:marRight w:val="0"/>
                      <w:marTop w:val="0"/>
                      <w:marBottom w:val="0"/>
                      <w:divBdr>
                        <w:top w:val="none" w:sz="0" w:space="0" w:color="auto"/>
                        <w:left w:val="none" w:sz="0" w:space="0" w:color="auto"/>
                        <w:bottom w:val="none" w:sz="0" w:space="0" w:color="auto"/>
                        <w:right w:val="none" w:sz="0" w:space="0" w:color="auto"/>
                      </w:divBdr>
                    </w:div>
                  </w:divsChild>
                </w:div>
                <w:div w:id="735401457">
                  <w:marLeft w:val="0"/>
                  <w:marRight w:val="0"/>
                  <w:marTop w:val="0"/>
                  <w:marBottom w:val="0"/>
                  <w:divBdr>
                    <w:top w:val="none" w:sz="0" w:space="0" w:color="auto"/>
                    <w:left w:val="none" w:sz="0" w:space="0" w:color="auto"/>
                    <w:bottom w:val="none" w:sz="0" w:space="0" w:color="auto"/>
                    <w:right w:val="none" w:sz="0" w:space="0" w:color="auto"/>
                  </w:divBdr>
                  <w:divsChild>
                    <w:div w:id="777677996">
                      <w:marLeft w:val="0"/>
                      <w:marRight w:val="0"/>
                      <w:marTop w:val="0"/>
                      <w:marBottom w:val="0"/>
                      <w:divBdr>
                        <w:top w:val="none" w:sz="0" w:space="0" w:color="auto"/>
                        <w:left w:val="none" w:sz="0" w:space="0" w:color="auto"/>
                        <w:bottom w:val="none" w:sz="0" w:space="0" w:color="auto"/>
                        <w:right w:val="none" w:sz="0" w:space="0" w:color="auto"/>
                      </w:divBdr>
                    </w:div>
                  </w:divsChild>
                </w:div>
                <w:div w:id="813643715">
                  <w:marLeft w:val="0"/>
                  <w:marRight w:val="0"/>
                  <w:marTop w:val="0"/>
                  <w:marBottom w:val="0"/>
                  <w:divBdr>
                    <w:top w:val="none" w:sz="0" w:space="0" w:color="auto"/>
                    <w:left w:val="none" w:sz="0" w:space="0" w:color="auto"/>
                    <w:bottom w:val="none" w:sz="0" w:space="0" w:color="auto"/>
                    <w:right w:val="none" w:sz="0" w:space="0" w:color="auto"/>
                  </w:divBdr>
                  <w:divsChild>
                    <w:div w:id="71240262">
                      <w:marLeft w:val="0"/>
                      <w:marRight w:val="0"/>
                      <w:marTop w:val="0"/>
                      <w:marBottom w:val="0"/>
                      <w:divBdr>
                        <w:top w:val="none" w:sz="0" w:space="0" w:color="auto"/>
                        <w:left w:val="none" w:sz="0" w:space="0" w:color="auto"/>
                        <w:bottom w:val="none" w:sz="0" w:space="0" w:color="auto"/>
                        <w:right w:val="none" w:sz="0" w:space="0" w:color="auto"/>
                      </w:divBdr>
                    </w:div>
                    <w:div w:id="1698696847">
                      <w:marLeft w:val="0"/>
                      <w:marRight w:val="0"/>
                      <w:marTop w:val="0"/>
                      <w:marBottom w:val="0"/>
                      <w:divBdr>
                        <w:top w:val="none" w:sz="0" w:space="0" w:color="auto"/>
                        <w:left w:val="none" w:sz="0" w:space="0" w:color="auto"/>
                        <w:bottom w:val="none" w:sz="0" w:space="0" w:color="auto"/>
                        <w:right w:val="none" w:sz="0" w:space="0" w:color="auto"/>
                      </w:divBdr>
                    </w:div>
                  </w:divsChild>
                </w:div>
                <w:div w:id="959072007">
                  <w:marLeft w:val="0"/>
                  <w:marRight w:val="0"/>
                  <w:marTop w:val="0"/>
                  <w:marBottom w:val="0"/>
                  <w:divBdr>
                    <w:top w:val="none" w:sz="0" w:space="0" w:color="auto"/>
                    <w:left w:val="none" w:sz="0" w:space="0" w:color="auto"/>
                    <w:bottom w:val="none" w:sz="0" w:space="0" w:color="auto"/>
                    <w:right w:val="none" w:sz="0" w:space="0" w:color="auto"/>
                  </w:divBdr>
                  <w:divsChild>
                    <w:div w:id="1832064363">
                      <w:marLeft w:val="0"/>
                      <w:marRight w:val="0"/>
                      <w:marTop w:val="0"/>
                      <w:marBottom w:val="0"/>
                      <w:divBdr>
                        <w:top w:val="none" w:sz="0" w:space="0" w:color="auto"/>
                        <w:left w:val="none" w:sz="0" w:space="0" w:color="auto"/>
                        <w:bottom w:val="none" w:sz="0" w:space="0" w:color="auto"/>
                        <w:right w:val="none" w:sz="0" w:space="0" w:color="auto"/>
                      </w:divBdr>
                    </w:div>
                  </w:divsChild>
                </w:div>
                <w:div w:id="1059091007">
                  <w:marLeft w:val="0"/>
                  <w:marRight w:val="0"/>
                  <w:marTop w:val="0"/>
                  <w:marBottom w:val="0"/>
                  <w:divBdr>
                    <w:top w:val="none" w:sz="0" w:space="0" w:color="auto"/>
                    <w:left w:val="none" w:sz="0" w:space="0" w:color="auto"/>
                    <w:bottom w:val="none" w:sz="0" w:space="0" w:color="auto"/>
                    <w:right w:val="none" w:sz="0" w:space="0" w:color="auto"/>
                  </w:divBdr>
                  <w:divsChild>
                    <w:div w:id="1533152432">
                      <w:marLeft w:val="0"/>
                      <w:marRight w:val="0"/>
                      <w:marTop w:val="0"/>
                      <w:marBottom w:val="0"/>
                      <w:divBdr>
                        <w:top w:val="none" w:sz="0" w:space="0" w:color="auto"/>
                        <w:left w:val="none" w:sz="0" w:space="0" w:color="auto"/>
                        <w:bottom w:val="none" w:sz="0" w:space="0" w:color="auto"/>
                        <w:right w:val="none" w:sz="0" w:space="0" w:color="auto"/>
                      </w:divBdr>
                    </w:div>
                  </w:divsChild>
                </w:div>
                <w:div w:id="1063797968">
                  <w:marLeft w:val="0"/>
                  <w:marRight w:val="0"/>
                  <w:marTop w:val="0"/>
                  <w:marBottom w:val="0"/>
                  <w:divBdr>
                    <w:top w:val="none" w:sz="0" w:space="0" w:color="auto"/>
                    <w:left w:val="none" w:sz="0" w:space="0" w:color="auto"/>
                    <w:bottom w:val="none" w:sz="0" w:space="0" w:color="auto"/>
                    <w:right w:val="none" w:sz="0" w:space="0" w:color="auto"/>
                  </w:divBdr>
                  <w:divsChild>
                    <w:div w:id="1433936978">
                      <w:marLeft w:val="0"/>
                      <w:marRight w:val="0"/>
                      <w:marTop w:val="0"/>
                      <w:marBottom w:val="0"/>
                      <w:divBdr>
                        <w:top w:val="none" w:sz="0" w:space="0" w:color="auto"/>
                        <w:left w:val="none" w:sz="0" w:space="0" w:color="auto"/>
                        <w:bottom w:val="none" w:sz="0" w:space="0" w:color="auto"/>
                        <w:right w:val="none" w:sz="0" w:space="0" w:color="auto"/>
                      </w:divBdr>
                    </w:div>
                    <w:div w:id="1963530697">
                      <w:marLeft w:val="0"/>
                      <w:marRight w:val="0"/>
                      <w:marTop w:val="0"/>
                      <w:marBottom w:val="0"/>
                      <w:divBdr>
                        <w:top w:val="none" w:sz="0" w:space="0" w:color="auto"/>
                        <w:left w:val="none" w:sz="0" w:space="0" w:color="auto"/>
                        <w:bottom w:val="none" w:sz="0" w:space="0" w:color="auto"/>
                        <w:right w:val="none" w:sz="0" w:space="0" w:color="auto"/>
                      </w:divBdr>
                    </w:div>
                  </w:divsChild>
                </w:div>
                <w:div w:id="1123619971">
                  <w:marLeft w:val="0"/>
                  <w:marRight w:val="0"/>
                  <w:marTop w:val="0"/>
                  <w:marBottom w:val="0"/>
                  <w:divBdr>
                    <w:top w:val="none" w:sz="0" w:space="0" w:color="auto"/>
                    <w:left w:val="none" w:sz="0" w:space="0" w:color="auto"/>
                    <w:bottom w:val="none" w:sz="0" w:space="0" w:color="auto"/>
                    <w:right w:val="none" w:sz="0" w:space="0" w:color="auto"/>
                  </w:divBdr>
                  <w:divsChild>
                    <w:div w:id="27223939">
                      <w:marLeft w:val="0"/>
                      <w:marRight w:val="0"/>
                      <w:marTop w:val="0"/>
                      <w:marBottom w:val="0"/>
                      <w:divBdr>
                        <w:top w:val="none" w:sz="0" w:space="0" w:color="auto"/>
                        <w:left w:val="none" w:sz="0" w:space="0" w:color="auto"/>
                        <w:bottom w:val="none" w:sz="0" w:space="0" w:color="auto"/>
                        <w:right w:val="none" w:sz="0" w:space="0" w:color="auto"/>
                      </w:divBdr>
                    </w:div>
                  </w:divsChild>
                </w:div>
                <w:div w:id="1265843159">
                  <w:marLeft w:val="0"/>
                  <w:marRight w:val="0"/>
                  <w:marTop w:val="0"/>
                  <w:marBottom w:val="0"/>
                  <w:divBdr>
                    <w:top w:val="none" w:sz="0" w:space="0" w:color="auto"/>
                    <w:left w:val="none" w:sz="0" w:space="0" w:color="auto"/>
                    <w:bottom w:val="none" w:sz="0" w:space="0" w:color="auto"/>
                    <w:right w:val="none" w:sz="0" w:space="0" w:color="auto"/>
                  </w:divBdr>
                  <w:divsChild>
                    <w:div w:id="640502975">
                      <w:marLeft w:val="0"/>
                      <w:marRight w:val="0"/>
                      <w:marTop w:val="0"/>
                      <w:marBottom w:val="0"/>
                      <w:divBdr>
                        <w:top w:val="none" w:sz="0" w:space="0" w:color="auto"/>
                        <w:left w:val="none" w:sz="0" w:space="0" w:color="auto"/>
                        <w:bottom w:val="none" w:sz="0" w:space="0" w:color="auto"/>
                        <w:right w:val="none" w:sz="0" w:space="0" w:color="auto"/>
                      </w:divBdr>
                    </w:div>
                  </w:divsChild>
                </w:div>
                <w:div w:id="1420981016">
                  <w:marLeft w:val="0"/>
                  <w:marRight w:val="0"/>
                  <w:marTop w:val="0"/>
                  <w:marBottom w:val="0"/>
                  <w:divBdr>
                    <w:top w:val="none" w:sz="0" w:space="0" w:color="auto"/>
                    <w:left w:val="none" w:sz="0" w:space="0" w:color="auto"/>
                    <w:bottom w:val="none" w:sz="0" w:space="0" w:color="auto"/>
                    <w:right w:val="none" w:sz="0" w:space="0" w:color="auto"/>
                  </w:divBdr>
                  <w:divsChild>
                    <w:div w:id="504637665">
                      <w:marLeft w:val="0"/>
                      <w:marRight w:val="0"/>
                      <w:marTop w:val="0"/>
                      <w:marBottom w:val="0"/>
                      <w:divBdr>
                        <w:top w:val="none" w:sz="0" w:space="0" w:color="auto"/>
                        <w:left w:val="none" w:sz="0" w:space="0" w:color="auto"/>
                        <w:bottom w:val="none" w:sz="0" w:space="0" w:color="auto"/>
                        <w:right w:val="none" w:sz="0" w:space="0" w:color="auto"/>
                      </w:divBdr>
                    </w:div>
                  </w:divsChild>
                </w:div>
                <w:div w:id="1448962279">
                  <w:marLeft w:val="0"/>
                  <w:marRight w:val="0"/>
                  <w:marTop w:val="0"/>
                  <w:marBottom w:val="0"/>
                  <w:divBdr>
                    <w:top w:val="none" w:sz="0" w:space="0" w:color="auto"/>
                    <w:left w:val="none" w:sz="0" w:space="0" w:color="auto"/>
                    <w:bottom w:val="none" w:sz="0" w:space="0" w:color="auto"/>
                    <w:right w:val="none" w:sz="0" w:space="0" w:color="auto"/>
                  </w:divBdr>
                  <w:divsChild>
                    <w:div w:id="210964163">
                      <w:marLeft w:val="0"/>
                      <w:marRight w:val="0"/>
                      <w:marTop w:val="0"/>
                      <w:marBottom w:val="0"/>
                      <w:divBdr>
                        <w:top w:val="none" w:sz="0" w:space="0" w:color="auto"/>
                        <w:left w:val="none" w:sz="0" w:space="0" w:color="auto"/>
                        <w:bottom w:val="none" w:sz="0" w:space="0" w:color="auto"/>
                        <w:right w:val="none" w:sz="0" w:space="0" w:color="auto"/>
                      </w:divBdr>
                    </w:div>
                    <w:div w:id="1999652419">
                      <w:marLeft w:val="0"/>
                      <w:marRight w:val="0"/>
                      <w:marTop w:val="0"/>
                      <w:marBottom w:val="0"/>
                      <w:divBdr>
                        <w:top w:val="none" w:sz="0" w:space="0" w:color="auto"/>
                        <w:left w:val="none" w:sz="0" w:space="0" w:color="auto"/>
                        <w:bottom w:val="none" w:sz="0" w:space="0" w:color="auto"/>
                        <w:right w:val="none" w:sz="0" w:space="0" w:color="auto"/>
                      </w:divBdr>
                    </w:div>
                  </w:divsChild>
                </w:div>
                <w:div w:id="1490752814">
                  <w:marLeft w:val="0"/>
                  <w:marRight w:val="0"/>
                  <w:marTop w:val="0"/>
                  <w:marBottom w:val="0"/>
                  <w:divBdr>
                    <w:top w:val="none" w:sz="0" w:space="0" w:color="auto"/>
                    <w:left w:val="none" w:sz="0" w:space="0" w:color="auto"/>
                    <w:bottom w:val="none" w:sz="0" w:space="0" w:color="auto"/>
                    <w:right w:val="none" w:sz="0" w:space="0" w:color="auto"/>
                  </w:divBdr>
                  <w:divsChild>
                    <w:div w:id="1324049110">
                      <w:marLeft w:val="0"/>
                      <w:marRight w:val="0"/>
                      <w:marTop w:val="0"/>
                      <w:marBottom w:val="0"/>
                      <w:divBdr>
                        <w:top w:val="none" w:sz="0" w:space="0" w:color="auto"/>
                        <w:left w:val="none" w:sz="0" w:space="0" w:color="auto"/>
                        <w:bottom w:val="none" w:sz="0" w:space="0" w:color="auto"/>
                        <w:right w:val="none" w:sz="0" w:space="0" w:color="auto"/>
                      </w:divBdr>
                    </w:div>
                    <w:div w:id="1674262767">
                      <w:marLeft w:val="0"/>
                      <w:marRight w:val="0"/>
                      <w:marTop w:val="0"/>
                      <w:marBottom w:val="0"/>
                      <w:divBdr>
                        <w:top w:val="none" w:sz="0" w:space="0" w:color="auto"/>
                        <w:left w:val="none" w:sz="0" w:space="0" w:color="auto"/>
                        <w:bottom w:val="none" w:sz="0" w:space="0" w:color="auto"/>
                        <w:right w:val="none" w:sz="0" w:space="0" w:color="auto"/>
                      </w:divBdr>
                    </w:div>
                  </w:divsChild>
                </w:div>
                <w:div w:id="1804889642">
                  <w:marLeft w:val="0"/>
                  <w:marRight w:val="0"/>
                  <w:marTop w:val="0"/>
                  <w:marBottom w:val="0"/>
                  <w:divBdr>
                    <w:top w:val="none" w:sz="0" w:space="0" w:color="auto"/>
                    <w:left w:val="none" w:sz="0" w:space="0" w:color="auto"/>
                    <w:bottom w:val="none" w:sz="0" w:space="0" w:color="auto"/>
                    <w:right w:val="none" w:sz="0" w:space="0" w:color="auto"/>
                  </w:divBdr>
                  <w:divsChild>
                    <w:div w:id="1073435006">
                      <w:marLeft w:val="0"/>
                      <w:marRight w:val="0"/>
                      <w:marTop w:val="0"/>
                      <w:marBottom w:val="0"/>
                      <w:divBdr>
                        <w:top w:val="none" w:sz="0" w:space="0" w:color="auto"/>
                        <w:left w:val="none" w:sz="0" w:space="0" w:color="auto"/>
                        <w:bottom w:val="none" w:sz="0" w:space="0" w:color="auto"/>
                        <w:right w:val="none" w:sz="0" w:space="0" w:color="auto"/>
                      </w:divBdr>
                    </w:div>
                  </w:divsChild>
                </w:div>
                <w:div w:id="1942685875">
                  <w:marLeft w:val="0"/>
                  <w:marRight w:val="0"/>
                  <w:marTop w:val="0"/>
                  <w:marBottom w:val="0"/>
                  <w:divBdr>
                    <w:top w:val="none" w:sz="0" w:space="0" w:color="auto"/>
                    <w:left w:val="none" w:sz="0" w:space="0" w:color="auto"/>
                    <w:bottom w:val="none" w:sz="0" w:space="0" w:color="auto"/>
                    <w:right w:val="none" w:sz="0" w:space="0" w:color="auto"/>
                  </w:divBdr>
                  <w:divsChild>
                    <w:div w:id="2112697697">
                      <w:marLeft w:val="0"/>
                      <w:marRight w:val="0"/>
                      <w:marTop w:val="0"/>
                      <w:marBottom w:val="0"/>
                      <w:divBdr>
                        <w:top w:val="none" w:sz="0" w:space="0" w:color="auto"/>
                        <w:left w:val="none" w:sz="0" w:space="0" w:color="auto"/>
                        <w:bottom w:val="none" w:sz="0" w:space="0" w:color="auto"/>
                        <w:right w:val="none" w:sz="0" w:space="0" w:color="auto"/>
                      </w:divBdr>
                    </w:div>
                  </w:divsChild>
                </w:div>
                <w:div w:id="2033532995">
                  <w:marLeft w:val="0"/>
                  <w:marRight w:val="0"/>
                  <w:marTop w:val="0"/>
                  <w:marBottom w:val="0"/>
                  <w:divBdr>
                    <w:top w:val="none" w:sz="0" w:space="0" w:color="auto"/>
                    <w:left w:val="none" w:sz="0" w:space="0" w:color="auto"/>
                    <w:bottom w:val="none" w:sz="0" w:space="0" w:color="auto"/>
                    <w:right w:val="none" w:sz="0" w:space="0" w:color="auto"/>
                  </w:divBdr>
                  <w:divsChild>
                    <w:div w:id="135280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361826">
          <w:marLeft w:val="0"/>
          <w:marRight w:val="0"/>
          <w:marTop w:val="0"/>
          <w:marBottom w:val="0"/>
          <w:divBdr>
            <w:top w:val="none" w:sz="0" w:space="0" w:color="auto"/>
            <w:left w:val="none" w:sz="0" w:space="0" w:color="auto"/>
            <w:bottom w:val="none" w:sz="0" w:space="0" w:color="auto"/>
            <w:right w:val="none" w:sz="0" w:space="0" w:color="auto"/>
          </w:divBdr>
        </w:div>
        <w:div w:id="1156141215">
          <w:marLeft w:val="0"/>
          <w:marRight w:val="0"/>
          <w:marTop w:val="0"/>
          <w:marBottom w:val="0"/>
          <w:divBdr>
            <w:top w:val="none" w:sz="0" w:space="0" w:color="auto"/>
            <w:left w:val="none" w:sz="0" w:space="0" w:color="auto"/>
            <w:bottom w:val="none" w:sz="0" w:space="0" w:color="auto"/>
            <w:right w:val="none" w:sz="0" w:space="0" w:color="auto"/>
          </w:divBdr>
        </w:div>
        <w:div w:id="1171599959">
          <w:marLeft w:val="0"/>
          <w:marRight w:val="0"/>
          <w:marTop w:val="0"/>
          <w:marBottom w:val="0"/>
          <w:divBdr>
            <w:top w:val="none" w:sz="0" w:space="0" w:color="auto"/>
            <w:left w:val="none" w:sz="0" w:space="0" w:color="auto"/>
            <w:bottom w:val="none" w:sz="0" w:space="0" w:color="auto"/>
            <w:right w:val="none" w:sz="0" w:space="0" w:color="auto"/>
          </w:divBdr>
        </w:div>
        <w:div w:id="1234895295">
          <w:marLeft w:val="0"/>
          <w:marRight w:val="0"/>
          <w:marTop w:val="0"/>
          <w:marBottom w:val="0"/>
          <w:divBdr>
            <w:top w:val="none" w:sz="0" w:space="0" w:color="auto"/>
            <w:left w:val="none" w:sz="0" w:space="0" w:color="auto"/>
            <w:bottom w:val="none" w:sz="0" w:space="0" w:color="auto"/>
            <w:right w:val="none" w:sz="0" w:space="0" w:color="auto"/>
          </w:divBdr>
        </w:div>
        <w:div w:id="1247033592">
          <w:marLeft w:val="0"/>
          <w:marRight w:val="0"/>
          <w:marTop w:val="0"/>
          <w:marBottom w:val="0"/>
          <w:divBdr>
            <w:top w:val="none" w:sz="0" w:space="0" w:color="auto"/>
            <w:left w:val="none" w:sz="0" w:space="0" w:color="auto"/>
            <w:bottom w:val="none" w:sz="0" w:space="0" w:color="auto"/>
            <w:right w:val="none" w:sz="0" w:space="0" w:color="auto"/>
          </w:divBdr>
        </w:div>
        <w:div w:id="1253052089">
          <w:marLeft w:val="0"/>
          <w:marRight w:val="0"/>
          <w:marTop w:val="0"/>
          <w:marBottom w:val="0"/>
          <w:divBdr>
            <w:top w:val="none" w:sz="0" w:space="0" w:color="auto"/>
            <w:left w:val="none" w:sz="0" w:space="0" w:color="auto"/>
            <w:bottom w:val="none" w:sz="0" w:space="0" w:color="auto"/>
            <w:right w:val="none" w:sz="0" w:space="0" w:color="auto"/>
          </w:divBdr>
        </w:div>
        <w:div w:id="1256132883">
          <w:marLeft w:val="0"/>
          <w:marRight w:val="0"/>
          <w:marTop w:val="0"/>
          <w:marBottom w:val="0"/>
          <w:divBdr>
            <w:top w:val="none" w:sz="0" w:space="0" w:color="auto"/>
            <w:left w:val="none" w:sz="0" w:space="0" w:color="auto"/>
            <w:bottom w:val="none" w:sz="0" w:space="0" w:color="auto"/>
            <w:right w:val="none" w:sz="0" w:space="0" w:color="auto"/>
          </w:divBdr>
        </w:div>
        <w:div w:id="1335377429">
          <w:marLeft w:val="0"/>
          <w:marRight w:val="0"/>
          <w:marTop w:val="0"/>
          <w:marBottom w:val="0"/>
          <w:divBdr>
            <w:top w:val="none" w:sz="0" w:space="0" w:color="auto"/>
            <w:left w:val="none" w:sz="0" w:space="0" w:color="auto"/>
            <w:bottom w:val="none" w:sz="0" w:space="0" w:color="auto"/>
            <w:right w:val="none" w:sz="0" w:space="0" w:color="auto"/>
          </w:divBdr>
        </w:div>
        <w:div w:id="1825655999">
          <w:marLeft w:val="0"/>
          <w:marRight w:val="0"/>
          <w:marTop w:val="0"/>
          <w:marBottom w:val="0"/>
          <w:divBdr>
            <w:top w:val="none" w:sz="0" w:space="0" w:color="auto"/>
            <w:left w:val="none" w:sz="0" w:space="0" w:color="auto"/>
            <w:bottom w:val="none" w:sz="0" w:space="0" w:color="auto"/>
            <w:right w:val="none" w:sz="0" w:space="0" w:color="auto"/>
          </w:divBdr>
          <w:divsChild>
            <w:div w:id="1061563625">
              <w:marLeft w:val="-75"/>
              <w:marRight w:val="0"/>
              <w:marTop w:val="30"/>
              <w:marBottom w:val="30"/>
              <w:divBdr>
                <w:top w:val="none" w:sz="0" w:space="0" w:color="auto"/>
                <w:left w:val="none" w:sz="0" w:space="0" w:color="auto"/>
                <w:bottom w:val="none" w:sz="0" w:space="0" w:color="auto"/>
                <w:right w:val="none" w:sz="0" w:space="0" w:color="auto"/>
              </w:divBdr>
              <w:divsChild>
                <w:div w:id="79447148">
                  <w:marLeft w:val="0"/>
                  <w:marRight w:val="0"/>
                  <w:marTop w:val="0"/>
                  <w:marBottom w:val="0"/>
                  <w:divBdr>
                    <w:top w:val="none" w:sz="0" w:space="0" w:color="auto"/>
                    <w:left w:val="none" w:sz="0" w:space="0" w:color="auto"/>
                    <w:bottom w:val="none" w:sz="0" w:space="0" w:color="auto"/>
                    <w:right w:val="none" w:sz="0" w:space="0" w:color="auto"/>
                  </w:divBdr>
                  <w:divsChild>
                    <w:div w:id="147215082">
                      <w:marLeft w:val="0"/>
                      <w:marRight w:val="0"/>
                      <w:marTop w:val="0"/>
                      <w:marBottom w:val="0"/>
                      <w:divBdr>
                        <w:top w:val="none" w:sz="0" w:space="0" w:color="auto"/>
                        <w:left w:val="none" w:sz="0" w:space="0" w:color="auto"/>
                        <w:bottom w:val="none" w:sz="0" w:space="0" w:color="auto"/>
                        <w:right w:val="none" w:sz="0" w:space="0" w:color="auto"/>
                      </w:divBdr>
                    </w:div>
                  </w:divsChild>
                </w:div>
                <w:div w:id="106195942">
                  <w:marLeft w:val="0"/>
                  <w:marRight w:val="0"/>
                  <w:marTop w:val="0"/>
                  <w:marBottom w:val="0"/>
                  <w:divBdr>
                    <w:top w:val="none" w:sz="0" w:space="0" w:color="auto"/>
                    <w:left w:val="none" w:sz="0" w:space="0" w:color="auto"/>
                    <w:bottom w:val="none" w:sz="0" w:space="0" w:color="auto"/>
                    <w:right w:val="none" w:sz="0" w:space="0" w:color="auto"/>
                  </w:divBdr>
                  <w:divsChild>
                    <w:div w:id="1171021110">
                      <w:marLeft w:val="0"/>
                      <w:marRight w:val="0"/>
                      <w:marTop w:val="0"/>
                      <w:marBottom w:val="0"/>
                      <w:divBdr>
                        <w:top w:val="none" w:sz="0" w:space="0" w:color="auto"/>
                        <w:left w:val="none" w:sz="0" w:space="0" w:color="auto"/>
                        <w:bottom w:val="none" w:sz="0" w:space="0" w:color="auto"/>
                        <w:right w:val="none" w:sz="0" w:space="0" w:color="auto"/>
                      </w:divBdr>
                    </w:div>
                  </w:divsChild>
                </w:div>
                <w:div w:id="125860915">
                  <w:marLeft w:val="0"/>
                  <w:marRight w:val="0"/>
                  <w:marTop w:val="0"/>
                  <w:marBottom w:val="0"/>
                  <w:divBdr>
                    <w:top w:val="none" w:sz="0" w:space="0" w:color="auto"/>
                    <w:left w:val="none" w:sz="0" w:space="0" w:color="auto"/>
                    <w:bottom w:val="none" w:sz="0" w:space="0" w:color="auto"/>
                    <w:right w:val="none" w:sz="0" w:space="0" w:color="auto"/>
                  </w:divBdr>
                  <w:divsChild>
                    <w:div w:id="1247036578">
                      <w:marLeft w:val="0"/>
                      <w:marRight w:val="0"/>
                      <w:marTop w:val="0"/>
                      <w:marBottom w:val="0"/>
                      <w:divBdr>
                        <w:top w:val="none" w:sz="0" w:space="0" w:color="auto"/>
                        <w:left w:val="none" w:sz="0" w:space="0" w:color="auto"/>
                        <w:bottom w:val="none" w:sz="0" w:space="0" w:color="auto"/>
                        <w:right w:val="none" w:sz="0" w:space="0" w:color="auto"/>
                      </w:divBdr>
                    </w:div>
                  </w:divsChild>
                </w:div>
                <w:div w:id="139544317">
                  <w:marLeft w:val="0"/>
                  <w:marRight w:val="0"/>
                  <w:marTop w:val="0"/>
                  <w:marBottom w:val="0"/>
                  <w:divBdr>
                    <w:top w:val="none" w:sz="0" w:space="0" w:color="auto"/>
                    <w:left w:val="none" w:sz="0" w:space="0" w:color="auto"/>
                    <w:bottom w:val="none" w:sz="0" w:space="0" w:color="auto"/>
                    <w:right w:val="none" w:sz="0" w:space="0" w:color="auto"/>
                  </w:divBdr>
                  <w:divsChild>
                    <w:div w:id="1346323271">
                      <w:marLeft w:val="0"/>
                      <w:marRight w:val="0"/>
                      <w:marTop w:val="0"/>
                      <w:marBottom w:val="0"/>
                      <w:divBdr>
                        <w:top w:val="none" w:sz="0" w:space="0" w:color="auto"/>
                        <w:left w:val="none" w:sz="0" w:space="0" w:color="auto"/>
                        <w:bottom w:val="none" w:sz="0" w:space="0" w:color="auto"/>
                        <w:right w:val="none" w:sz="0" w:space="0" w:color="auto"/>
                      </w:divBdr>
                    </w:div>
                  </w:divsChild>
                </w:div>
                <w:div w:id="267012378">
                  <w:marLeft w:val="0"/>
                  <w:marRight w:val="0"/>
                  <w:marTop w:val="0"/>
                  <w:marBottom w:val="0"/>
                  <w:divBdr>
                    <w:top w:val="none" w:sz="0" w:space="0" w:color="auto"/>
                    <w:left w:val="none" w:sz="0" w:space="0" w:color="auto"/>
                    <w:bottom w:val="none" w:sz="0" w:space="0" w:color="auto"/>
                    <w:right w:val="none" w:sz="0" w:space="0" w:color="auto"/>
                  </w:divBdr>
                  <w:divsChild>
                    <w:div w:id="883978699">
                      <w:marLeft w:val="0"/>
                      <w:marRight w:val="0"/>
                      <w:marTop w:val="0"/>
                      <w:marBottom w:val="0"/>
                      <w:divBdr>
                        <w:top w:val="none" w:sz="0" w:space="0" w:color="auto"/>
                        <w:left w:val="none" w:sz="0" w:space="0" w:color="auto"/>
                        <w:bottom w:val="none" w:sz="0" w:space="0" w:color="auto"/>
                        <w:right w:val="none" w:sz="0" w:space="0" w:color="auto"/>
                      </w:divBdr>
                    </w:div>
                  </w:divsChild>
                </w:div>
                <w:div w:id="700789475">
                  <w:marLeft w:val="0"/>
                  <w:marRight w:val="0"/>
                  <w:marTop w:val="0"/>
                  <w:marBottom w:val="0"/>
                  <w:divBdr>
                    <w:top w:val="none" w:sz="0" w:space="0" w:color="auto"/>
                    <w:left w:val="none" w:sz="0" w:space="0" w:color="auto"/>
                    <w:bottom w:val="none" w:sz="0" w:space="0" w:color="auto"/>
                    <w:right w:val="none" w:sz="0" w:space="0" w:color="auto"/>
                  </w:divBdr>
                  <w:divsChild>
                    <w:div w:id="1443500428">
                      <w:marLeft w:val="0"/>
                      <w:marRight w:val="0"/>
                      <w:marTop w:val="0"/>
                      <w:marBottom w:val="0"/>
                      <w:divBdr>
                        <w:top w:val="none" w:sz="0" w:space="0" w:color="auto"/>
                        <w:left w:val="none" w:sz="0" w:space="0" w:color="auto"/>
                        <w:bottom w:val="none" w:sz="0" w:space="0" w:color="auto"/>
                        <w:right w:val="none" w:sz="0" w:space="0" w:color="auto"/>
                      </w:divBdr>
                    </w:div>
                  </w:divsChild>
                </w:div>
                <w:div w:id="797576195">
                  <w:marLeft w:val="0"/>
                  <w:marRight w:val="0"/>
                  <w:marTop w:val="0"/>
                  <w:marBottom w:val="0"/>
                  <w:divBdr>
                    <w:top w:val="none" w:sz="0" w:space="0" w:color="auto"/>
                    <w:left w:val="none" w:sz="0" w:space="0" w:color="auto"/>
                    <w:bottom w:val="none" w:sz="0" w:space="0" w:color="auto"/>
                    <w:right w:val="none" w:sz="0" w:space="0" w:color="auto"/>
                  </w:divBdr>
                  <w:divsChild>
                    <w:div w:id="1837723083">
                      <w:marLeft w:val="0"/>
                      <w:marRight w:val="0"/>
                      <w:marTop w:val="0"/>
                      <w:marBottom w:val="0"/>
                      <w:divBdr>
                        <w:top w:val="none" w:sz="0" w:space="0" w:color="auto"/>
                        <w:left w:val="none" w:sz="0" w:space="0" w:color="auto"/>
                        <w:bottom w:val="none" w:sz="0" w:space="0" w:color="auto"/>
                        <w:right w:val="none" w:sz="0" w:space="0" w:color="auto"/>
                      </w:divBdr>
                    </w:div>
                  </w:divsChild>
                </w:div>
                <w:div w:id="824590878">
                  <w:marLeft w:val="0"/>
                  <w:marRight w:val="0"/>
                  <w:marTop w:val="0"/>
                  <w:marBottom w:val="0"/>
                  <w:divBdr>
                    <w:top w:val="none" w:sz="0" w:space="0" w:color="auto"/>
                    <w:left w:val="none" w:sz="0" w:space="0" w:color="auto"/>
                    <w:bottom w:val="none" w:sz="0" w:space="0" w:color="auto"/>
                    <w:right w:val="none" w:sz="0" w:space="0" w:color="auto"/>
                  </w:divBdr>
                  <w:divsChild>
                    <w:div w:id="604461612">
                      <w:marLeft w:val="0"/>
                      <w:marRight w:val="0"/>
                      <w:marTop w:val="0"/>
                      <w:marBottom w:val="0"/>
                      <w:divBdr>
                        <w:top w:val="none" w:sz="0" w:space="0" w:color="auto"/>
                        <w:left w:val="none" w:sz="0" w:space="0" w:color="auto"/>
                        <w:bottom w:val="none" w:sz="0" w:space="0" w:color="auto"/>
                        <w:right w:val="none" w:sz="0" w:space="0" w:color="auto"/>
                      </w:divBdr>
                    </w:div>
                    <w:div w:id="2058045583">
                      <w:marLeft w:val="0"/>
                      <w:marRight w:val="0"/>
                      <w:marTop w:val="0"/>
                      <w:marBottom w:val="0"/>
                      <w:divBdr>
                        <w:top w:val="none" w:sz="0" w:space="0" w:color="auto"/>
                        <w:left w:val="none" w:sz="0" w:space="0" w:color="auto"/>
                        <w:bottom w:val="none" w:sz="0" w:space="0" w:color="auto"/>
                        <w:right w:val="none" w:sz="0" w:space="0" w:color="auto"/>
                      </w:divBdr>
                    </w:div>
                  </w:divsChild>
                </w:div>
                <w:div w:id="848299611">
                  <w:marLeft w:val="0"/>
                  <w:marRight w:val="0"/>
                  <w:marTop w:val="0"/>
                  <w:marBottom w:val="0"/>
                  <w:divBdr>
                    <w:top w:val="none" w:sz="0" w:space="0" w:color="auto"/>
                    <w:left w:val="none" w:sz="0" w:space="0" w:color="auto"/>
                    <w:bottom w:val="none" w:sz="0" w:space="0" w:color="auto"/>
                    <w:right w:val="none" w:sz="0" w:space="0" w:color="auto"/>
                  </w:divBdr>
                  <w:divsChild>
                    <w:div w:id="1266035633">
                      <w:marLeft w:val="0"/>
                      <w:marRight w:val="0"/>
                      <w:marTop w:val="0"/>
                      <w:marBottom w:val="0"/>
                      <w:divBdr>
                        <w:top w:val="none" w:sz="0" w:space="0" w:color="auto"/>
                        <w:left w:val="none" w:sz="0" w:space="0" w:color="auto"/>
                        <w:bottom w:val="none" w:sz="0" w:space="0" w:color="auto"/>
                        <w:right w:val="none" w:sz="0" w:space="0" w:color="auto"/>
                      </w:divBdr>
                    </w:div>
                  </w:divsChild>
                </w:div>
                <w:div w:id="1070153541">
                  <w:marLeft w:val="0"/>
                  <w:marRight w:val="0"/>
                  <w:marTop w:val="0"/>
                  <w:marBottom w:val="0"/>
                  <w:divBdr>
                    <w:top w:val="none" w:sz="0" w:space="0" w:color="auto"/>
                    <w:left w:val="none" w:sz="0" w:space="0" w:color="auto"/>
                    <w:bottom w:val="none" w:sz="0" w:space="0" w:color="auto"/>
                    <w:right w:val="none" w:sz="0" w:space="0" w:color="auto"/>
                  </w:divBdr>
                  <w:divsChild>
                    <w:div w:id="242838470">
                      <w:marLeft w:val="0"/>
                      <w:marRight w:val="0"/>
                      <w:marTop w:val="0"/>
                      <w:marBottom w:val="0"/>
                      <w:divBdr>
                        <w:top w:val="none" w:sz="0" w:space="0" w:color="auto"/>
                        <w:left w:val="none" w:sz="0" w:space="0" w:color="auto"/>
                        <w:bottom w:val="none" w:sz="0" w:space="0" w:color="auto"/>
                        <w:right w:val="none" w:sz="0" w:space="0" w:color="auto"/>
                      </w:divBdr>
                    </w:div>
                    <w:div w:id="401367477">
                      <w:marLeft w:val="0"/>
                      <w:marRight w:val="0"/>
                      <w:marTop w:val="0"/>
                      <w:marBottom w:val="0"/>
                      <w:divBdr>
                        <w:top w:val="none" w:sz="0" w:space="0" w:color="auto"/>
                        <w:left w:val="none" w:sz="0" w:space="0" w:color="auto"/>
                        <w:bottom w:val="none" w:sz="0" w:space="0" w:color="auto"/>
                        <w:right w:val="none" w:sz="0" w:space="0" w:color="auto"/>
                      </w:divBdr>
                    </w:div>
                  </w:divsChild>
                </w:div>
                <w:div w:id="1164199568">
                  <w:marLeft w:val="0"/>
                  <w:marRight w:val="0"/>
                  <w:marTop w:val="0"/>
                  <w:marBottom w:val="0"/>
                  <w:divBdr>
                    <w:top w:val="none" w:sz="0" w:space="0" w:color="auto"/>
                    <w:left w:val="none" w:sz="0" w:space="0" w:color="auto"/>
                    <w:bottom w:val="none" w:sz="0" w:space="0" w:color="auto"/>
                    <w:right w:val="none" w:sz="0" w:space="0" w:color="auto"/>
                  </w:divBdr>
                  <w:divsChild>
                    <w:div w:id="117140262">
                      <w:marLeft w:val="0"/>
                      <w:marRight w:val="0"/>
                      <w:marTop w:val="0"/>
                      <w:marBottom w:val="0"/>
                      <w:divBdr>
                        <w:top w:val="none" w:sz="0" w:space="0" w:color="auto"/>
                        <w:left w:val="none" w:sz="0" w:space="0" w:color="auto"/>
                        <w:bottom w:val="none" w:sz="0" w:space="0" w:color="auto"/>
                        <w:right w:val="none" w:sz="0" w:space="0" w:color="auto"/>
                      </w:divBdr>
                    </w:div>
                  </w:divsChild>
                </w:div>
                <w:div w:id="1205829216">
                  <w:marLeft w:val="0"/>
                  <w:marRight w:val="0"/>
                  <w:marTop w:val="0"/>
                  <w:marBottom w:val="0"/>
                  <w:divBdr>
                    <w:top w:val="none" w:sz="0" w:space="0" w:color="auto"/>
                    <w:left w:val="none" w:sz="0" w:space="0" w:color="auto"/>
                    <w:bottom w:val="none" w:sz="0" w:space="0" w:color="auto"/>
                    <w:right w:val="none" w:sz="0" w:space="0" w:color="auto"/>
                  </w:divBdr>
                  <w:divsChild>
                    <w:div w:id="243877131">
                      <w:marLeft w:val="0"/>
                      <w:marRight w:val="0"/>
                      <w:marTop w:val="0"/>
                      <w:marBottom w:val="0"/>
                      <w:divBdr>
                        <w:top w:val="none" w:sz="0" w:space="0" w:color="auto"/>
                        <w:left w:val="none" w:sz="0" w:space="0" w:color="auto"/>
                        <w:bottom w:val="none" w:sz="0" w:space="0" w:color="auto"/>
                        <w:right w:val="none" w:sz="0" w:space="0" w:color="auto"/>
                      </w:divBdr>
                    </w:div>
                  </w:divsChild>
                </w:div>
                <w:div w:id="1254321283">
                  <w:marLeft w:val="0"/>
                  <w:marRight w:val="0"/>
                  <w:marTop w:val="0"/>
                  <w:marBottom w:val="0"/>
                  <w:divBdr>
                    <w:top w:val="none" w:sz="0" w:space="0" w:color="auto"/>
                    <w:left w:val="none" w:sz="0" w:space="0" w:color="auto"/>
                    <w:bottom w:val="none" w:sz="0" w:space="0" w:color="auto"/>
                    <w:right w:val="none" w:sz="0" w:space="0" w:color="auto"/>
                  </w:divBdr>
                  <w:divsChild>
                    <w:div w:id="2512961">
                      <w:marLeft w:val="0"/>
                      <w:marRight w:val="0"/>
                      <w:marTop w:val="0"/>
                      <w:marBottom w:val="0"/>
                      <w:divBdr>
                        <w:top w:val="none" w:sz="0" w:space="0" w:color="auto"/>
                        <w:left w:val="none" w:sz="0" w:space="0" w:color="auto"/>
                        <w:bottom w:val="none" w:sz="0" w:space="0" w:color="auto"/>
                        <w:right w:val="none" w:sz="0" w:space="0" w:color="auto"/>
                      </w:divBdr>
                    </w:div>
                  </w:divsChild>
                </w:div>
                <w:div w:id="1442414094">
                  <w:marLeft w:val="0"/>
                  <w:marRight w:val="0"/>
                  <w:marTop w:val="0"/>
                  <w:marBottom w:val="0"/>
                  <w:divBdr>
                    <w:top w:val="none" w:sz="0" w:space="0" w:color="auto"/>
                    <w:left w:val="none" w:sz="0" w:space="0" w:color="auto"/>
                    <w:bottom w:val="none" w:sz="0" w:space="0" w:color="auto"/>
                    <w:right w:val="none" w:sz="0" w:space="0" w:color="auto"/>
                  </w:divBdr>
                  <w:divsChild>
                    <w:div w:id="1897087727">
                      <w:marLeft w:val="0"/>
                      <w:marRight w:val="0"/>
                      <w:marTop w:val="0"/>
                      <w:marBottom w:val="0"/>
                      <w:divBdr>
                        <w:top w:val="none" w:sz="0" w:space="0" w:color="auto"/>
                        <w:left w:val="none" w:sz="0" w:space="0" w:color="auto"/>
                        <w:bottom w:val="none" w:sz="0" w:space="0" w:color="auto"/>
                        <w:right w:val="none" w:sz="0" w:space="0" w:color="auto"/>
                      </w:divBdr>
                    </w:div>
                  </w:divsChild>
                </w:div>
                <w:div w:id="1488746837">
                  <w:marLeft w:val="0"/>
                  <w:marRight w:val="0"/>
                  <w:marTop w:val="0"/>
                  <w:marBottom w:val="0"/>
                  <w:divBdr>
                    <w:top w:val="none" w:sz="0" w:space="0" w:color="auto"/>
                    <w:left w:val="none" w:sz="0" w:space="0" w:color="auto"/>
                    <w:bottom w:val="none" w:sz="0" w:space="0" w:color="auto"/>
                    <w:right w:val="none" w:sz="0" w:space="0" w:color="auto"/>
                  </w:divBdr>
                  <w:divsChild>
                    <w:div w:id="1948926009">
                      <w:marLeft w:val="0"/>
                      <w:marRight w:val="0"/>
                      <w:marTop w:val="0"/>
                      <w:marBottom w:val="0"/>
                      <w:divBdr>
                        <w:top w:val="none" w:sz="0" w:space="0" w:color="auto"/>
                        <w:left w:val="none" w:sz="0" w:space="0" w:color="auto"/>
                        <w:bottom w:val="none" w:sz="0" w:space="0" w:color="auto"/>
                        <w:right w:val="none" w:sz="0" w:space="0" w:color="auto"/>
                      </w:divBdr>
                    </w:div>
                  </w:divsChild>
                </w:div>
                <w:div w:id="1546914483">
                  <w:marLeft w:val="0"/>
                  <w:marRight w:val="0"/>
                  <w:marTop w:val="0"/>
                  <w:marBottom w:val="0"/>
                  <w:divBdr>
                    <w:top w:val="none" w:sz="0" w:space="0" w:color="auto"/>
                    <w:left w:val="none" w:sz="0" w:space="0" w:color="auto"/>
                    <w:bottom w:val="none" w:sz="0" w:space="0" w:color="auto"/>
                    <w:right w:val="none" w:sz="0" w:space="0" w:color="auto"/>
                  </w:divBdr>
                  <w:divsChild>
                    <w:div w:id="972755915">
                      <w:marLeft w:val="0"/>
                      <w:marRight w:val="0"/>
                      <w:marTop w:val="0"/>
                      <w:marBottom w:val="0"/>
                      <w:divBdr>
                        <w:top w:val="none" w:sz="0" w:space="0" w:color="auto"/>
                        <w:left w:val="none" w:sz="0" w:space="0" w:color="auto"/>
                        <w:bottom w:val="none" w:sz="0" w:space="0" w:color="auto"/>
                        <w:right w:val="none" w:sz="0" w:space="0" w:color="auto"/>
                      </w:divBdr>
                    </w:div>
                  </w:divsChild>
                </w:div>
                <w:div w:id="1583294992">
                  <w:marLeft w:val="0"/>
                  <w:marRight w:val="0"/>
                  <w:marTop w:val="0"/>
                  <w:marBottom w:val="0"/>
                  <w:divBdr>
                    <w:top w:val="none" w:sz="0" w:space="0" w:color="auto"/>
                    <w:left w:val="none" w:sz="0" w:space="0" w:color="auto"/>
                    <w:bottom w:val="none" w:sz="0" w:space="0" w:color="auto"/>
                    <w:right w:val="none" w:sz="0" w:space="0" w:color="auto"/>
                  </w:divBdr>
                  <w:divsChild>
                    <w:div w:id="4987131">
                      <w:marLeft w:val="0"/>
                      <w:marRight w:val="0"/>
                      <w:marTop w:val="0"/>
                      <w:marBottom w:val="0"/>
                      <w:divBdr>
                        <w:top w:val="none" w:sz="0" w:space="0" w:color="auto"/>
                        <w:left w:val="none" w:sz="0" w:space="0" w:color="auto"/>
                        <w:bottom w:val="none" w:sz="0" w:space="0" w:color="auto"/>
                        <w:right w:val="none" w:sz="0" w:space="0" w:color="auto"/>
                      </w:divBdr>
                    </w:div>
                  </w:divsChild>
                </w:div>
                <w:div w:id="1624116581">
                  <w:marLeft w:val="0"/>
                  <w:marRight w:val="0"/>
                  <w:marTop w:val="0"/>
                  <w:marBottom w:val="0"/>
                  <w:divBdr>
                    <w:top w:val="none" w:sz="0" w:space="0" w:color="auto"/>
                    <w:left w:val="none" w:sz="0" w:space="0" w:color="auto"/>
                    <w:bottom w:val="none" w:sz="0" w:space="0" w:color="auto"/>
                    <w:right w:val="none" w:sz="0" w:space="0" w:color="auto"/>
                  </w:divBdr>
                  <w:divsChild>
                    <w:div w:id="1395856221">
                      <w:marLeft w:val="0"/>
                      <w:marRight w:val="0"/>
                      <w:marTop w:val="0"/>
                      <w:marBottom w:val="0"/>
                      <w:divBdr>
                        <w:top w:val="none" w:sz="0" w:space="0" w:color="auto"/>
                        <w:left w:val="none" w:sz="0" w:space="0" w:color="auto"/>
                        <w:bottom w:val="none" w:sz="0" w:space="0" w:color="auto"/>
                        <w:right w:val="none" w:sz="0" w:space="0" w:color="auto"/>
                      </w:divBdr>
                    </w:div>
                  </w:divsChild>
                </w:div>
                <w:div w:id="1947692850">
                  <w:marLeft w:val="0"/>
                  <w:marRight w:val="0"/>
                  <w:marTop w:val="0"/>
                  <w:marBottom w:val="0"/>
                  <w:divBdr>
                    <w:top w:val="none" w:sz="0" w:space="0" w:color="auto"/>
                    <w:left w:val="none" w:sz="0" w:space="0" w:color="auto"/>
                    <w:bottom w:val="none" w:sz="0" w:space="0" w:color="auto"/>
                    <w:right w:val="none" w:sz="0" w:space="0" w:color="auto"/>
                  </w:divBdr>
                  <w:divsChild>
                    <w:div w:id="633025216">
                      <w:marLeft w:val="0"/>
                      <w:marRight w:val="0"/>
                      <w:marTop w:val="0"/>
                      <w:marBottom w:val="0"/>
                      <w:divBdr>
                        <w:top w:val="none" w:sz="0" w:space="0" w:color="auto"/>
                        <w:left w:val="none" w:sz="0" w:space="0" w:color="auto"/>
                        <w:bottom w:val="none" w:sz="0" w:space="0" w:color="auto"/>
                        <w:right w:val="none" w:sz="0" w:space="0" w:color="auto"/>
                      </w:divBdr>
                    </w:div>
                  </w:divsChild>
                </w:div>
                <w:div w:id="1988779146">
                  <w:marLeft w:val="0"/>
                  <w:marRight w:val="0"/>
                  <w:marTop w:val="0"/>
                  <w:marBottom w:val="0"/>
                  <w:divBdr>
                    <w:top w:val="none" w:sz="0" w:space="0" w:color="auto"/>
                    <w:left w:val="none" w:sz="0" w:space="0" w:color="auto"/>
                    <w:bottom w:val="none" w:sz="0" w:space="0" w:color="auto"/>
                    <w:right w:val="none" w:sz="0" w:space="0" w:color="auto"/>
                  </w:divBdr>
                  <w:divsChild>
                    <w:div w:id="1594699128">
                      <w:marLeft w:val="0"/>
                      <w:marRight w:val="0"/>
                      <w:marTop w:val="0"/>
                      <w:marBottom w:val="0"/>
                      <w:divBdr>
                        <w:top w:val="none" w:sz="0" w:space="0" w:color="auto"/>
                        <w:left w:val="none" w:sz="0" w:space="0" w:color="auto"/>
                        <w:bottom w:val="none" w:sz="0" w:space="0" w:color="auto"/>
                        <w:right w:val="none" w:sz="0" w:space="0" w:color="auto"/>
                      </w:divBdr>
                    </w:div>
                  </w:divsChild>
                </w:div>
                <w:div w:id="2050566078">
                  <w:marLeft w:val="0"/>
                  <w:marRight w:val="0"/>
                  <w:marTop w:val="0"/>
                  <w:marBottom w:val="0"/>
                  <w:divBdr>
                    <w:top w:val="none" w:sz="0" w:space="0" w:color="auto"/>
                    <w:left w:val="none" w:sz="0" w:space="0" w:color="auto"/>
                    <w:bottom w:val="none" w:sz="0" w:space="0" w:color="auto"/>
                    <w:right w:val="none" w:sz="0" w:space="0" w:color="auto"/>
                  </w:divBdr>
                  <w:divsChild>
                    <w:div w:id="205823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3522105">
          <w:marLeft w:val="0"/>
          <w:marRight w:val="0"/>
          <w:marTop w:val="0"/>
          <w:marBottom w:val="0"/>
          <w:divBdr>
            <w:top w:val="none" w:sz="0" w:space="0" w:color="auto"/>
            <w:left w:val="none" w:sz="0" w:space="0" w:color="auto"/>
            <w:bottom w:val="none" w:sz="0" w:space="0" w:color="auto"/>
            <w:right w:val="none" w:sz="0" w:space="0" w:color="auto"/>
          </w:divBdr>
        </w:div>
        <w:div w:id="1961187703">
          <w:marLeft w:val="0"/>
          <w:marRight w:val="0"/>
          <w:marTop w:val="0"/>
          <w:marBottom w:val="0"/>
          <w:divBdr>
            <w:top w:val="none" w:sz="0" w:space="0" w:color="auto"/>
            <w:left w:val="none" w:sz="0" w:space="0" w:color="auto"/>
            <w:bottom w:val="none" w:sz="0" w:space="0" w:color="auto"/>
            <w:right w:val="none" w:sz="0" w:space="0" w:color="auto"/>
          </w:divBdr>
        </w:div>
        <w:div w:id="1999452521">
          <w:marLeft w:val="0"/>
          <w:marRight w:val="0"/>
          <w:marTop w:val="0"/>
          <w:marBottom w:val="0"/>
          <w:divBdr>
            <w:top w:val="none" w:sz="0" w:space="0" w:color="auto"/>
            <w:left w:val="none" w:sz="0" w:space="0" w:color="auto"/>
            <w:bottom w:val="none" w:sz="0" w:space="0" w:color="auto"/>
            <w:right w:val="none" w:sz="0" w:space="0" w:color="auto"/>
          </w:divBdr>
        </w:div>
        <w:div w:id="2129010426">
          <w:marLeft w:val="0"/>
          <w:marRight w:val="0"/>
          <w:marTop w:val="0"/>
          <w:marBottom w:val="0"/>
          <w:divBdr>
            <w:top w:val="none" w:sz="0" w:space="0" w:color="auto"/>
            <w:left w:val="none" w:sz="0" w:space="0" w:color="auto"/>
            <w:bottom w:val="none" w:sz="0" w:space="0" w:color="auto"/>
            <w:right w:val="none" w:sz="0" w:space="0" w:color="auto"/>
          </w:divBdr>
        </w:div>
        <w:div w:id="2137217679">
          <w:marLeft w:val="0"/>
          <w:marRight w:val="0"/>
          <w:marTop w:val="0"/>
          <w:marBottom w:val="0"/>
          <w:divBdr>
            <w:top w:val="none" w:sz="0" w:space="0" w:color="auto"/>
            <w:left w:val="none" w:sz="0" w:space="0" w:color="auto"/>
            <w:bottom w:val="none" w:sz="0" w:space="0" w:color="auto"/>
            <w:right w:val="none" w:sz="0" w:space="0" w:color="auto"/>
          </w:divBdr>
          <w:divsChild>
            <w:div w:id="1466124687">
              <w:marLeft w:val="-75"/>
              <w:marRight w:val="0"/>
              <w:marTop w:val="30"/>
              <w:marBottom w:val="30"/>
              <w:divBdr>
                <w:top w:val="none" w:sz="0" w:space="0" w:color="auto"/>
                <w:left w:val="none" w:sz="0" w:space="0" w:color="auto"/>
                <w:bottom w:val="none" w:sz="0" w:space="0" w:color="auto"/>
                <w:right w:val="none" w:sz="0" w:space="0" w:color="auto"/>
              </w:divBdr>
              <w:divsChild>
                <w:div w:id="74985095">
                  <w:marLeft w:val="0"/>
                  <w:marRight w:val="0"/>
                  <w:marTop w:val="0"/>
                  <w:marBottom w:val="0"/>
                  <w:divBdr>
                    <w:top w:val="none" w:sz="0" w:space="0" w:color="auto"/>
                    <w:left w:val="none" w:sz="0" w:space="0" w:color="auto"/>
                    <w:bottom w:val="none" w:sz="0" w:space="0" w:color="auto"/>
                    <w:right w:val="none" w:sz="0" w:space="0" w:color="auto"/>
                  </w:divBdr>
                  <w:divsChild>
                    <w:div w:id="610278949">
                      <w:marLeft w:val="0"/>
                      <w:marRight w:val="0"/>
                      <w:marTop w:val="0"/>
                      <w:marBottom w:val="0"/>
                      <w:divBdr>
                        <w:top w:val="none" w:sz="0" w:space="0" w:color="auto"/>
                        <w:left w:val="none" w:sz="0" w:space="0" w:color="auto"/>
                        <w:bottom w:val="none" w:sz="0" w:space="0" w:color="auto"/>
                        <w:right w:val="none" w:sz="0" w:space="0" w:color="auto"/>
                      </w:divBdr>
                    </w:div>
                  </w:divsChild>
                </w:div>
                <w:div w:id="192228516">
                  <w:marLeft w:val="0"/>
                  <w:marRight w:val="0"/>
                  <w:marTop w:val="0"/>
                  <w:marBottom w:val="0"/>
                  <w:divBdr>
                    <w:top w:val="none" w:sz="0" w:space="0" w:color="auto"/>
                    <w:left w:val="none" w:sz="0" w:space="0" w:color="auto"/>
                    <w:bottom w:val="none" w:sz="0" w:space="0" w:color="auto"/>
                    <w:right w:val="none" w:sz="0" w:space="0" w:color="auto"/>
                  </w:divBdr>
                  <w:divsChild>
                    <w:div w:id="179200691">
                      <w:marLeft w:val="0"/>
                      <w:marRight w:val="0"/>
                      <w:marTop w:val="0"/>
                      <w:marBottom w:val="0"/>
                      <w:divBdr>
                        <w:top w:val="none" w:sz="0" w:space="0" w:color="auto"/>
                        <w:left w:val="none" w:sz="0" w:space="0" w:color="auto"/>
                        <w:bottom w:val="none" w:sz="0" w:space="0" w:color="auto"/>
                        <w:right w:val="none" w:sz="0" w:space="0" w:color="auto"/>
                      </w:divBdr>
                    </w:div>
                  </w:divsChild>
                </w:div>
                <w:div w:id="507407986">
                  <w:marLeft w:val="0"/>
                  <w:marRight w:val="0"/>
                  <w:marTop w:val="0"/>
                  <w:marBottom w:val="0"/>
                  <w:divBdr>
                    <w:top w:val="none" w:sz="0" w:space="0" w:color="auto"/>
                    <w:left w:val="none" w:sz="0" w:space="0" w:color="auto"/>
                    <w:bottom w:val="none" w:sz="0" w:space="0" w:color="auto"/>
                    <w:right w:val="none" w:sz="0" w:space="0" w:color="auto"/>
                  </w:divBdr>
                  <w:divsChild>
                    <w:div w:id="1482190283">
                      <w:marLeft w:val="0"/>
                      <w:marRight w:val="0"/>
                      <w:marTop w:val="0"/>
                      <w:marBottom w:val="0"/>
                      <w:divBdr>
                        <w:top w:val="none" w:sz="0" w:space="0" w:color="auto"/>
                        <w:left w:val="none" w:sz="0" w:space="0" w:color="auto"/>
                        <w:bottom w:val="none" w:sz="0" w:space="0" w:color="auto"/>
                        <w:right w:val="none" w:sz="0" w:space="0" w:color="auto"/>
                      </w:divBdr>
                    </w:div>
                  </w:divsChild>
                </w:div>
                <w:div w:id="576861894">
                  <w:marLeft w:val="0"/>
                  <w:marRight w:val="0"/>
                  <w:marTop w:val="0"/>
                  <w:marBottom w:val="0"/>
                  <w:divBdr>
                    <w:top w:val="none" w:sz="0" w:space="0" w:color="auto"/>
                    <w:left w:val="none" w:sz="0" w:space="0" w:color="auto"/>
                    <w:bottom w:val="none" w:sz="0" w:space="0" w:color="auto"/>
                    <w:right w:val="none" w:sz="0" w:space="0" w:color="auto"/>
                  </w:divBdr>
                  <w:divsChild>
                    <w:div w:id="395514992">
                      <w:marLeft w:val="0"/>
                      <w:marRight w:val="0"/>
                      <w:marTop w:val="0"/>
                      <w:marBottom w:val="0"/>
                      <w:divBdr>
                        <w:top w:val="none" w:sz="0" w:space="0" w:color="auto"/>
                        <w:left w:val="none" w:sz="0" w:space="0" w:color="auto"/>
                        <w:bottom w:val="none" w:sz="0" w:space="0" w:color="auto"/>
                        <w:right w:val="none" w:sz="0" w:space="0" w:color="auto"/>
                      </w:divBdr>
                    </w:div>
                  </w:divsChild>
                </w:div>
                <w:div w:id="720247213">
                  <w:marLeft w:val="0"/>
                  <w:marRight w:val="0"/>
                  <w:marTop w:val="0"/>
                  <w:marBottom w:val="0"/>
                  <w:divBdr>
                    <w:top w:val="none" w:sz="0" w:space="0" w:color="auto"/>
                    <w:left w:val="none" w:sz="0" w:space="0" w:color="auto"/>
                    <w:bottom w:val="none" w:sz="0" w:space="0" w:color="auto"/>
                    <w:right w:val="none" w:sz="0" w:space="0" w:color="auto"/>
                  </w:divBdr>
                  <w:divsChild>
                    <w:div w:id="1866403091">
                      <w:marLeft w:val="0"/>
                      <w:marRight w:val="0"/>
                      <w:marTop w:val="0"/>
                      <w:marBottom w:val="0"/>
                      <w:divBdr>
                        <w:top w:val="none" w:sz="0" w:space="0" w:color="auto"/>
                        <w:left w:val="none" w:sz="0" w:space="0" w:color="auto"/>
                        <w:bottom w:val="none" w:sz="0" w:space="0" w:color="auto"/>
                        <w:right w:val="none" w:sz="0" w:space="0" w:color="auto"/>
                      </w:divBdr>
                    </w:div>
                  </w:divsChild>
                </w:div>
                <w:div w:id="911083012">
                  <w:marLeft w:val="0"/>
                  <w:marRight w:val="0"/>
                  <w:marTop w:val="0"/>
                  <w:marBottom w:val="0"/>
                  <w:divBdr>
                    <w:top w:val="none" w:sz="0" w:space="0" w:color="auto"/>
                    <w:left w:val="none" w:sz="0" w:space="0" w:color="auto"/>
                    <w:bottom w:val="none" w:sz="0" w:space="0" w:color="auto"/>
                    <w:right w:val="none" w:sz="0" w:space="0" w:color="auto"/>
                  </w:divBdr>
                  <w:divsChild>
                    <w:div w:id="1894660211">
                      <w:marLeft w:val="0"/>
                      <w:marRight w:val="0"/>
                      <w:marTop w:val="0"/>
                      <w:marBottom w:val="0"/>
                      <w:divBdr>
                        <w:top w:val="none" w:sz="0" w:space="0" w:color="auto"/>
                        <w:left w:val="none" w:sz="0" w:space="0" w:color="auto"/>
                        <w:bottom w:val="none" w:sz="0" w:space="0" w:color="auto"/>
                        <w:right w:val="none" w:sz="0" w:space="0" w:color="auto"/>
                      </w:divBdr>
                    </w:div>
                  </w:divsChild>
                </w:div>
                <w:div w:id="1061707025">
                  <w:marLeft w:val="0"/>
                  <w:marRight w:val="0"/>
                  <w:marTop w:val="0"/>
                  <w:marBottom w:val="0"/>
                  <w:divBdr>
                    <w:top w:val="none" w:sz="0" w:space="0" w:color="auto"/>
                    <w:left w:val="none" w:sz="0" w:space="0" w:color="auto"/>
                    <w:bottom w:val="none" w:sz="0" w:space="0" w:color="auto"/>
                    <w:right w:val="none" w:sz="0" w:space="0" w:color="auto"/>
                  </w:divBdr>
                  <w:divsChild>
                    <w:div w:id="639119008">
                      <w:marLeft w:val="0"/>
                      <w:marRight w:val="0"/>
                      <w:marTop w:val="0"/>
                      <w:marBottom w:val="0"/>
                      <w:divBdr>
                        <w:top w:val="none" w:sz="0" w:space="0" w:color="auto"/>
                        <w:left w:val="none" w:sz="0" w:space="0" w:color="auto"/>
                        <w:bottom w:val="none" w:sz="0" w:space="0" w:color="auto"/>
                        <w:right w:val="none" w:sz="0" w:space="0" w:color="auto"/>
                      </w:divBdr>
                    </w:div>
                  </w:divsChild>
                </w:div>
                <w:div w:id="1217861540">
                  <w:marLeft w:val="0"/>
                  <w:marRight w:val="0"/>
                  <w:marTop w:val="0"/>
                  <w:marBottom w:val="0"/>
                  <w:divBdr>
                    <w:top w:val="none" w:sz="0" w:space="0" w:color="auto"/>
                    <w:left w:val="none" w:sz="0" w:space="0" w:color="auto"/>
                    <w:bottom w:val="none" w:sz="0" w:space="0" w:color="auto"/>
                    <w:right w:val="none" w:sz="0" w:space="0" w:color="auto"/>
                  </w:divBdr>
                  <w:divsChild>
                    <w:div w:id="1460612598">
                      <w:marLeft w:val="0"/>
                      <w:marRight w:val="0"/>
                      <w:marTop w:val="0"/>
                      <w:marBottom w:val="0"/>
                      <w:divBdr>
                        <w:top w:val="none" w:sz="0" w:space="0" w:color="auto"/>
                        <w:left w:val="none" w:sz="0" w:space="0" w:color="auto"/>
                        <w:bottom w:val="none" w:sz="0" w:space="0" w:color="auto"/>
                        <w:right w:val="none" w:sz="0" w:space="0" w:color="auto"/>
                      </w:divBdr>
                    </w:div>
                  </w:divsChild>
                </w:div>
                <w:div w:id="1228421857">
                  <w:marLeft w:val="0"/>
                  <w:marRight w:val="0"/>
                  <w:marTop w:val="0"/>
                  <w:marBottom w:val="0"/>
                  <w:divBdr>
                    <w:top w:val="none" w:sz="0" w:space="0" w:color="auto"/>
                    <w:left w:val="none" w:sz="0" w:space="0" w:color="auto"/>
                    <w:bottom w:val="none" w:sz="0" w:space="0" w:color="auto"/>
                    <w:right w:val="none" w:sz="0" w:space="0" w:color="auto"/>
                  </w:divBdr>
                  <w:divsChild>
                    <w:div w:id="326983795">
                      <w:marLeft w:val="0"/>
                      <w:marRight w:val="0"/>
                      <w:marTop w:val="0"/>
                      <w:marBottom w:val="0"/>
                      <w:divBdr>
                        <w:top w:val="none" w:sz="0" w:space="0" w:color="auto"/>
                        <w:left w:val="none" w:sz="0" w:space="0" w:color="auto"/>
                        <w:bottom w:val="none" w:sz="0" w:space="0" w:color="auto"/>
                        <w:right w:val="none" w:sz="0" w:space="0" w:color="auto"/>
                      </w:divBdr>
                    </w:div>
                  </w:divsChild>
                </w:div>
                <w:div w:id="1425112118">
                  <w:marLeft w:val="0"/>
                  <w:marRight w:val="0"/>
                  <w:marTop w:val="0"/>
                  <w:marBottom w:val="0"/>
                  <w:divBdr>
                    <w:top w:val="none" w:sz="0" w:space="0" w:color="auto"/>
                    <w:left w:val="none" w:sz="0" w:space="0" w:color="auto"/>
                    <w:bottom w:val="none" w:sz="0" w:space="0" w:color="auto"/>
                    <w:right w:val="none" w:sz="0" w:space="0" w:color="auto"/>
                  </w:divBdr>
                  <w:divsChild>
                    <w:div w:id="107506818">
                      <w:marLeft w:val="0"/>
                      <w:marRight w:val="0"/>
                      <w:marTop w:val="0"/>
                      <w:marBottom w:val="0"/>
                      <w:divBdr>
                        <w:top w:val="none" w:sz="0" w:space="0" w:color="auto"/>
                        <w:left w:val="none" w:sz="0" w:space="0" w:color="auto"/>
                        <w:bottom w:val="none" w:sz="0" w:space="0" w:color="auto"/>
                        <w:right w:val="none" w:sz="0" w:space="0" w:color="auto"/>
                      </w:divBdr>
                    </w:div>
                  </w:divsChild>
                </w:div>
                <w:div w:id="1483231105">
                  <w:marLeft w:val="0"/>
                  <w:marRight w:val="0"/>
                  <w:marTop w:val="0"/>
                  <w:marBottom w:val="0"/>
                  <w:divBdr>
                    <w:top w:val="none" w:sz="0" w:space="0" w:color="auto"/>
                    <w:left w:val="none" w:sz="0" w:space="0" w:color="auto"/>
                    <w:bottom w:val="none" w:sz="0" w:space="0" w:color="auto"/>
                    <w:right w:val="none" w:sz="0" w:space="0" w:color="auto"/>
                  </w:divBdr>
                  <w:divsChild>
                    <w:div w:id="183901722">
                      <w:marLeft w:val="0"/>
                      <w:marRight w:val="0"/>
                      <w:marTop w:val="0"/>
                      <w:marBottom w:val="0"/>
                      <w:divBdr>
                        <w:top w:val="none" w:sz="0" w:space="0" w:color="auto"/>
                        <w:left w:val="none" w:sz="0" w:space="0" w:color="auto"/>
                        <w:bottom w:val="none" w:sz="0" w:space="0" w:color="auto"/>
                        <w:right w:val="none" w:sz="0" w:space="0" w:color="auto"/>
                      </w:divBdr>
                    </w:div>
                  </w:divsChild>
                </w:div>
                <w:div w:id="1571454027">
                  <w:marLeft w:val="0"/>
                  <w:marRight w:val="0"/>
                  <w:marTop w:val="0"/>
                  <w:marBottom w:val="0"/>
                  <w:divBdr>
                    <w:top w:val="none" w:sz="0" w:space="0" w:color="auto"/>
                    <w:left w:val="none" w:sz="0" w:space="0" w:color="auto"/>
                    <w:bottom w:val="none" w:sz="0" w:space="0" w:color="auto"/>
                    <w:right w:val="none" w:sz="0" w:space="0" w:color="auto"/>
                  </w:divBdr>
                  <w:divsChild>
                    <w:div w:id="907034277">
                      <w:marLeft w:val="0"/>
                      <w:marRight w:val="0"/>
                      <w:marTop w:val="0"/>
                      <w:marBottom w:val="0"/>
                      <w:divBdr>
                        <w:top w:val="none" w:sz="0" w:space="0" w:color="auto"/>
                        <w:left w:val="none" w:sz="0" w:space="0" w:color="auto"/>
                        <w:bottom w:val="none" w:sz="0" w:space="0" w:color="auto"/>
                        <w:right w:val="none" w:sz="0" w:space="0" w:color="auto"/>
                      </w:divBdr>
                    </w:div>
                  </w:divsChild>
                </w:div>
                <w:div w:id="1585457175">
                  <w:marLeft w:val="0"/>
                  <w:marRight w:val="0"/>
                  <w:marTop w:val="0"/>
                  <w:marBottom w:val="0"/>
                  <w:divBdr>
                    <w:top w:val="none" w:sz="0" w:space="0" w:color="auto"/>
                    <w:left w:val="none" w:sz="0" w:space="0" w:color="auto"/>
                    <w:bottom w:val="none" w:sz="0" w:space="0" w:color="auto"/>
                    <w:right w:val="none" w:sz="0" w:space="0" w:color="auto"/>
                  </w:divBdr>
                  <w:divsChild>
                    <w:div w:id="1504466385">
                      <w:marLeft w:val="0"/>
                      <w:marRight w:val="0"/>
                      <w:marTop w:val="0"/>
                      <w:marBottom w:val="0"/>
                      <w:divBdr>
                        <w:top w:val="none" w:sz="0" w:space="0" w:color="auto"/>
                        <w:left w:val="none" w:sz="0" w:space="0" w:color="auto"/>
                        <w:bottom w:val="none" w:sz="0" w:space="0" w:color="auto"/>
                        <w:right w:val="none" w:sz="0" w:space="0" w:color="auto"/>
                      </w:divBdr>
                    </w:div>
                  </w:divsChild>
                </w:div>
                <w:div w:id="1714839636">
                  <w:marLeft w:val="0"/>
                  <w:marRight w:val="0"/>
                  <w:marTop w:val="0"/>
                  <w:marBottom w:val="0"/>
                  <w:divBdr>
                    <w:top w:val="none" w:sz="0" w:space="0" w:color="auto"/>
                    <w:left w:val="none" w:sz="0" w:space="0" w:color="auto"/>
                    <w:bottom w:val="none" w:sz="0" w:space="0" w:color="auto"/>
                    <w:right w:val="none" w:sz="0" w:space="0" w:color="auto"/>
                  </w:divBdr>
                  <w:divsChild>
                    <w:div w:id="145197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6551754">
      <w:bodyDiv w:val="1"/>
      <w:marLeft w:val="0"/>
      <w:marRight w:val="0"/>
      <w:marTop w:val="0"/>
      <w:marBottom w:val="0"/>
      <w:divBdr>
        <w:top w:val="none" w:sz="0" w:space="0" w:color="auto"/>
        <w:left w:val="none" w:sz="0" w:space="0" w:color="auto"/>
        <w:bottom w:val="none" w:sz="0" w:space="0" w:color="auto"/>
        <w:right w:val="none" w:sz="0" w:space="0" w:color="auto"/>
      </w:divBdr>
    </w:div>
    <w:div w:id="621771782">
      <w:bodyDiv w:val="1"/>
      <w:marLeft w:val="0"/>
      <w:marRight w:val="0"/>
      <w:marTop w:val="0"/>
      <w:marBottom w:val="0"/>
      <w:divBdr>
        <w:top w:val="none" w:sz="0" w:space="0" w:color="auto"/>
        <w:left w:val="none" w:sz="0" w:space="0" w:color="auto"/>
        <w:bottom w:val="none" w:sz="0" w:space="0" w:color="auto"/>
        <w:right w:val="none" w:sz="0" w:space="0" w:color="auto"/>
      </w:divBdr>
    </w:div>
    <w:div w:id="652637149">
      <w:bodyDiv w:val="1"/>
      <w:marLeft w:val="0"/>
      <w:marRight w:val="0"/>
      <w:marTop w:val="0"/>
      <w:marBottom w:val="0"/>
      <w:divBdr>
        <w:top w:val="none" w:sz="0" w:space="0" w:color="auto"/>
        <w:left w:val="none" w:sz="0" w:space="0" w:color="auto"/>
        <w:bottom w:val="none" w:sz="0" w:space="0" w:color="auto"/>
        <w:right w:val="none" w:sz="0" w:space="0" w:color="auto"/>
      </w:divBdr>
    </w:div>
    <w:div w:id="656301827">
      <w:bodyDiv w:val="1"/>
      <w:marLeft w:val="0"/>
      <w:marRight w:val="0"/>
      <w:marTop w:val="0"/>
      <w:marBottom w:val="0"/>
      <w:divBdr>
        <w:top w:val="none" w:sz="0" w:space="0" w:color="auto"/>
        <w:left w:val="none" w:sz="0" w:space="0" w:color="auto"/>
        <w:bottom w:val="none" w:sz="0" w:space="0" w:color="auto"/>
        <w:right w:val="none" w:sz="0" w:space="0" w:color="auto"/>
      </w:divBdr>
    </w:div>
    <w:div w:id="670642707">
      <w:bodyDiv w:val="1"/>
      <w:marLeft w:val="0"/>
      <w:marRight w:val="0"/>
      <w:marTop w:val="0"/>
      <w:marBottom w:val="0"/>
      <w:divBdr>
        <w:top w:val="none" w:sz="0" w:space="0" w:color="auto"/>
        <w:left w:val="none" w:sz="0" w:space="0" w:color="auto"/>
        <w:bottom w:val="none" w:sz="0" w:space="0" w:color="auto"/>
        <w:right w:val="none" w:sz="0" w:space="0" w:color="auto"/>
      </w:divBdr>
      <w:divsChild>
        <w:div w:id="1620716778">
          <w:marLeft w:val="0"/>
          <w:marRight w:val="0"/>
          <w:marTop w:val="0"/>
          <w:marBottom w:val="0"/>
          <w:divBdr>
            <w:top w:val="none" w:sz="0" w:space="0" w:color="auto"/>
            <w:left w:val="none" w:sz="0" w:space="0" w:color="auto"/>
            <w:bottom w:val="none" w:sz="0" w:space="0" w:color="auto"/>
            <w:right w:val="none" w:sz="0" w:space="0" w:color="auto"/>
          </w:divBdr>
        </w:div>
      </w:divsChild>
    </w:div>
    <w:div w:id="680743862">
      <w:bodyDiv w:val="1"/>
      <w:marLeft w:val="0"/>
      <w:marRight w:val="0"/>
      <w:marTop w:val="0"/>
      <w:marBottom w:val="0"/>
      <w:divBdr>
        <w:top w:val="none" w:sz="0" w:space="0" w:color="auto"/>
        <w:left w:val="none" w:sz="0" w:space="0" w:color="auto"/>
        <w:bottom w:val="none" w:sz="0" w:space="0" w:color="auto"/>
        <w:right w:val="none" w:sz="0" w:space="0" w:color="auto"/>
      </w:divBdr>
      <w:divsChild>
        <w:div w:id="144015268">
          <w:marLeft w:val="0"/>
          <w:marRight w:val="0"/>
          <w:marTop w:val="0"/>
          <w:marBottom w:val="0"/>
          <w:divBdr>
            <w:top w:val="none" w:sz="0" w:space="0" w:color="auto"/>
            <w:left w:val="none" w:sz="0" w:space="0" w:color="auto"/>
            <w:bottom w:val="none" w:sz="0" w:space="0" w:color="auto"/>
            <w:right w:val="none" w:sz="0" w:space="0" w:color="auto"/>
          </w:divBdr>
          <w:divsChild>
            <w:div w:id="627736307">
              <w:marLeft w:val="0"/>
              <w:marRight w:val="0"/>
              <w:marTop w:val="0"/>
              <w:marBottom w:val="0"/>
              <w:divBdr>
                <w:top w:val="none" w:sz="0" w:space="0" w:color="auto"/>
                <w:left w:val="none" w:sz="0" w:space="0" w:color="auto"/>
                <w:bottom w:val="none" w:sz="0" w:space="0" w:color="auto"/>
                <w:right w:val="none" w:sz="0" w:space="0" w:color="auto"/>
              </w:divBdr>
            </w:div>
            <w:div w:id="1527019639">
              <w:marLeft w:val="0"/>
              <w:marRight w:val="0"/>
              <w:marTop w:val="0"/>
              <w:marBottom w:val="0"/>
              <w:divBdr>
                <w:top w:val="none" w:sz="0" w:space="0" w:color="auto"/>
                <w:left w:val="none" w:sz="0" w:space="0" w:color="auto"/>
                <w:bottom w:val="none" w:sz="0" w:space="0" w:color="auto"/>
                <w:right w:val="none" w:sz="0" w:space="0" w:color="auto"/>
              </w:divBdr>
            </w:div>
          </w:divsChild>
        </w:div>
        <w:div w:id="358238753">
          <w:marLeft w:val="0"/>
          <w:marRight w:val="0"/>
          <w:marTop w:val="0"/>
          <w:marBottom w:val="0"/>
          <w:divBdr>
            <w:top w:val="none" w:sz="0" w:space="0" w:color="auto"/>
            <w:left w:val="none" w:sz="0" w:space="0" w:color="auto"/>
            <w:bottom w:val="none" w:sz="0" w:space="0" w:color="auto"/>
            <w:right w:val="none" w:sz="0" w:space="0" w:color="auto"/>
          </w:divBdr>
          <w:divsChild>
            <w:div w:id="722485372">
              <w:marLeft w:val="0"/>
              <w:marRight w:val="0"/>
              <w:marTop w:val="0"/>
              <w:marBottom w:val="0"/>
              <w:divBdr>
                <w:top w:val="none" w:sz="0" w:space="0" w:color="auto"/>
                <w:left w:val="none" w:sz="0" w:space="0" w:color="auto"/>
                <w:bottom w:val="none" w:sz="0" w:space="0" w:color="auto"/>
                <w:right w:val="none" w:sz="0" w:space="0" w:color="auto"/>
              </w:divBdr>
            </w:div>
            <w:div w:id="1380082903">
              <w:marLeft w:val="0"/>
              <w:marRight w:val="0"/>
              <w:marTop w:val="0"/>
              <w:marBottom w:val="0"/>
              <w:divBdr>
                <w:top w:val="none" w:sz="0" w:space="0" w:color="auto"/>
                <w:left w:val="none" w:sz="0" w:space="0" w:color="auto"/>
                <w:bottom w:val="none" w:sz="0" w:space="0" w:color="auto"/>
                <w:right w:val="none" w:sz="0" w:space="0" w:color="auto"/>
              </w:divBdr>
            </w:div>
            <w:div w:id="2057508789">
              <w:marLeft w:val="0"/>
              <w:marRight w:val="0"/>
              <w:marTop w:val="0"/>
              <w:marBottom w:val="0"/>
              <w:divBdr>
                <w:top w:val="none" w:sz="0" w:space="0" w:color="auto"/>
                <w:left w:val="none" w:sz="0" w:space="0" w:color="auto"/>
                <w:bottom w:val="none" w:sz="0" w:space="0" w:color="auto"/>
                <w:right w:val="none" w:sz="0" w:space="0" w:color="auto"/>
              </w:divBdr>
            </w:div>
          </w:divsChild>
        </w:div>
        <w:div w:id="938219873">
          <w:marLeft w:val="0"/>
          <w:marRight w:val="0"/>
          <w:marTop w:val="0"/>
          <w:marBottom w:val="0"/>
          <w:divBdr>
            <w:top w:val="none" w:sz="0" w:space="0" w:color="auto"/>
            <w:left w:val="none" w:sz="0" w:space="0" w:color="auto"/>
            <w:bottom w:val="none" w:sz="0" w:space="0" w:color="auto"/>
            <w:right w:val="none" w:sz="0" w:space="0" w:color="auto"/>
          </w:divBdr>
          <w:divsChild>
            <w:div w:id="76054518">
              <w:marLeft w:val="0"/>
              <w:marRight w:val="0"/>
              <w:marTop w:val="0"/>
              <w:marBottom w:val="0"/>
              <w:divBdr>
                <w:top w:val="none" w:sz="0" w:space="0" w:color="auto"/>
                <w:left w:val="none" w:sz="0" w:space="0" w:color="auto"/>
                <w:bottom w:val="none" w:sz="0" w:space="0" w:color="auto"/>
                <w:right w:val="none" w:sz="0" w:space="0" w:color="auto"/>
              </w:divBdr>
            </w:div>
          </w:divsChild>
        </w:div>
        <w:div w:id="1147863704">
          <w:marLeft w:val="0"/>
          <w:marRight w:val="0"/>
          <w:marTop w:val="0"/>
          <w:marBottom w:val="0"/>
          <w:divBdr>
            <w:top w:val="none" w:sz="0" w:space="0" w:color="auto"/>
            <w:left w:val="none" w:sz="0" w:space="0" w:color="auto"/>
            <w:bottom w:val="none" w:sz="0" w:space="0" w:color="auto"/>
            <w:right w:val="none" w:sz="0" w:space="0" w:color="auto"/>
          </w:divBdr>
          <w:divsChild>
            <w:div w:id="66995910">
              <w:marLeft w:val="0"/>
              <w:marRight w:val="0"/>
              <w:marTop w:val="0"/>
              <w:marBottom w:val="0"/>
              <w:divBdr>
                <w:top w:val="none" w:sz="0" w:space="0" w:color="auto"/>
                <w:left w:val="none" w:sz="0" w:space="0" w:color="auto"/>
                <w:bottom w:val="none" w:sz="0" w:space="0" w:color="auto"/>
                <w:right w:val="none" w:sz="0" w:space="0" w:color="auto"/>
              </w:divBdr>
            </w:div>
            <w:div w:id="1161579103">
              <w:marLeft w:val="0"/>
              <w:marRight w:val="0"/>
              <w:marTop w:val="0"/>
              <w:marBottom w:val="0"/>
              <w:divBdr>
                <w:top w:val="none" w:sz="0" w:space="0" w:color="auto"/>
                <w:left w:val="none" w:sz="0" w:space="0" w:color="auto"/>
                <w:bottom w:val="none" w:sz="0" w:space="0" w:color="auto"/>
                <w:right w:val="none" w:sz="0" w:space="0" w:color="auto"/>
              </w:divBdr>
            </w:div>
          </w:divsChild>
        </w:div>
        <w:div w:id="1158496929">
          <w:marLeft w:val="0"/>
          <w:marRight w:val="0"/>
          <w:marTop w:val="0"/>
          <w:marBottom w:val="0"/>
          <w:divBdr>
            <w:top w:val="none" w:sz="0" w:space="0" w:color="auto"/>
            <w:left w:val="none" w:sz="0" w:space="0" w:color="auto"/>
            <w:bottom w:val="none" w:sz="0" w:space="0" w:color="auto"/>
            <w:right w:val="none" w:sz="0" w:space="0" w:color="auto"/>
          </w:divBdr>
          <w:divsChild>
            <w:div w:id="469134542">
              <w:marLeft w:val="0"/>
              <w:marRight w:val="0"/>
              <w:marTop w:val="0"/>
              <w:marBottom w:val="0"/>
              <w:divBdr>
                <w:top w:val="none" w:sz="0" w:space="0" w:color="auto"/>
                <w:left w:val="none" w:sz="0" w:space="0" w:color="auto"/>
                <w:bottom w:val="none" w:sz="0" w:space="0" w:color="auto"/>
                <w:right w:val="none" w:sz="0" w:space="0" w:color="auto"/>
              </w:divBdr>
            </w:div>
            <w:div w:id="1257206006">
              <w:marLeft w:val="0"/>
              <w:marRight w:val="0"/>
              <w:marTop w:val="0"/>
              <w:marBottom w:val="0"/>
              <w:divBdr>
                <w:top w:val="none" w:sz="0" w:space="0" w:color="auto"/>
                <w:left w:val="none" w:sz="0" w:space="0" w:color="auto"/>
                <w:bottom w:val="none" w:sz="0" w:space="0" w:color="auto"/>
                <w:right w:val="none" w:sz="0" w:space="0" w:color="auto"/>
              </w:divBdr>
            </w:div>
            <w:div w:id="1299993570">
              <w:marLeft w:val="0"/>
              <w:marRight w:val="0"/>
              <w:marTop w:val="0"/>
              <w:marBottom w:val="0"/>
              <w:divBdr>
                <w:top w:val="none" w:sz="0" w:space="0" w:color="auto"/>
                <w:left w:val="none" w:sz="0" w:space="0" w:color="auto"/>
                <w:bottom w:val="none" w:sz="0" w:space="0" w:color="auto"/>
                <w:right w:val="none" w:sz="0" w:space="0" w:color="auto"/>
              </w:divBdr>
            </w:div>
          </w:divsChild>
        </w:div>
        <w:div w:id="1182860769">
          <w:marLeft w:val="0"/>
          <w:marRight w:val="0"/>
          <w:marTop w:val="0"/>
          <w:marBottom w:val="0"/>
          <w:divBdr>
            <w:top w:val="none" w:sz="0" w:space="0" w:color="auto"/>
            <w:left w:val="none" w:sz="0" w:space="0" w:color="auto"/>
            <w:bottom w:val="none" w:sz="0" w:space="0" w:color="auto"/>
            <w:right w:val="none" w:sz="0" w:space="0" w:color="auto"/>
          </w:divBdr>
          <w:divsChild>
            <w:div w:id="141578014">
              <w:marLeft w:val="0"/>
              <w:marRight w:val="0"/>
              <w:marTop w:val="0"/>
              <w:marBottom w:val="0"/>
              <w:divBdr>
                <w:top w:val="none" w:sz="0" w:space="0" w:color="auto"/>
                <w:left w:val="none" w:sz="0" w:space="0" w:color="auto"/>
                <w:bottom w:val="none" w:sz="0" w:space="0" w:color="auto"/>
                <w:right w:val="none" w:sz="0" w:space="0" w:color="auto"/>
              </w:divBdr>
            </w:div>
            <w:div w:id="1877352550">
              <w:marLeft w:val="0"/>
              <w:marRight w:val="0"/>
              <w:marTop w:val="0"/>
              <w:marBottom w:val="0"/>
              <w:divBdr>
                <w:top w:val="none" w:sz="0" w:space="0" w:color="auto"/>
                <w:left w:val="none" w:sz="0" w:space="0" w:color="auto"/>
                <w:bottom w:val="none" w:sz="0" w:space="0" w:color="auto"/>
                <w:right w:val="none" w:sz="0" w:space="0" w:color="auto"/>
              </w:divBdr>
            </w:div>
            <w:div w:id="2024278156">
              <w:marLeft w:val="0"/>
              <w:marRight w:val="0"/>
              <w:marTop w:val="0"/>
              <w:marBottom w:val="0"/>
              <w:divBdr>
                <w:top w:val="none" w:sz="0" w:space="0" w:color="auto"/>
                <w:left w:val="none" w:sz="0" w:space="0" w:color="auto"/>
                <w:bottom w:val="none" w:sz="0" w:space="0" w:color="auto"/>
                <w:right w:val="none" w:sz="0" w:space="0" w:color="auto"/>
              </w:divBdr>
            </w:div>
          </w:divsChild>
        </w:div>
        <w:div w:id="1381317483">
          <w:marLeft w:val="0"/>
          <w:marRight w:val="0"/>
          <w:marTop w:val="0"/>
          <w:marBottom w:val="0"/>
          <w:divBdr>
            <w:top w:val="none" w:sz="0" w:space="0" w:color="auto"/>
            <w:left w:val="none" w:sz="0" w:space="0" w:color="auto"/>
            <w:bottom w:val="none" w:sz="0" w:space="0" w:color="auto"/>
            <w:right w:val="none" w:sz="0" w:space="0" w:color="auto"/>
          </w:divBdr>
          <w:divsChild>
            <w:div w:id="8215781">
              <w:marLeft w:val="0"/>
              <w:marRight w:val="0"/>
              <w:marTop w:val="0"/>
              <w:marBottom w:val="0"/>
              <w:divBdr>
                <w:top w:val="none" w:sz="0" w:space="0" w:color="auto"/>
                <w:left w:val="none" w:sz="0" w:space="0" w:color="auto"/>
                <w:bottom w:val="none" w:sz="0" w:space="0" w:color="auto"/>
                <w:right w:val="none" w:sz="0" w:space="0" w:color="auto"/>
              </w:divBdr>
            </w:div>
            <w:div w:id="119958628">
              <w:marLeft w:val="0"/>
              <w:marRight w:val="0"/>
              <w:marTop w:val="0"/>
              <w:marBottom w:val="0"/>
              <w:divBdr>
                <w:top w:val="none" w:sz="0" w:space="0" w:color="auto"/>
                <w:left w:val="none" w:sz="0" w:space="0" w:color="auto"/>
                <w:bottom w:val="none" w:sz="0" w:space="0" w:color="auto"/>
                <w:right w:val="none" w:sz="0" w:space="0" w:color="auto"/>
              </w:divBdr>
            </w:div>
            <w:div w:id="1563786038">
              <w:marLeft w:val="0"/>
              <w:marRight w:val="0"/>
              <w:marTop w:val="0"/>
              <w:marBottom w:val="0"/>
              <w:divBdr>
                <w:top w:val="none" w:sz="0" w:space="0" w:color="auto"/>
                <w:left w:val="none" w:sz="0" w:space="0" w:color="auto"/>
                <w:bottom w:val="none" w:sz="0" w:space="0" w:color="auto"/>
                <w:right w:val="none" w:sz="0" w:space="0" w:color="auto"/>
              </w:divBdr>
            </w:div>
          </w:divsChild>
        </w:div>
        <w:div w:id="1450779944">
          <w:marLeft w:val="0"/>
          <w:marRight w:val="0"/>
          <w:marTop w:val="0"/>
          <w:marBottom w:val="0"/>
          <w:divBdr>
            <w:top w:val="none" w:sz="0" w:space="0" w:color="auto"/>
            <w:left w:val="none" w:sz="0" w:space="0" w:color="auto"/>
            <w:bottom w:val="none" w:sz="0" w:space="0" w:color="auto"/>
            <w:right w:val="none" w:sz="0" w:space="0" w:color="auto"/>
          </w:divBdr>
          <w:divsChild>
            <w:div w:id="96219268">
              <w:marLeft w:val="0"/>
              <w:marRight w:val="0"/>
              <w:marTop w:val="0"/>
              <w:marBottom w:val="0"/>
              <w:divBdr>
                <w:top w:val="none" w:sz="0" w:space="0" w:color="auto"/>
                <w:left w:val="none" w:sz="0" w:space="0" w:color="auto"/>
                <w:bottom w:val="none" w:sz="0" w:space="0" w:color="auto"/>
                <w:right w:val="none" w:sz="0" w:space="0" w:color="auto"/>
              </w:divBdr>
            </w:div>
            <w:div w:id="1264992541">
              <w:marLeft w:val="0"/>
              <w:marRight w:val="0"/>
              <w:marTop w:val="0"/>
              <w:marBottom w:val="0"/>
              <w:divBdr>
                <w:top w:val="none" w:sz="0" w:space="0" w:color="auto"/>
                <w:left w:val="none" w:sz="0" w:space="0" w:color="auto"/>
                <w:bottom w:val="none" w:sz="0" w:space="0" w:color="auto"/>
                <w:right w:val="none" w:sz="0" w:space="0" w:color="auto"/>
              </w:divBdr>
            </w:div>
          </w:divsChild>
        </w:div>
        <w:div w:id="1525826273">
          <w:marLeft w:val="0"/>
          <w:marRight w:val="0"/>
          <w:marTop w:val="0"/>
          <w:marBottom w:val="0"/>
          <w:divBdr>
            <w:top w:val="none" w:sz="0" w:space="0" w:color="auto"/>
            <w:left w:val="none" w:sz="0" w:space="0" w:color="auto"/>
            <w:bottom w:val="none" w:sz="0" w:space="0" w:color="auto"/>
            <w:right w:val="none" w:sz="0" w:space="0" w:color="auto"/>
          </w:divBdr>
          <w:divsChild>
            <w:div w:id="259337809">
              <w:marLeft w:val="0"/>
              <w:marRight w:val="0"/>
              <w:marTop w:val="0"/>
              <w:marBottom w:val="0"/>
              <w:divBdr>
                <w:top w:val="none" w:sz="0" w:space="0" w:color="auto"/>
                <w:left w:val="none" w:sz="0" w:space="0" w:color="auto"/>
                <w:bottom w:val="none" w:sz="0" w:space="0" w:color="auto"/>
                <w:right w:val="none" w:sz="0" w:space="0" w:color="auto"/>
              </w:divBdr>
            </w:div>
            <w:div w:id="411239264">
              <w:marLeft w:val="0"/>
              <w:marRight w:val="0"/>
              <w:marTop w:val="0"/>
              <w:marBottom w:val="0"/>
              <w:divBdr>
                <w:top w:val="none" w:sz="0" w:space="0" w:color="auto"/>
                <w:left w:val="none" w:sz="0" w:space="0" w:color="auto"/>
                <w:bottom w:val="none" w:sz="0" w:space="0" w:color="auto"/>
                <w:right w:val="none" w:sz="0" w:space="0" w:color="auto"/>
              </w:divBdr>
            </w:div>
            <w:div w:id="1833258142">
              <w:marLeft w:val="0"/>
              <w:marRight w:val="0"/>
              <w:marTop w:val="0"/>
              <w:marBottom w:val="0"/>
              <w:divBdr>
                <w:top w:val="none" w:sz="0" w:space="0" w:color="auto"/>
                <w:left w:val="none" w:sz="0" w:space="0" w:color="auto"/>
                <w:bottom w:val="none" w:sz="0" w:space="0" w:color="auto"/>
                <w:right w:val="none" w:sz="0" w:space="0" w:color="auto"/>
              </w:divBdr>
            </w:div>
          </w:divsChild>
        </w:div>
        <w:div w:id="1567911155">
          <w:marLeft w:val="0"/>
          <w:marRight w:val="0"/>
          <w:marTop w:val="0"/>
          <w:marBottom w:val="0"/>
          <w:divBdr>
            <w:top w:val="none" w:sz="0" w:space="0" w:color="auto"/>
            <w:left w:val="none" w:sz="0" w:space="0" w:color="auto"/>
            <w:bottom w:val="none" w:sz="0" w:space="0" w:color="auto"/>
            <w:right w:val="none" w:sz="0" w:space="0" w:color="auto"/>
          </w:divBdr>
          <w:divsChild>
            <w:div w:id="360473701">
              <w:marLeft w:val="0"/>
              <w:marRight w:val="0"/>
              <w:marTop w:val="0"/>
              <w:marBottom w:val="0"/>
              <w:divBdr>
                <w:top w:val="none" w:sz="0" w:space="0" w:color="auto"/>
                <w:left w:val="none" w:sz="0" w:space="0" w:color="auto"/>
                <w:bottom w:val="none" w:sz="0" w:space="0" w:color="auto"/>
                <w:right w:val="none" w:sz="0" w:space="0" w:color="auto"/>
              </w:divBdr>
            </w:div>
            <w:div w:id="774981426">
              <w:marLeft w:val="0"/>
              <w:marRight w:val="0"/>
              <w:marTop w:val="0"/>
              <w:marBottom w:val="0"/>
              <w:divBdr>
                <w:top w:val="none" w:sz="0" w:space="0" w:color="auto"/>
                <w:left w:val="none" w:sz="0" w:space="0" w:color="auto"/>
                <w:bottom w:val="none" w:sz="0" w:space="0" w:color="auto"/>
                <w:right w:val="none" w:sz="0" w:space="0" w:color="auto"/>
              </w:divBdr>
            </w:div>
          </w:divsChild>
        </w:div>
        <w:div w:id="1773816378">
          <w:marLeft w:val="0"/>
          <w:marRight w:val="0"/>
          <w:marTop w:val="0"/>
          <w:marBottom w:val="0"/>
          <w:divBdr>
            <w:top w:val="none" w:sz="0" w:space="0" w:color="auto"/>
            <w:left w:val="none" w:sz="0" w:space="0" w:color="auto"/>
            <w:bottom w:val="none" w:sz="0" w:space="0" w:color="auto"/>
            <w:right w:val="none" w:sz="0" w:space="0" w:color="auto"/>
          </w:divBdr>
          <w:divsChild>
            <w:div w:id="1470621">
              <w:marLeft w:val="0"/>
              <w:marRight w:val="0"/>
              <w:marTop w:val="0"/>
              <w:marBottom w:val="0"/>
              <w:divBdr>
                <w:top w:val="none" w:sz="0" w:space="0" w:color="auto"/>
                <w:left w:val="none" w:sz="0" w:space="0" w:color="auto"/>
                <w:bottom w:val="none" w:sz="0" w:space="0" w:color="auto"/>
                <w:right w:val="none" w:sz="0" w:space="0" w:color="auto"/>
              </w:divBdr>
            </w:div>
            <w:div w:id="693387478">
              <w:marLeft w:val="0"/>
              <w:marRight w:val="0"/>
              <w:marTop w:val="0"/>
              <w:marBottom w:val="0"/>
              <w:divBdr>
                <w:top w:val="none" w:sz="0" w:space="0" w:color="auto"/>
                <w:left w:val="none" w:sz="0" w:space="0" w:color="auto"/>
                <w:bottom w:val="none" w:sz="0" w:space="0" w:color="auto"/>
                <w:right w:val="none" w:sz="0" w:space="0" w:color="auto"/>
              </w:divBdr>
            </w:div>
          </w:divsChild>
        </w:div>
        <w:div w:id="1965581042">
          <w:marLeft w:val="0"/>
          <w:marRight w:val="0"/>
          <w:marTop w:val="0"/>
          <w:marBottom w:val="0"/>
          <w:divBdr>
            <w:top w:val="none" w:sz="0" w:space="0" w:color="auto"/>
            <w:left w:val="none" w:sz="0" w:space="0" w:color="auto"/>
            <w:bottom w:val="none" w:sz="0" w:space="0" w:color="auto"/>
            <w:right w:val="none" w:sz="0" w:space="0" w:color="auto"/>
          </w:divBdr>
          <w:divsChild>
            <w:div w:id="1087192992">
              <w:marLeft w:val="0"/>
              <w:marRight w:val="0"/>
              <w:marTop w:val="0"/>
              <w:marBottom w:val="0"/>
              <w:divBdr>
                <w:top w:val="none" w:sz="0" w:space="0" w:color="auto"/>
                <w:left w:val="none" w:sz="0" w:space="0" w:color="auto"/>
                <w:bottom w:val="none" w:sz="0" w:space="0" w:color="auto"/>
                <w:right w:val="none" w:sz="0" w:space="0" w:color="auto"/>
              </w:divBdr>
            </w:div>
          </w:divsChild>
        </w:div>
        <w:div w:id="1979189849">
          <w:marLeft w:val="0"/>
          <w:marRight w:val="0"/>
          <w:marTop w:val="0"/>
          <w:marBottom w:val="0"/>
          <w:divBdr>
            <w:top w:val="none" w:sz="0" w:space="0" w:color="auto"/>
            <w:left w:val="none" w:sz="0" w:space="0" w:color="auto"/>
            <w:bottom w:val="none" w:sz="0" w:space="0" w:color="auto"/>
            <w:right w:val="none" w:sz="0" w:space="0" w:color="auto"/>
          </w:divBdr>
          <w:divsChild>
            <w:div w:id="1387295985">
              <w:marLeft w:val="0"/>
              <w:marRight w:val="0"/>
              <w:marTop w:val="0"/>
              <w:marBottom w:val="0"/>
              <w:divBdr>
                <w:top w:val="none" w:sz="0" w:space="0" w:color="auto"/>
                <w:left w:val="none" w:sz="0" w:space="0" w:color="auto"/>
                <w:bottom w:val="none" w:sz="0" w:space="0" w:color="auto"/>
                <w:right w:val="none" w:sz="0" w:space="0" w:color="auto"/>
              </w:divBdr>
            </w:div>
            <w:div w:id="2035762473">
              <w:marLeft w:val="0"/>
              <w:marRight w:val="0"/>
              <w:marTop w:val="0"/>
              <w:marBottom w:val="0"/>
              <w:divBdr>
                <w:top w:val="none" w:sz="0" w:space="0" w:color="auto"/>
                <w:left w:val="none" w:sz="0" w:space="0" w:color="auto"/>
                <w:bottom w:val="none" w:sz="0" w:space="0" w:color="auto"/>
                <w:right w:val="none" w:sz="0" w:space="0" w:color="auto"/>
              </w:divBdr>
            </w:div>
          </w:divsChild>
        </w:div>
        <w:div w:id="2030132580">
          <w:marLeft w:val="0"/>
          <w:marRight w:val="0"/>
          <w:marTop w:val="0"/>
          <w:marBottom w:val="0"/>
          <w:divBdr>
            <w:top w:val="none" w:sz="0" w:space="0" w:color="auto"/>
            <w:left w:val="none" w:sz="0" w:space="0" w:color="auto"/>
            <w:bottom w:val="none" w:sz="0" w:space="0" w:color="auto"/>
            <w:right w:val="none" w:sz="0" w:space="0" w:color="auto"/>
          </w:divBdr>
          <w:divsChild>
            <w:div w:id="710223731">
              <w:marLeft w:val="0"/>
              <w:marRight w:val="0"/>
              <w:marTop w:val="0"/>
              <w:marBottom w:val="0"/>
              <w:divBdr>
                <w:top w:val="none" w:sz="0" w:space="0" w:color="auto"/>
                <w:left w:val="none" w:sz="0" w:space="0" w:color="auto"/>
                <w:bottom w:val="none" w:sz="0" w:space="0" w:color="auto"/>
                <w:right w:val="none" w:sz="0" w:space="0" w:color="auto"/>
              </w:divBdr>
            </w:div>
            <w:div w:id="207836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724419">
      <w:bodyDiv w:val="1"/>
      <w:marLeft w:val="0"/>
      <w:marRight w:val="0"/>
      <w:marTop w:val="0"/>
      <w:marBottom w:val="0"/>
      <w:divBdr>
        <w:top w:val="none" w:sz="0" w:space="0" w:color="auto"/>
        <w:left w:val="none" w:sz="0" w:space="0" w:color="auto"/>
        <w:bottom w:val="none" w:sz="0" w:space="0" w:color="auto"/>
        <w:right w:val="none" w:sz="0" w:space="0" w:color="auto"/>
      </w:divBdr>
      <w:divsChild>
        <w:div w:id="2088727438">
          <w:marLeft w:val="0"/>
          <w:marRight w:val="0"/>
          <w:marTop w:val="0"/>
          <w:marBottom w:val="0"/>
          <w:divBdr>
            <w:top w:val="none" w:sz="0" w:space="0" w:color="auto"/>
            <w:left w:val="none" w:sz="0" w:space="0" w:color="auto"/>
            <w:bottom w:val="none" w:sz="0" w:space="0" w:color="auto"/>
            <w:right w:val="none" w:sz="0" w:space="0" w:color="auto"/>
          </w:divBdr>
        </w:div>
      </w:divsChild>
    </w:div>
    <w:div w:id="697852232">
      <w:bodyDiv w:val="1"/>
      <w:marLeft w:val="0"/>
      <w:marRight w:val="0"/>
      <w:marTop w:val="0"/>
      <w:marBottom w:val="0"/>
      <w:divBdr>
        <w:top w:val="none" w:sz="0" w:space="0" w:color="auto"/>
        <w:left w:val="none" w:sz="0" w:space="0" w:color="auto"/>
        <w:bottom w:val="none" w:sz="0" w:space="0" w:color="auto"/>
        <w:right w:val="none" w:sz="0" w:space="0" w:color="auto"/>
      </w:divBdr>
    </w:div>
    <w:div w:id="711073329">
      <w:bodyDiv w:val="1"/>
      <w:marLeft w:val="0"/>
      <w:marRight w:val="0"/>
      <w:marTop w:val="0"/>
      <w:marBottom w:val="0"/>
      <w:divBdr>
        <w:top w:val="none" w:sz="0" w:space="0" w:color="auto"/>
        <w:left w:val="none" w:sz="0" w:space="0" w:color="auto"/>
        <w:bottom w:val="none" w:sz="0" w:space="0" w:color="auto"/>
        <w:right w:val="none" w:sz="0" w:space="0" w:color="auto"/>
      </w:divBdr>
    </w:div>
    <w:div w:id="726563353">
      <w:bodyDiv w:val="1"/>
      <w:marLeft w:val="0"/>
      <w:marRight w:val="0"/>
      <w:marTop w:val="0"/>
      <w:marBottom w:val="0"/>
      <w:divBdr>
        <w:top w:val="none" w:sz="0" w:space="0" w:color="auto"/>
        <w:left w:val="none" w:sz="0" w:space="0" w:color="auto"/>
        <w:bottom w:val="none" w:sz="0" w:space="0" w:color="auto"/>
        <w:right w:val="none" w:sz="0" w:space="0" w:color="auto"/>
      </w:divBdr>
    </w:div>
    <w:div w:id="765735777">
      <w:bodyDiv w:val="1"/>
      <w:marLeft w:val="0"/>
      <w:marRight w:val="0"/>
      <w:marTop w:val="0"/>
      <w:marBottom w:val="0"/>
      <w:divBdr>
        <w:top w:val="none" w:sz="0" w:space="0" w:color="auto"/>
        <w:left w:val="none" w:sz="0" w:space="0" w:color="auto"/>
        <w:bottom w:val="none" w:sz="0" w:space="0" w:color="auto"/>
        <w:right w:val="none" w:sz="0" w:space="0" w:color="auto"/>
      </w:divBdr>
    </w:div>
    <w:div w:id="773675949">
      <w:bodyDiv w:val="1"/>
      <w:marLeft w:val="0"/>
      <w:marRight w:val="0"/>
      <w:marTop w:val="0"/>
      <w:marBottom w:val="0"/>
      <w:divBdr>
        <w:top w:val="none" w:sz="0" w:space="0" w:color="auto"/>
        <w:left w:val="none" w:sz="0" w:space="0" w:color="auto"/>
        <w:bottom w:val="none" w:sz="0" w:space="0" w:color="auto"/>
        <w:right w:val="none" w:sz="0" w:space="0" w:color="auto"/>
      </w:divBdr>
    </w:div>
    <w:div w:id="810097956">
      <w:bodyDiv w:val="1"/>
      <w:marLeft w:val="0"/>
      <w:marRight w:val="0"/>
      <w:marTop w:val="0"/>
      <w:marBottom w:val="0"/>
      <w:divBdr>
        <w:top w:val="none" w:sz="0" w:space="0" w:color="auto"/>
        <w:left w:val="none" w:sz="0" w:space="0" w:color="auto"/>
        <w:bottom w:val="none" w:sz="0" w:space="0" w:color="auto"/>
        <w:right w:val="none" w:sz="0" w:space="0" w:color="auto"/>
      </w:divBdr>
    </w:div>
    <w:div w:id="814177647">
      <w:bodyDiv w:val="1"/>
      <w:marLeft w:val="0"/>
      <w:marRight w:val="0"/>
      <w:marTop w:val="0"/>
      <w:marBottom w:val="0"/>
      <w:divBdr>
        <w:top w:val="none" w:sz="0" w:space="0" w:color="auto"/>
        <w:left w:val="none" w:sz="0" w:space="0" w:color="auto"/>
        <w:bottom w:val="none" w:sz="0" w:space="0" w:color="auto"/>
        <w:right w:val="none" w:sz="0" w:space="0" w:color="auto"/>
      </w:divBdr>
      <w:divsChild>
        <w:div w:id="726799158">
          <w:marLeft w:val="0"/>
          <w:marRight w:val="0"/>
          <w:marTop w:val="0"/>
          <w:marBottom w:val="0"/>
          <w:divBdr>
            <w:top w:val="none" w:sz="0" w:space="0" w:color="auto"/>
            <w:left w:val="none" w:sz="0" w:space="0" w:color="auto"/>
            <w:bottom w:val="none" w:sz="0" w:space="0" w:color="auto"/>
            <w:right w:val="none" w:sz="0" w:space="0" w:color="auto"/>
          </w:divBdr>
          <w:divsChild>
            <w:div w:id="223301295">
              <w:marLeft w:val="0"/>
              <w:marRight w:val="0"/>
              <w:marTop w:val="0"/>
              <w:marBottom w:val="0"/>
              <w:divBdr>
                <w:top w:val="none" w:sz="0" w:space="0" w:color="auto"/>
                <w:left w:val="none" w:sz="0" w:space="0" w:color="auto"/>
                <w:bottom w:val="none" w:sz="0" w:space="0" w:color="auto"/>
                <w:right w:val="none" w:sz="0" w:space="0" w:color="auto"/>
              </w:divBdr>
            </w:div>
          </w:divsChild>
        </w:div>
        <w:div w:id="978150340">
          <w:marLeft w:val="0"/>
          <w:marRight w:val="0"/>
          <w:marTop w:val="0"/>
          <w:marBottom w:val="0"/>
          <w:divBdr>
            <w:top w:val="none" w:sz="0" w:space="0" w:color="auto"/>
            <w:left w:val="none" w:sz="0" w:space="0" w:color="auto"/>
            <w:bottom w:val="none" w:sz="0" w:space="0" w:color="auto"/>
            <w:right w:val="none" w:sz="0" w:space="0" w:color="auto"/>
          </w:divBdr>
          <w:divsChild>
            <w:div w:id="204832448">
              <w:marLeft w:val="0"/>
              <w:marRight w:val="0"/>
              <w:marTop w:val="0"/>
              <w:marBottom w:val="0"/>
              <w:divBdr>
                <w:top w:val="none" w:sz="0" w:space="0" w:color="auto"/>
                <w:left w:val="none" w:sz="0" w:space="0" w:color="auto"/>
                <w:bottom w:val="none" w:sz="0" w:space="0" w:color="auto"/>
                <w:right w:val="none" w:sz="0" w:space="0" w:color="auto"/>
              </w:divBdr>
            </w:div>
            <w:div w:id="240062584">
              <w:marLeft w:val="0"/>
              <w:marRight w:val="0"/>
              <w:marTop w:val="0"/>
              <w:marBottom w:val="0"/>
              <w:divBdr>
                <w:top w:val="none" w:sz="0" w:space="0" w:color="auto"/>
                <w:left w:val="none" w:sz="0" w:space="0" w:color="auto"/>
                <w:bottom w:val="none" w:sz="0" w:space="0" w:color="auto"/>
                <w:right w:val="none" w:sz="0" w:space="0" w:color="auto"/>
              </w:divBdr>
            </w:div>
            <w:div w:id="274024663">
              <w:marLeft w:val="0"/>
              <w:marRight w:val="0"/>
              <w:marTop w:val="0"/>
              <w:marBottom w:val="0"/>
              <w:divBdr>
                <w:top w:val="none" w:sz="0" w:space="0" w:color="auto"/>
                <w:left w:val="none" w:sz="0" w:space="0" w:color="auto"/>
                <w:bottom w:val="none" w:sz="0" w:space="0" w:color="auto"/>
                <w:right w:val="none" w:sz="0" w:space="0" w:color="auto"/>
              </w:divBdr>
            </w:div>
            <w:div w:id="697896071">
              <w:marLeft w:val="0"/>
              <w:marRight w:val="0"/>
              <w:marTop w:val="0"/>
              <w:marBottom w:val="0"/>
              <w:divBdr>
                <w:top w:val="none" w:sz="0" w:space="0" w:color="auto"/>
                <w:left w:val="none" w:sz="0" w:space="0" w:color="auto"/>
                <w:bottom w:val="none" w:sz="0" w:space="0" w:color="auto"/>
                <w:right w:val="none" w:sz="0" w:space="0" w:color="auto"/>
              </w:divBdr>
            </w:div>
            <w:div w:id="851799680">
              <w:marLeft w:val="0"/>
              <w:marRight w:val="0"/>
              <w:marTop w:val="0"/>
              <w:marBottom w:val="0"/>
              <w:divBdr>
                <w:top w:val="none" w:sz="0" w:space="0" w:color="auto"/>
                <w:left w:val="none" w:sz="0" w:space="0" w:color="auto"/>
                <w:bottom w:val="none" w:sz="0" w:space="0" w:color="auto"/>
                <w:right w:val="none" w:sz="0" w:space="0" w:color="auto"/>
              </w:divBdr>
            </w:div>
            <w:div w:id="1014771038">
              <w:marLeft w:val="0"/>
              <w:marRight w:val="0"/>
              <w:marTop w:val="0"/>
              <w:marBottom w:val="0"/>
              <w:divBdr>
                <w:top w:val="none" w:sz="0" w:space="0" w:color="auto"/>
                <w:left w:val="none" w:sz="0" w:space="0" w:color="auto"/>
                <w:bottom w:val="none" w:sz="0" w:space="0" w:color="auto"/>
                <w:right w:val="none" w:sz="0" w:space="0" w:color="auto"/>
              </w:divBdr>
            </w:div>
            <w:div w:id="1024483782">
              <w:marLeft w:val="0"/>
              <w:marRight w:val="0"/>
              <w:marTop w:val="0"/>
              <w:marBottom w:val="0"/>
              <w:divBdr>
                <w:top w:val="none" w:sz="0" w:space="0" w:color="auto"/>
                <w:left w:val="none" w:sz="0" w:space="0" w:color="auto"/>
                <w:bottom w:val="none" w:sz="0" w:space="0" w:color="auto"/>
                <w:right w:val="none" w:sz="0" w:space="0" w:color="auto"/>
              </w:divBdr>
            </w:div>
            <w:div w:id="1243952216">
              <w:marLeft w:val="0"/>
              <w:marRight w:val="0"/>
              <w:marTop w:val="0"/>
              <w:marBottom w:val="0"/>
              <w:divBdr>
                <w:top w:val="none" w:sz="0" w:space="0" w:color="auto"/>
                <w:left w:val="none" w:sz="0" w:space="0" w:color="auto"/>
                <w:bottom w:val="none" w:sz="0" w:space="0" w:color="auto"/>
                <w:right w:val="none" w:sz="0" w:space="0" w:color="auto"/>
              </w:divBdr>
            </w:div>
            <w:div w:id="1441486752">
              <w:marLeft w:val="0"/>
              <w:marRight w:val="0"/>
              <w:marTop w:val="0"/>
              <w:marBottom w:val="0"/>
              <w:divBdr>
                <w:top w:val="none" w:sz="0" w:space="0" w:color="auto"/>
                <w:left w:val="none" w:sz="0" w:space="0" w:color="auto"/>
                <w:bottom w:val="none" w:sz="0" w:space="0" w:color="auto"/>
                <w:right w:val="none" w:sz="0" w:space="0" w:color="auto"/>
              </w:divBdr>
            </w:div>
          </w:divsChild>
        </w:div>
        <w:div w:id="1140683213">
          <w:marLeft w:val="0"/>
          <w:marRight w:val="0"/>
          <w:marTop w:val="0"/>
          <w:marBottom w:val="0"/>
          <w:divBdr>
            <w:top w:val="none" w:sz="0" w:space="0" w:color="auto"/>
            <w:left w:val="none" w:sz="0" w:space="0" w:color="auto"/>
            <w:bottom w:val="none" w:sz="0" w:space="0" w:color="auto"/>
            <w:right w:val="none" w:sz="0" w:space="0" w:color="auto"/>
          </w:divBdr>
          <w:divsChild>
            <w:div w:id="886529690">
              <w:marLeft w:val="0"/>
              <w:marRight w:val="0"/>
              <w:marTop w:val="0"/>
              <w:marBottom w:val="0"/>
              <w:divBdr>
                <w:top w:val="none" w:sz="0" w:space="0" w:color="auto"/>
                <w:left w:val="none" w:sz="0" w:space="0" w:color="auto"/>
                <w:bottom w:val="none" w:sz="0" w:space="0" w:color="auto"/>
                <w:right w:val="none" w:sz="0" w:space="0" w:color="auto"/>
              </w:divBdr>
            </w:div>
            <w:div w:id="1634141591">
              <w:marLeft w:val="0"/>
              <w:marRight w:val="0"/>
              <w:marTop w:val="0"/>
              <w:marBottom w:val="0"/>
              <w:divBdr>
                <w:top w:val="none" w:sz="0" w:space="0" w:color="auto"/>
                <w:left w:val="none" w:sz="0" w:space="0" w:color="auto"/>
                <w:bottom w:val="none" w:sz="0" w:space="0" w:color="auto"/>
                <w:right w:val="none" w:sz="0" w:space="0" w:color="auto"/>
              </w:divBdr>
            </w:div>
            <w:div w:id="1645114982">
              <w:marLeft w:val="0"/>
              <w:marRight w:val="0"/>
              <w:marTop w:val="0"/>
              <w:marBottom w:val="0"/>
              <w:divBdr>
                <w:top w:val="none" w:sz="0" w:space="0" w:color="auto"/>
                <w:left w:val="none" w:sz="0" w:space="0" w:color="auto"/>
                <w:bottom w:val="none" w:sz="0" w:space="0" w:color="auto"/>
                <w:right w:val="none" w:sz="0" w:space="0" w:color="auto"/>
              </w:divBdr>
            </w:div>
            <w:div w:id="2033921842">
              <w:marLeft w:val="0"/>
              <w:marRight w:val="0"/>
              <w:marTop w:val="0"/>
              <w:marBottom w:val="0"/>
              <w:divBdr>
                <w:top w:val="none" w:sz="0" w:space="0" w:color="auto"/>
                <w:left w:val="none" w:sz="0" w:space="0" w:color="auto"/>
                <w:bottom w:val="none" w:sz="0" w:space="0" w:color="auto"/>
                <w:right w:val="none" w:sz="0" w:space="0" w:color="auto"/>
              </w:divBdr>
            </w:div>
          </w:divsChild>
        </w:div>
        <w:div w:id="1417481139">
          <w:marLeft w:val="0"/>
          <w:marRight w:val="0"/>
          <w:marTop w:val="0"/>
          <w:marBottom w:val="0"/>
          <w:divBdr>
            <w:top w:val="none" w:sz="0" w:space="0" w:color="auto"/>
            <w:left w:val="none" w:sz="0" w:space="0" w:color="auto"/>
            <w:bottom w:val="none" w:sz="0" w:space="0" w:color="auto"/>
            <w:right w:val="none" w:sz="0" w:space="0" w:color="auto"/>
          </w:divBdr>
          <w:divsChild>
            <w:div w:id="2070305433">
              <w:marLeft w:val="0"/>
              <w:marRight w:val="0"/>
              <w:marTop w:val="0"/>
              <w:marBottom w:val="0"/>
              <w:divBdr>
                <w:top w:val="none" w:sz="0" w:space="0" w:color="auto"/>
                <w:left w:val="none" w:sz="0" w:space="0" w:color="auto"/>
                <w:bottom w:val="none" w:sz="0" w:space="0" w:color="auto"/>
                <w:right w:val="none" w:sz="0" w:space="0" w:color="auto"/>
              </w:divBdr>
            </w:div>
          </w:divsChild>
        </w:div>
        <w:div w:id="1486387878">
          <w:marLeft w:val="0"/>
          <w:marRight w:val="0"/>
          <w:marTop w:val="0"/>
          <w:marBottom w:val="0"/>
          <w:divBdr>
            <w:top w:val="none" w:sz="0" w:space="0" w:color="auto"/>
            <w:left w:val="none" w:sz="0" w:space="0" w:color="auto"/>
            <w:bottom w:val="none" w:sz="0" w:space="0" w:color="auto"/>
            <w:right w:val="none" w:sz="0" w:space="0" w:color="auto"/>
          </w:divBdr>
          <w:divsChild>
            <w:div w:id="1052927789">
              <w:marLeft w:val="0"/>
              <w:marRight w:val="0"/>
              <w:marTop w:val="0"/>
              <w:marBottom w:val="0"/>
              <w:divBdr>
                <w:top w:val="none" w:sz="0" w:space="0" w:color="auto"/>
                <w:left w:val="none" w:sz="0" w:space="0" w:color="auto"/>
                <w:bottom w:val="none" w:sz="0" w:space="0" w:color="auto"/>
                <w:right w:val="none" w:sz="0" w:space="0" w:color="auto"/>
              </w:divBdr>
            </w:div>
          </w:divsChild>
        </w:div>
        <w:div w:id="1563756869">
          <w:marLeft w:val="0"/>
          <w:marRight w:val="0"/>
          <w:marTop w:val="0"/>
          <w:marBottom w:val="0"/>
          <w:divBdr>
            <w:top w:val="none" w:sz="0" w:space="0" w:color="auto"/>
            <w:left w:val="none" w:sz="0" w:space="0" w:color="auto"/>
            <w:bottom w:val="none" w:sz="0" w:space="0" w:color="auto"/>
            <w:right w:val="none" w:sz="0" w:space="0" w:color="auto"/>
          </w:divBdr>
          <w:divsChild>
            <w:div w:id="153377484">
              <w:marLeft w:val="0"/>
              <w:marRight w:val="0"/>
              <w:marTop w:val="0"/>
              <w:marBottom w:val="0"/>
              <w:divBdr>
                <w:top w:val="none" w:sz="0" w:space="0" w:color="auto"/>
                <w:left w:val="none" w:sz="0" w:space="0" w:color="auto"/>
                <w:bottom w:val="none" w:sz="0" w:space="0" w:color="auto"/>
                <w:right w:val="none" w:sz="0" w:space="0" w:color="auto"/>
              </w:divBdr>
            </w:div>
          </w:divsChild>
        </w:div>
        <w:div w:id="1683583669">
          <w:marLeft w:val="0"/>
          <w:marRight w:val="0"/>
          <w:marTop w:val="0"/>
          <w:marBottom w:val="0"/>
          <w:divBdr>
            <w:top w:val="none" w:sz="0" w:space="0" w:color="auto"/>
            <w:left w:val="none" w:sz="0" w:space="0" w:color="auto"/>
            <w:bottom w:val="none" w:sz="0" w:space="0" w:color="auto"/>
            <w:right w:val="none" w:sz="0" w:space="0" w:color="auto"/>
          </w:divBdr>
          <w:divsChild>
            <w:div w:id="1530489169">
              <w:marLeft w:val="0"/>
              <w:marRight w:val="0"/>
              <w:marTop w:val="0"/>
              <w:marBottom w:val="0"/>
              <w:divBdr>
                <w:top w:val="none" w:sz="0" w:space="0" w:color="auto"/>
                <w:left w:val="none" w:sz="0" w:space="0" w:color="auto"/>
                <w:bottom w:val="none" w:sz="0" w:space="0" w:color="auto"/>
                <w:right w:val="none" w:sz="0" w:space="0" w:color="auto"/>
              </w:divBdr>
            </w:div>
          </w:divsChild>
        </w:div>
        <w:div w:id="1708607287">
          <w:marLeft w:val="0"/>
          <w:marRight w:val="0"/>
          <w:marTop w:val="0"/>
          <w:marBottom w:val="0"/>
          <w:divBdr>
            <w:top w:val="none" w:sz="0" w:space="0" w:color="auto"/>
            <w:left w:val="none" w:sz="0" w:space="0" w:color="auto"/>
            <w:bottom w:val="none" w:sz="0" w:space="0" w:color="auto"/>
            <w:right w:val="none" w:sz="0" w:space="0" w:color="auto"/>
          </w:divBdr>
          <w:divsChild>
            <w:div w:id="916549869">
              <w:marLeft w:val="0"/>
              <w:marRight w:val="0"/>
              <w:marTop w:val="0"/>
              <w:marBottom w:val="0"/>
              <w:divBdr>
                <w:top w:val="none" w:sz="0" w:space="0" w:color="auto"/>
                <w:left w:val="none" w:sz="0" w:space="0" w:color="auto"/>
                <w:bottom w:val="none" w:sz="0" w:space="0" w:color="auto"/>
                <w:right w:val="none" w:sz="0" w:space="0" w:color="auto"/>
              </w:divBdr>
            </w:div>
            <w:div w:id="1442533056">
              <w:marLeft w:val="0"/>
              <w:marRight w:val="0"/>
              <w:marTop w:val="0"/>
              <w:marBottom w:val="0"/>
              <w:divBdr>
                <w:top w:val="none" w:sz="0" w:space="0" w:color="auto"/>
                <w:left w:val="none" w:sz="0" w:space="0" w:color="auto"/>
                <w:bottom w:val="none" w:sz="0" w:space="0" w:color="auto"/>
                <w:right w:val="none" w:sz="0" w:space="0" w:color="auto"/>
              </w:divBdr>
            </w:div>
            <w:div w:id="1813330957">
              <w:marLeft w:val="0"/>
              <w:marRight w:val="0"/>
              <w:marTop w:val="0"/>
              <w:marBottom w:val="0"/>
              <w:divBdr>
                <w:top w:val="none" w:sz="0" w:space="0" w:color="auto"/>
                <w:left w:val="none" w:sz="0" w:space="0" w:color="auto"/>
                <w:bottom w:val="none" w:sz="0" w:space="0" w:color="auto"/>
                <w:right w:val="none" w:sz="0" w:space="0" w:color="auto"/>
              </w:divBdr>
            </w:div>
          </w:divsChild>
        </w:div>
        <w:div w:id="1784491774">
          <w:marLeft w:val="0"/>
          <w:marRight w:val="0"/>
          <w:marTop w:val="0"/>
          <w:marBottom w:val="0"/>
          <w:divBdr>
            <w:top w:val="none" w:sz="0" w:space="0" w:color="auto"/>
            <w:left w:val="none" w:sz="0" w:space="0" w:color="auto"/>
            <w:bottom w:val="none" w:sz="0" w:space="0" w:color="auto"/>
            <w:right w:val="none" w:sz="0" w:space="0" w:color="auto"/>
          </w:divBdr>
          <w:divsChild>
            <w:div w:id="1936594481">
              <w:marLeft w:val="0"/>
              <w:marRight w:val="0"/>
              <w:marTop w:val="0"/>
              <w:marBottom w:val="0"/>
              <w:divBdr>
                <w:top w:val="none" w:sz="0" w:space="0" w:color="auto"/>
                <w:left w:val="none" w:sz="0" w:space="0" w:color="auto"/>
                <w:bottom w:val="none" w:sz="0" w:space="0" w:color="auto"/>
                <w:right w:val="none" w:sz="0" w:space="0" w:color="auto"/>
              </w:divBdr>
            </w:div>
          </w:divsChild>
        </w:div>
        <w:div w:id="1964074307">
          <w:marLeft w:val="0"/>
          <w:marRight w:val="0"/>
          <w:marTop w:val="0"/>
          <w:marBottom w:val="0"/>
          <w:divBdr>
            <w:top w:val="none" w:sz="0" w:space="0" w:color="auto"/>
            <w:left w:val="none" w:sz="0" w:space="0" w:color="auto"/>
            <w:bottom w:val="none" w:sz="0" w:space="0" w:color="auto"/>
            <w:right w:val="none" w:sz="0" w:space="0" w:color="auto"/>
          </w:divBdr>
          <w:divsChild>
            <w:div w:id="60207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837988">
      <w:bodyDiv w:val="1"/>
      <w:marLeft w:val="0"/>
      <w:marRight w:val="0"/>
      <w:marTop w:val="0"/>
      <w:marBottom w:val="0"/>
      <w:divBdr>
        <w:top w:val="none" w:sz="0" w:space="0" w:color="auto"/>
        <w:left w:val="none" w:sz="0" w:space="0" w:color="auto"/>
        <w:bottom w:val="none" w:sz="0" w:space="0" w:color="auto"/>
        <w:right w:val="none" w:sz="0" w:space="0" w:color="auto"/>
      </w:divBdr>
    </w:div>
    <w:div w:id="839539633">
      <w:bodyDiv w:val="1"/>
      <w:marLeft w:val="0"/>
      <w:marRight w:val="0"/>
      <w:marTop w:val="0"/>
      <w:marBottom w:val="0"/>
      <w:divBdr>
        <w:top w:val="none" w:sz="0" w:space="0" w:color="auto"/>
        <w:left w:val="none" w:sz="0" w:space="0" w:color="auto"/>
        <w:bottom w:val="none" w:sz="0" w:space="0" w:color="auto"/>
        <w:right w:val="none" w:sz="0" w:space="0" w:color="auto"/>
      </w:divBdr>
    </w:div>
    <w:div w:id="845752830">
      <w:bodyDiv w:val="1"/>
      <w:marLeft w:val="0"/>
      <w:marRight w:val="0"/>
      <w:marTop w:val="0"/>
      <w:marBottom w:val="0"/>
      <w:divBdr>
        <w:top w:val="none" w:sz="0" w:space="0" w:color="auto"/>
        <w:left w:val="none" w:sz="0" w:space="0" w:color="auto"/>
        <w:bottom w:val="none" w:sz="0" w:space="0" w:color="auto"/>
        <w:right w:val="none" w:sz="0" w:space="0" w:color="auto"/>
      </w:divBdr>
    </w:div>
    <w:div w:id="865676073">
      <w:bodyDiv w:val="1"/>
      <w:marLeft w:val="0"/>
      <w:marRight w:val="0"/>
      <w:marTop w:val="0"/>
      <w:marBottom w:val="0"/>
      <w:divBdr>
        <w:top w:val="none" w:sz="0" w:space="0" w:color="auto"/>
        <w:left w:val="none" w:sz="0" w:space="0" w:color="auto"/>
        <w:bottom w:val="none" w:sz="0" w:space="0" w:color="auto"/>
        <w:right w:val="none" w:sz="0" w:space="0" w:color="auto"/>
      </w:divBdr>
    </w:div>
    <w:div w:id="876236145">
      <w:bodyDiv w:val="1"/>
      <w:marLeft w:val="0"/>
      <w:marRight w:val="0"/>
      <w:marTop w:val="0"/>
      <w:marBottom w:val="0"/>
      <w:divBdr>
        <w:top w:val="none" w:sz="0" w:space="0" w:color="auto"/>
        <w:left w:val="none" w:sz="0" w:space="0" w:color="auto"/>
        <w:bottom w:val="none" w:sz="0" w:space="0" w:color="auto"/>
        <w:right w:val="none" w:sz="0" w:space="0" w:color="auto"/>
      </w:divBdr>
      <w:divsChild>
        <w:div w:id="1331329691">
          <w:marLeft w:val="0"/>
          <w:marRight w:val="0"/>
          <w:marTop w:val="0"/>
          <w:marBottom w:val="0"/>
          <w:divBdr>
            <w:top w:val="none" w:sz="0" w:space="0" w:color="auto"/>
            <w:left w:val="none" w:sz="0" w:space="0" w:color="auto"/>
            <w:bottom w:val="none" w:sz="0" w:space="0" w:color="auto"/>
            <w:right w:val="none" w:sz="0" w:space="0" w:color="auto"/>
          </w:divBdr>
        </w:div>
      </w:divsChild>
    </w:div>
    <w:div w:id="876283303">
      <w:bodyDiv w:val="1"/>
      <w:marLeft w:val="0"/>
      <w:marRight w:val="0"/>
      <w:marTop w:val="0"/>
      <w:marBottom w:val="0"/>
      <w:divBdr>
        <w:top w:val="none" w:sz="0" w:space="0" w:color="auto"/>
        <w:left w:val="none" w:sz="0" w:space="0" w:color="auto"/>
        <w:bottom w:val="none" w:sz="0" w:space="0" w:color="auto"/>
        <w:right w:val="none" w:sz="0" w:space="0" w:color="auto"/>
      </w:divBdr>
    </w:div>
    <w:div w:id="906498979">
      <w:bodyDiv w:val="1"/>
      <w:marLeft w:val="0"/>
      <w:marRight w:val="0"/>
      <w:marTop w:val="0"/>
      <w:marBottom w:val="0"/>
      <w:divBdr>
        <w:top w:val="none" w:sz="0" w:space="0" w:color="auto"/>
        <w:left w:val="none" w:sz="0" w:space="0" w:color="auto"/>
        <w:bottom w:val="none" w:sz="0" w:space="0" w:color="auto"/>
        <w:right w:val="none" w:sz="0" w:space="0" w:color="auto"/>
      </w:divBdr>
    </w:div>
    <w:div w:id="917397290">
      <w:bodyDiv w:val="1"/>
      <w:marLeft w:val="0"/>
      <w:marRight w:val="0"/>
      <w:marTop w:val="0"/>
      <w:marBottom w:val="0"/>
      <w:divBdr>
        <w:top w:val="none" w:sz="0" w:space="0" w:color="auto"/>
        <w:left w:val="none" w:sz="0" w:space="0" w:color="auto"/>
        <w:bottom w:val="none" w:sz="0" w:space="0" w:color="auto"/>
        <w:right w:val="none" w:sz="0" w:space="0" w:color="auto"/>
      </w:divBdr>
    </w:div>
    <w:div w:id="939416204">
      <w:bodyDiv w:val="1"/>
      <w:marLeft w:val="0"/>
      <w:marRight w:val="0"/>
      <w:marTop w:val="0"/>
      <w:marBottom w:val="0"/>
      <w:divBdr>
        <w:top w:val="none" w:sz="0" w:space="0" w:color="auto"/>
        <w:left w:val="none" w:sz="0" w:space="0" w:color="auto"/>
        <w:bottom w:val="none" w:sz="0" w:space="0" w:color="auto"/>
        <w:right w:val="none" w:sz="0" w:space="0" w:color="auto"/>
      </w:divBdr>
      <w:divsChild>
        <w:div w:id="1240941768">
          <w:marLeft w:val="0"/>
          <w:marRight w:val="0"/>
          <w:marTop w:val="0"/>
          <w:marBottom w:val="0"/>
          <w:divBdr>
            <w:top w:val="none" w:sz="0" w:space="0" w:color="auto"/>
            <w:left w:val="none" w:sz="0" w:space="0" w:color="auto"/>
            <w:bottom w:val="none" w:sz="0" w:space="0" w:color="auto"/>
            <w:right w:val="none" w:sz="0" w:space="0" w:color="auto"/>
          </w:divBdr>
          <w:divsChild>
            <w:div w:id="1108429731">
              <w:marLeft w:val="0"/>
              <w:marRight w:val="0"/>
              <w:marTop w:val="0"/>
              <w:marBottom w:val="0"/>
              <w:divBdr>
                <w:top w:val="none" w:sz="0" w:space="0" w:color="auto"/>
                <w:left w:val="none" w:sz="0" w:space="0" w:color="auto"/>
                <w:bottom w:val="none" w:sz="0" w:space="0" w:color="auto"/>
                <w:right w:val="none" w:sz="0" w:space="0" w:color="auto"/>
              </w:divBdr>
            </w:div>
          </w:divsChild>
        </w:div>
        <w:div w:id="1550072445">
          <w:marLeft w:val="0"/>
          <w:marRight w:val="0"/>
          <w:marTop w:val="0"/>
          <w:marBottom w:val="0"/>
          <w:divBdr>
            <w:top w:val="none" w:sz="0" w:space="0" w:color="auto"/>
            <w:left w:val="none" w:sz="0" w:space="0" w:color="auto"/>
            <w:bottom w:val="none" w:sz="0" w:space="0" w:color="auto"/>
            <w:right w:val="none" w:sz="0" w:space="0" w:color="auto"/>
          </w:divBdr>
          <w:divsChild>
            <w:div w:id="922760391">
              <w:marLeft w:val="0"/>
              <w:marRight w:val="0"/>
              <w:marTop w:val="0"/>
              <w:marBottom w:val="0"/>
              <w:divBdr>
                <w:top w:val="none" w:sz="0" w:space="0" w:color="auto"/>
                <w:left w:val="none" w:sz="0" w:space="0" w:color="auto"/>
                <w:bottom w:val="none" w:sz="0" w:space="0" w:color="auto"/>
                <w:right w:val="none" w:sz="0" w:space="0" w:color="auto"/>
              </w:divBdr>
              <w:divsChild>
                <w:div w:id="138741553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882010993">
          <w:marLeft w:val="0"/>
          <w:marRight w:val="0"/>
          <w:marTop w:val="0"/>
          <w:marBottom w:val="0"/>
          <w:divBdr>
            <w:top w:val="none" w:sz="0" w:space="0" w:color="auto"/>
            <w:left w:val="none" w:sz="0" w:space="0" w:color="auto"/>
            <w:bottom w:val="none" w:sz="0" w:space="0" w:color="auto"/>
            <w:right w:val="none" w:sz="0" w:space="0" w:color="auto"/>
          </w:divBdr>
          <w:divsChild>
            <w:div w:id="1059785768">
              <w:marLeft w:val="0"/>
              <w:marRight w:val="0"/>
              <w:marTop w:val="0"/>
              <w:marBottom w:val="0"/>
              <w:divBdr>
                <w:top w:val="none" w:sz="0" w:space="0" w:color="auto"/>
                <w:left w:val="none" w:sz="0" w:space="0" w:color="auto"/>
                <w:bottom w:val="none" w:sz="0" w:space="0" w:color="auto"/>
                <w:right w:val="none" w:sz="0" w:space="0" w:color="auto"/>
              </w:divBdr>
              <w:divsChild>
                <w:div w:id="152320849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940721095">
      <w:bodyDiv w:val="1"/>
      <w:marLeft w:val="0"/>
      <w:marRight w:val="0"/>
      <w:marTop w:val="0"/>
      <w:marBottom w:val="0"/>
      <w:divBdr>
        <w:top w:val="none" w:sz="0" w:space="0" w:color="auto"/>
        <w:left w:val="none" w:sz="0" w:space="0" w:color="auto"/>
        <w:bottom w:val="none" w:sz="0" w:space="0" w:color="auto"/>
        <w:right w:val="none" w:sz="0" w:space="0" w:color="auto"/>
      </w:divBdr>
      <w:divsChild>
        <w:div w:id="1372068664">
          <w:marLeft w:val="0"/>
          <w:marRight w:val="0"/>
          <w:marTop w:val="0"/>
          <w:marBottom w:val="0"/>
          <w:divBdr>
            <w:top w:val="none" w:sz="0" w:space="0" w:color="auto"/>
            <w:left w:val="none" w:sz="0" w:space="0" w:color="auto"/>
            <w:bottom w:val="none" w:sz="0" w:space="0" w:color="auto"/>
            <w:right w:val="none" w:sz="0" w:space="0" w:color="auto"/>
          </w:divBdr>
        </w:div>
      </w:divsChild>
    </w:div>
    <w:div w:id="960919025">
      <w:bodyDiv w:val="1"/>
      <w:marLeft w:val="0"/>
      <w:marRight w:val="0"/>
      <w:marTop w:val="0"/>
      <w:marBottom w:val="0"/>
      <w:divBdr>
        <w:top w:val="none" w:sz="0" w:space="0" w:color="auto"/>
        <w:left w:val="none" w:sz="0" w:space="0" w:color="auto"/>
        <w:bottom w:val="none" w:sz="0" w:space="0" w:color="auto"/>
        <w:right w:val="none" w:sz="0" w:space="0" w:color="auto"/>
      </w:divBdr>
      <w:divsChild>
        <w:div w:id="228348535">
          <w:marLeft w:val="0"/>
          <w:marRight w:val="0"/>
          <w:marTop w:val="0"/>
          <w:marBottom w:val="0"/>
          <w:divBdr>
            <w:top w:val="none" w:sz="0" w:space="0" w:color="auto"/>
            <w:left w:val="none" w:sz="0" w:space="0" w:color="auto"/>
            <w:bottom w:val="none" w:sz="0" w:space="0" w:color="auto"/>
            <w:right w:val="none" w:sz="0" w:space="0" w:color="auto"/>
          </w:divBdr>
        </w:div>
      </w:divsChild>
    </w:div>
    <w:div w:id="964195450">
      <w:bodyDiv w:val="1"/>
      <w:marLeft w:val="0"/>
      <w:marRight w:val="0"/>
      <w:marTop w:val="0"/>
      <w:marBottom w:val="0"/>
      <w:divBdr>
        <w:top w:val="none" w:sz="0" w:space="0" w:color="auto"/>
        <w:left w:val="none" w:sz="0" w:space="0" w:color="auto"/>
        <w:bottom w:val="none" w:sz="0" w:space="0" w:color="auto"/>
        <w:right w:val="none" w:sz="0" w:space="0" w:color="auto"/>
      </w:divBdr>
    </w:div>
    <w:div w:id="964502772">
      <w:bodyDiv w:val="1"/>
      <w:marLeft w:val="0"/>
      <w:marRight w:val="0"/>
      <w:marTop w:val="0"/>
      <w:marBottom w:val="0"/>
      <w:divBdr>
        <w:top w:val="none" w:sz="0" w:space="0" w:color="auto"/>
        <w:left w:val="none" w:sz="0" w:space="0" w:color="auto"/>
        <w:bottom w:val="none" w:sz="0" w:space="0" w:color="auto"/>
        <w:right w:val="none" w:sz="0" w:space="0" w:color="auto"/>
      </w:divBdr>
      <w:divsChild>
        <w:div w:id="825785571">
          <w:marLeft w:val="0"/>
          <w:marRight w:val="0"/>
          <w:marTop w:val="0"/>
          <w:marBottom w:val="0"/>
          <w:divBdr>
            <w:top w:val="none" w:sz="0" w:space="0" w:color="auto"/>
            <w:left w:val="none" w:sz="0" w:space="0" w:color="auto"/>
            <w:bottom w:val="none" w:sz="0" w:space="0" w:color="auto"/>
            <w:right w:val="none" w:sz="0" w:space="0" w:color="auto"/>
          </w:divBdr>
          <w:divsChild>
            <w:div w:id="1592617199">
              <w:marLeft w:val="0"/>
              <w:marRight w:val="0"/>
              <w:marTop w:val="0"/>
              <w:marBottom w:val="0"/>
              <w:divBdr>
                <w:top w:val="none" w:sz="0" w:space="0" w:color="auto"/>
                <w:left w:val="none" w:sz="0" w:space="0" w:color="auto"/>
                <w:bottom w:val="none" w:sz="0" w:space="0" w:color="auto"/>
                <w:right w:val="none" w:sz="0" w:space="0" w:color="auto"/>
              </w:divBdr>
              <w:divsChild>
                <w:div w:id="1921139385">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780224044">
          <w:marLeft w:val="0"/>
          <w:marRight w:val="0"/>
          <w:marTop w:val="0"/>
          <w:marBottom w:val="0"/>
          <w:divBdr>
            <w:top w:val="none" w:sz="0" w:space="0" w:color="auto"/>
            <w:left w:val="none" w:sz="0" w:space="0" w:color="auto"/>
            <w:bottom w:val="none" w:sz="0" w:space="0" w:color="auto"/>
            <w:right w:val="none" w:sz="0" w:space="0" w:color="auto"/>
          </w:divBdr>
          <w:divsChild>
            <w:div w:id="937760205">
              <w:marLeft w:val="0"/>
              <w:marRight w:val="0"/>
              <w:marTop w:val="0"/>
              <w:marBottom w:val="0"/>
              <w:divBdr>
                <w:top w:val="none" w:sz="0" w:space="0" w:color="auto"/>
                <w:left w:val="none" w:sz="0" w:space="0" w:color="auto"/>
                <w:bottom w:val="none" w:sz="0" w:space="0" w:color="auto"/>
                <w:right w:val="none" w:sz="0" w:space="0" w:color="auto"/>
              </w:divBdr>
              <w:divsChild>
                <w:div w:id="193065643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2009164702">
          <w:marLeft w:val="0"/>
          <w:marRight w:val="0"/>
          <w:marTop w:val="0"/>
          <w:marBottom w:val="0"/>
          <w:divBdr>
            <w:top w:val="none" w:sz="0" w:space="0" w:color="auto"/>
            <w:left w:val="none" w:sz="0" w:space="0" w:color="auto"/>
            <w:bottom w:val="none" w:sz="0" w:space="0" w:color="auto"/>
            <w:right w:val="none" w:sz="0" w:space="0" w:color="auto"/>
          </w:divBdr>
          <w:divsChild>
            <w:div w:id="182322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123437">
      <w:bodyDiv w:val="1"/>
      <w:marLeft w:val="0"/>
      <w:marRight w:val="0"/>
      <w:marTop w:val="0"/>
      <w:marBottom w:val="0"/>
      <w:divBdr>
        <w:top w:val="none" w:sz="0" w:space="0" w:color="auto"/>
        <w:left w:val="none" w:sz="0" w:space="0" w:color="auto"/>
        <w:bottom w:val="none" w:sz="0" w:space="0" w:color="auto"/>
        <w:right w:val="none" w:sz="0" w:space="0" w:color="auto"/>
      </w:divBdr>
    </w:div>
    <w:div w:id="1018971028">
      <w:bodyDiv w:val="1"/>
      <w:marLeft w:val="0"/>
      <w:marRight w:val="0"/>
      <w:marTop w:val="0"/>
      <w:marBottom w:val="0"/>
      <w:divBdr>
        <w:top w:val="none" w:sz="0" w:space="0" w:color="auto"/>
        <w:left w:val="none" w:sz="0" w:space="0" w:color="auto"/>
        <w:bottom w:val="none" w:sz="0" w:space="0" w:color="auto"/>
        <w:right w:val="none" w:sz="0" w:space="0" w:color="auto"/>
      </w:divBdr>
    </w:div>
    <w:div w:id="1043334128">
      <w:bodyDiv w:val="1"/>
      <w:marLeft w:val="0"/>
      <w:marRight w:val="0"/>
      <w:marTop w:val="0"/>
      <w:marBottom w:val="0"/>
      <w:divBdr>
        <w:top w:val="none" w:sz="0" w:space="0" w:color="auto"/>
        <w:left w:val="none" w:sz="0" w:space="0" w:color="auto"/>
        <w:bottom w:val="none" w:sz="0" w:space="0" w:color="auto"/>
        <w:right w:val="none" w:sz="0" w:space="0" w:color="auto"/>
      </w:divBdr>
    </w:div>
    <w:div w:id="1053190113">
      <w:bodyDiv w:val="1"/>
      <w:marLeft w:val="0"/>
      <w:marRight w:val="0"/>
      <w:marTop w:val="0"/>
      <w:marBottom w:val="0"/>
      <w:divBdr>
        <w:top w:val="none" w:sz="0" w:space="0" w:color="auto"/>
        <w:left w:val="none" w:sz="0" w:space="0" w:color="auto"/>
        <w:bottom w:val="none" w:sz="0" w:space="0" w:color="auto"/>
        <w:right w:val="none" w:sz="0" w:space="0" w:color="auto"/>
      </w:divBdr>
      <w:divsChild>
        <w:div w:id="179321211">
          <w:marLeft w:val="0"/>
          <w:marRight w:val="0"/>
          <w:marTop w:val="0"/>
          <w:marBottom w:val="0"/>
          <w:divBdr>
            <w:top w:val="none" w:sz="0" w:space="0" w:color="auto"/>
            <w:left w:val="none" w:sz="0" w:space="0" w:color="auto"/>
            <w:bottom w:val="none" w:sz="0" w:space="0" w:color="auto"/>
            <w:right w:val="none" w:sz="0" w:space="0" w:color="auto"/>
          </w:divBdr>
        </w:div>
      </w:divsChild>
    </w:div>
    <w:div w:id="1073546356">
      <w:bodyDiv w:val="1"/>
      <w:marLeft w:val="0"/>
      <w:marRight w:val="0"/>
      <w:marTop w:val="0"/>
      <w:marBottom w:val="0"/>
      <w:divBdr>
        <w:top w:val="none" w:sz="0" w:space="0" w:color="auto"/>
        <w:left w:val="none" w:sz="0" w:space="0" w:color="auto"/>
        <w:bottom w:val="none" w:sz="0" w:space="0" w:color="auto"/>
        <w:right w:val="none" w:sz="0" w:space="0" w:color="auto"/>
      </w:divBdr>
    </w:div>
    <w:div w:id="1085147128">
      <w:bodyDiv w:val="1"/>
      <w:marLeft w:val="0"/>
      <w:marRight w:val="0"/>
      <w:marTop w:val="0"/>
      <w:marBottom w:val="0"/>
      <w:divBdr>
        <w:top w:val="none" w:sz="0" w:space="0" w:color="auto"/>
        <w:left w:val="none" w:sz="0" w:space="0" w:color="auto"/>
        <w:bottom w:val="none" w:sz="0" w:space="0" w:color="auto"/>
        <w:right w:val="none" w:sz="0" w:space="0" w:color="auto"/>
      </w:divBdr>
    </w:div>
    <w:div w:id="1089157700">
      <w:bodyDiv w:val="1"/>
      <w:marLeft w:val="0"/>
      <w:marRight w:val="0"/>
      <w:marTop w:val="0"/>
      <w:marBottom w:val="0"/>
      <w:divBdr>
        <w:top w:val="none" w:sz="0" w:space="0" w:color="auto"/>
        <w:left w:val="none" w:sz="0" w:space="0" w:color="auto"/>
        <w:bottom w:val="none" w:sz="0" w:space="0" w:color="auto"/>
        <w:right w:val="none" w:sz="0" w:space="0" w:color="auto"/>
      </w:divBdr>
    </w:div>
    <w:div w:id="1111783430">
      <w:bodyDiv w:val="1"/>
      <w:marLeft w:val="0"/>
      <w:marRight w:val="0"/>
      <w:marTop w:val="0"/>
      <w:marBottom w:val="0"/>
      <w:divBdr>
        <w:top w:val="none" w:sz="0" w:space="0" w:color="auto"/>
        <w:left w:val="none" w:sz="0" w:space="0" w:color="auto"/>
        <w:bottom w:val="none" w:sz="0" w:space="0" w:color="auto"/>
        <w:right w:val="none" w:sz="0" w:space="0" w:color="auto"/>
      </w:divBdr>
    </w:div>
    <w:div w:id="1117330659">
      <w:bodyDiv w:val="1"/>
      <w:marLeft w:val="0"/>
      <w:marRight w:val="0"/>
      <w:marTop w:val="0"/>
      <w:marBottom w:val="0"/>
      <w:divBdr>
        <w:top w:val="none" w:sz="0" w:space="0" w:color="auto"/>
        <w:left w:val="none" w:sz="0" w:space="0" w:color="auto"/>
        <w:bottom w:val="none" w:sz="0" w:space="0" w:color="auto"/>
        <w:right w:val="none" w:sz="0" w:space="0" w:color="auto"/>
      </w:divBdr>
    </w:div>
    <w:div w:id="1144352717">
      <w:bodyDiv w:val="1"/>
      <w:marLeft w:val="0"/>
      <w:marRight w:val="0"/>
      <w:marTop w:val="0"/>
      <w:marBottom w:val="0"/>
      <w:divBdr>
        <w:top w:val="none" w:sz="0" w:space="0" w:color="auto"/>
        <w:left w:val="none" w:sz="0" w:space="0" w:color="auto"/>
        <w:bottom w:val="none" w:sz="0" w:space="0" w:color="auto"/>
        <w:right w:val="none" w:sz="0" w:space="0" w:color="auto"/>
      </w:divBdr>
      <w:divsChild>
        <w:div w:id="1700933961">
          <w:marLeft w:val="0"/>
          <w:marRight w:val="0"/>
          <w:marTop w:val="0"/>
          <w:marBottom w:val="0"/>
          <w:divBdr>
            <w:top w:val="none" w:sz="0" w:space="0" w:color="auto"/>
            <w:left w:val="none" w:sz="0" w:space="0" w:color="auto"/>
            <w:bottom w:val="none" w:sz="0" w:space="0" w:color="auto"/>
            <w:right w:val="none" w:sz="0" w:space="0" w:color="auto"/>
          </w:divBdr>
        </w:div>
      </w:divsChild>
    </w:div>
    <w:div w:id="1182010252">
      <w:bodyDiv w:val="1"/>
      <w:marLeft w:val="0"/>
      <w:marRight w:val="0"/>
      <w:marTop w:val="0"/>
      <w:marBottom w:val="0"/>
      <w:divBdr>
        <w:top w:val="none" w:sz="0" w:space="0" w:color="auto"/>
        <w:left w:val="none" w:sz="0" w:space="0" w:color="auto"/>
        <w:bottom w:val="none" w:sz="0" w:space="0" w:color="auto"/>
        <w:right w:val="none" w:sz="0" w:space="0" w:color="auto"/>
      </w:divBdr>
      <w:divsChild>
        <w:div w:id="737481254">
          <w:marLeft w:val="0"/>
          <w:marRight w:val="0"/>
          <w:marTop w:val="0"/>
          <w:marBottom w:val="0"/>
          <w:divBdr>
            <w:top w:val="none" w:sz="0" w:space="0" w:color="auto"/>
            <w:left w:val="none" w:sz="0" w:space="0" w:color="auto"/>
            <w:bottom w:val="none" w:sz="0" w:space="0" w:color="auto"/>
            <w:right w:val="none" w:sz="0" w:space="0" w:color="auto"/>
          </w:divBdr>
        </w:div>
      </w:divsChild>
    </w:div>
    <w:div w:id="1182013298">
      <w:bodyDiv w:val="1"/>
      <w:marLeft w:val="0"/>
      <w:marRight w:val="0"/>
      <w:marTop w:val="0"/>
      <w:marBottom w:val="0"/>
      <w:divBdr>
        <w:top w:val="none" w:sz="0" w:space="0" w:color="auto"/>
        <w:left w:val="none" w:sz="0" w:space="0" w:color="auto"/>
        <w:bottom w:val="none" w:sz="0" w:space="0" w:color="auto"/>
        <w:right w:val="none" w:sz="0" w:space="0" w:color="auto"/>
      </w:divBdr>
    </w:div>
    <w:div w:id="1183520641">
      <w:bodyDiv w:val="1"/>
      <w:marLeft w:val="0"/>
      <w:marRight w:val="0"/>
      <w:marTop w:val="0"/>
      <w:marBottom w:val="0"/>
      <w:divBdr>
        <w:top w:val="none" w:sz="0" w:space="0" w:color="auto"/>
        <w:left w:val="none" w:sz="0" w:space="0" w:color="auto"/>
        <w:bottom w:val="none" w:sz="0" w:space="0" w:color="auto"/>
        <w:right w:val="none" w:sz="0" w:space="0" w:color="auto"/>
      </w:divBdr>
      <w:divsChild>
        <w:div w:id="1672637536">
          <w:marLeft w:val="0"/>
          <w:marRight w:val="0"/>
          <w:marTop w:val="0"/>
          <w:marBottom w:val="0"/>
          <w:divBdr>
            <w:top w:val="none" w:sz="0" w:space="0" w:color="auto"/>
            <w:left w:val="none" w:sz="0" w:space="0" w:color="auto"/>
            <w:bottom w:val="none" w:sz="0" w:space="0" w:color="auto"/>
            <w:right w:val="none" w:sz="0" w:space="0" w:color="auto"/>
          </w:divBdr>
        </w:div>
      </w:divsChild>
    </w:div>
    <w:div w:id="1195267187">
      <w:bodyDiv w:val="1"/>
      <w:marLeft w:val="0"/>
      <w:marRight w:val="0"/>
      <w:marTop w:val="0"/>
      <w:marBottom w:val="0"/>
      <w:divBdr>
        <w:top w:val="none" w:sz="0" w:space="0" w:color="auto"/>
        <w:left w:val="none" w:sz="0" w:space="0" w:color="auto"/>
        <w:bottom w:val="none" w:sz="0" w:space="0" w:color="auto"/>
        <w:right w:val="none" w:sz="0" w:space="0" w:color="auto"/>
      </w:divBdr>
      <w:divsChild>
        <w:div w:id="1055351583">
          <w:marLeft w:val="0"/>
          <w:marRight w:val="0"/>
          <w:marTop w:val="0"/>
          <w:marBottom w:val="0"/>
          <w:divBdr>
            <w:top w:val="none" w:sz="0" w:space="0" w:color="auto"/>
            <w:left w:val="none" w:sz="0" w:space="0" w:color="auto"/>
            <w:bottom w:val="none" w:sz="0" w:space="0" w:color="auto"/>
            <w:right w:val="none" w:sz="0" w:space="0" w:color="auto"/>
          </w:divBdr>
        </w:div>
        <w:div w:id="1329477684">
          <w:marLeft w:val="0"/>
          <w:marRight w:val="0"/>
          <w:marTop w:val="0"/>
          <w:marBottom w:val="0"/>
          <w:divBdr>
            <w:top w:val="none" w:sz="0" w:space="0" w:color="auto"/>
            <w:left w:val="none" w:sz="0" w:space="0" w:color="auto"/>
            <w:bottom w:val="none" w:sz="0" w:space="0" w:color="auto"/>
            <w:right w:val="none" w:sz="0" w:space="0" w:color="auto"/>
          </w:divBdr>
        </w:div>
      </w:divsChild>
    </w:div>
    <w:div w:id="1209301524">
      <w:bodyDiv w:val="1"/>
      <w:marLeft w:val="0"/>
      <w:marRight w:val="0"/>
      <w:marTop w:val="0"/>
      <w:marBottom w:val="0"/>
      <w:divBdr>
        <w:top w:val="none" w:sz="0" w:space="0" w:color="auto"/>
        <w:left w:val="none" w:sz="0" w:space="0" w:color="auto"/>
        <w:bottom w:val="none" w:sz="0" w:space="0" w:color="auto"/>
        <w:right w:val="none" w:sz="0" w:space="0" w:color="auto"/>
      </w:divBdr>
    </w:div>
    <w:div w:id="1226140102">
      <w:bodyDiv w:val="1"/>
      <w:marLeft w:val="0"/>
      <w:marRight w:val="0"/>
      <w:marTop w:val="0"/>
      <w:marBottom w:val="0"/>
      <w:divBdr>
        <w:top w:val="none" w:sz="0" w:space="0" w:color="auto"/>
        <w:left w:val="none" w:sz="0" w:space="0" w:color="auto"/>
        <w:bottom w:val="none" w:sz="0" w:space="0" w:color="auto"/>
        <w:right w:val="none" w:sz="0" w:space="0" w:color="auto"/>
      </w:divBdr>
      <w:divsChild>
        <w:div w:id="1686054223">
          <w:marLeft w:val="0"/>
          <w:marRight w:val="0"/>
          <w:marTop w:val="0"/>
          <w:marBottom w:val="0"/>
          <w:divBdr>
            <w:top w:val="none" w:sz="0" w:space="0" w:color="auto"/>
            <w:left w:val="none" w:sz="0" w:space="0" w:color="auto"/>
            <w:bottom w:val="none" w:sz="0" w:space="0" w:color="auto"/>
            <w:right w:val="none" w:sz="0" w:space="0" w:color="auto"/>
          </w:divBdr>
        </w:div>
      </w:divsChild>
    </w:div>
    <w:div w:id="1228999141">
      <w:bodyDiv w:val="1"/>
      <w:marLeft w:val="0"/>
      <w:marRight w:val="0"/>
      <w:marTop w:val="0"/>
      <w:marBottom w:val="0"/>
      <w:divBdr>
        <w:top w:val="none" w:sz="0" w:space="0" w:color="auto"/>
        <w:left w:val="none" w:sz="0" w:space="0" w:color="auto"/>
        <w:bottom w:val="none" w:sz="0" w:space="0" w:color="auto"/>
        <w:right w:val="none" w:sz="0" w:space="0" w:color="auto"/>
      </w:divBdr>
    </w:div>
    <w:div w:id="1243176977">
      <w:bodyDiv w:val="1"/>
      <w:marLeft w:val="0"/>
      <w:marRight w:val="0"/>
      <w:marTop w:val="0"/>
      <w:marBottom w:val="0"/>
      <w:divBdr>
        <w:top w:val="none" w:sz="0" w:space="0" w:color="auto"/>
        <w:left w:val="none" w:sz="0" w:space="0" w:color="auto"/>
        <w:bottom w:val="none" w:sz="0" w:space="0" w:color="auto"/>
        <w:right w:val="none" w:sz="0" w:space="0" w:color="auto"/>
      </w:divBdr>
    </w:div>
    <w:div w:id="1282762573">
      <w:bodyDiv w:val="1"/>
      <w:marLeft w:val="0"/>
      <w:marRight w:val="0"/>
      <w:marTop w:val="0"/>
      <w:marBottom w:val="0"/>
      <w:divBdr>
        <w:top w:val="none" w:sz="0" w:space="0" w:color="auto"/>
        <w:left w:val="none" w:sz="0" w:space="0" w:color="auto"/>
        <w:bottom w:val="none" w:sz="0" w:space="0" w:color="auto"/>
        <w:right w:val="none" w:sz="0" w:space="0" w:color="auto"/>
      </w:divBdr>
    </w:div>
    <w:div w:id="1284077035">
      <w:bodyDiv w:val="1"/>
      <w:marLeft w:val="0"/>
      <w:marRight w:val="0"/>
      <w:marTop w:val="0"/>
      <w:marBottom w:val="0"/>
      <w:divBdr>
        <w:top w:val="none" w:sz="0" w:space="0" w:color="auto"/>
        <w:left w:val="none" w:sz="0" w:space="0" w:color="auto"/>
        <w:bottom w:val="none" w:sz="0" w:space="0" w:color="auto"/>
        <w:right w:val="none" w:sz="0" w:space="0" w:color="auto"/>
      </w:divBdr>
    </w:div>
    <w:div w:id="1288463945">
      <w:bodyDiv w:val="1"/>
      <w:marLeft w:val="0"/>
      <w:marRight w:val="0"/>
      <w:marTop w:val="0"/>
      <w:marBottom w:val="0"/>
      <w:divBdr>
        <w:top w:val="none" w:sz="0" w:space="0" w:color="auto"/>
        <w:left w:val="none" w:sz="0" w:space="0" w:color="auto"/>
        <w:bottom w:val="none" w:sz="0" w:space="0" w:color="auto"/>
        <w:right w:val="none" w:sz="0" w:space="0" w:color="auto"/>
      </w:divBdr>
      <w:divsChild>
        <w:div w:id="2063671053">
          <w:marLeft w:val="0"/>
          <w:marRight w:val="0"/>
          <w:marTop w:val="0"/>
          <w:marBottom w:val="0"/>
          <w:divBdr>
            <w:top w:val="none" w:sz="0" w:space="0" w:color="auto"/>
            <w:left w:val="none" w:sz="0" w:space="0" w:color="auto"/>
            <w:bottom w:val="none" w:sz="0" w:space="0" w:color="auto"/>
            <w:right w:val="none" w:sz="0" w:space="0" w:color="auto"/>
          </w:divBdr>
        </w:div>
      </w:divsChild>
    </w:div>
    <w:div w:id="1289125688">
      <w:bodyDiv w:val="1"/>
      <w:marLeft w:val="0"/>
      <w:marRight w:val="0"/>
      <w:marTop w:val="0"/>
      <w:marBottom w:val="0"/>
      <w:divBdr>
        <w:top w:val="none" w:sz="0" w:space="0" w:color="auto"/>
        <w:left w:val="none" w:sz="0" w:space="0" w:color="auto"/>
        <w:bottom w:val="none" w:sz="0" w:space="0" w:color="auto"/>
        <w:right w:val="none" w:sz="0" w:space="0" w:color="auto"/>
      </w:divBdr>
      <w:divsChild>
        <w:div w:id="49159617">
          <w:marLeft w:val="0"/>
          <w:marRight w:val="0"/>
          <w:marTop w:val="0"/>
          <w:marBottom w:val="0"/>
          <w:divBdr>
            <w:top w:val="none" w:sz="0" w:space="0" w:color="auto"/>
            <w:left w:val="none" w:sz="0" w:space="0" w:color="auto"/>
            <w:bottom w:val="none" w:sz="0" w:space="0" w:color="auto"/>
            <w:right w:val="none" w:sz="0" w:space="0" w:color="auto"/>
          </w:divBdr>
          <w:divsChild>
            <w:div w:id="1901475120">
              <w:marLeft w:val="0"/>
              <w:marRight w:val="0"/>
              <w:marTop w:val="0"/>
              <w:marBottom w:val="0"/>
              <w:divBdr>
                <w:top w:val="none" w:sz="0" w:space="0" w:color="auto"/>
                <w:left w:val="none" w:sz="0" w:space="0" w:color="auto"/>
                <w:bottom w:val="none" w:sz="0" w:space="0" w:color="auto"/>
                <w:right w:val="none" w:sz="0" w:space="0" w:color="auto"/>
              </w:divBdr>
            </w:div>
          </w:divsChild>
        </w:div>
        <w:div w:id="96298236">
          <w:marLeft w:val="0"/>
          <w:marRight w:val="0"/>
          <w:marTop w:val="0"/>
          <w:marBottom w:val="0"/>
          <w:divBdr>
            <w:top w:val="none" w:sz="0" w:space="0" w:color="auto"/>
            <w:left w:val="none" w:sz="0" w:space="0" w:color="auto"/>
            <w:bottom w:val="none" w:sz="0" w:space="0" w:color="auto"/>
            <w:right w:val="none" w:sz="0" w:space="0" w:color="auto"/>
          </w:divBdr>
          <w:divsChild>
            <w:div w:id="481776225">
              <w:marLeft w:val="0"/>
              <w:marRight w:val="0"/>
              <w:marTop w:val="0"/>
              <w:marBottom w:val="0"/>
              <w:divBdr>
                <w:top w:val="none" w:sz="0" w:space="0" w:color="auto"/>
                <w:left w:val="none" w:sz="0" w:space="0" w:color="auto"/>
                <w:bottom w:val="none" w:sz="0" w:space="0" w:color="auto"/>
                <w:right w:val="none" w:sz="0" w:space="0" w:color="auto"/>
              </w:divBdr>
            </w:div>
          </w:divsChild>
        </w:div>
        <w:div w:id="102462477">
          <w:marLeft w:val="0"/>
          <w:marRight w:val="0"/>
          <w:marTop w:val="0"/>
          <w:marBottom w:val="0"/>
          <w:divBdr>
            <w:top w:val="none" w:sz="0" w:space="0" w:color="auto"/>
            <w:left w:val="none" w:sz="0" w:space="0" w:color="auto"/>
            <w:bottom w:val="none" w:sz="0" w:space="0" w:color="auto"/>
            <w:right w:val="none" w:sz="0" w:space="0" w:color="auto"/>
          </w:divBdr>
          <w:divsChild>
            <w:div w:id="691686419">
              <w:marLeft w:val="0"/>
              <w:marRight w:val="0"/>
              <w:marTop w:val="0"/>
              <w:marBottom w:val="0"/>
              <w:divBdr>
                <w:top w:val="none" w:sz="0" w:space="0" w:color="auto"/>
                <w:left w:val="none" w:sz="0" w:space="0" w:color="auto"/>
                <w:bottom w:val="none" w:sz="0" w:space="0" w:color="auto"/>
                <w:right w:val="none" w:sz="0" w:space="0" w:color="auto"/>
              </w:divBdr>
            </w:div>
          </w:divsChild>
        </w:div>
        <w:div w:id="781191024">
          <w:marLeft w:val="0"/>
          <w:marRight w:val="0"/>
          <w:marTop w:val="0"/>
          <w:marBottom w:val="0"/>
          <w:divBdr>
            <w:top w:val="none" w:sz="0" w:space="0" w:color="auto"/>
            <w:left w:val="none" w:sz="0" w:space="0" w:color="auto"/>
            <w:bottom w:val="none" w:sz="0" w:space="0" w:color="auto"/>
            <w:right w:val="none" w:sz="0" w:space="0" w:color="auto"/>
          </w:divBdr>
          <w:divsChild>
            <w:div w:id="127168681">
              <w:marLeft w:val="0"/>
              <w:marRight w:val="0"/>
              <w:marTop w:val="0"/>
              <w:marBottom w:val="0"/>
              <w:divBdr>
                <w:top w:val="none" w:sz="0" w:space="0" w:color="auto"/>
                <w:left w:val="none" w:sz="0" w:space="0" w:color="auto"/>
                <w:bottom w:val="none" w:sz="0" w:space="0" w:color="auto"/>
                <w:right w:val="none" w:sz="0" w:space="0" w:color="auto"/>
              </w:divBdr>
            </w:div>
            <w:div w:id="612901313">
              <w:marLeft w:val="0"/>
              <w:marRight w:val="0"/>
              <w:marTop w:val="0"/>
              <w:marBottom w:val="0"/>
              <w:divBdr>
                <w:top w:val="none" w:sz="0" w:space="0" w:color="auto"/>
                <w:left w:val="none" w:sz="0" w:space="0" w:color="auto"/>
                <w:bottom w:val="none" w:sz="0" w:space="0" w:color="auto"/>
                <w:right w:val="none" w:sz="0" w:space="0" w:color="auto"/>
              </w:divBdr>
            </w:div>
            <w:div w:id="1281453828">
              <w:marLeft w:val="0"/>
              <w:marRight w:val="0"/>
              <w:marTop w:val="0"/>
              <w:marBottom w:val="0"/>
              <w:divBdr>
                <w:top w:val="none" w:sz="0" w:space="0" w:color="auto"/>
                <w:left w:val="none" w:sz="0" w:space="0" w:color="auto"/>
                <w:bottom w:val="none" w:sz="0" w:space="0" w:color="auto"/>
                <w:right w:val="none" w:sz="0" w:space="0" w:color="auto"/>
              </w:divBdr>
            </w:div>
          </w:divsChild>
        </w:div>
        <w:div w:id="835800502">
          <w:marLeft w:val="0"/>
          <w:marRight w:val="0"/>
          <w:marTop w:val="0"/>
          <w:marBottom w:val="0"/>
          <w:divBdr>
            <w:top w:val="none" w:sz="0" w:space="0" w:color="auto"/>
            <w:left w:val="none" w:sz="0" w:space="0" w:color="auto"/>
            <w:bottom w:val="none" w:sz="0" w:space="0" w:color="auto"/>
            <w:right w:val="none" w:sz="0" w:space="0" w:color="auto"/>
          </w:divBdr>
          <w:divsChild>
            <w:div w:id="1528903625">
              <w:marLeft w:val="0"/>
              <w:marRight w:val="0"/>
              <w:marTop w:val="0"/>
              <w:marBottom w:val="0"/>
              <w:divBdr>
                <w:top w:val="none" w:sz="0" w:space="0" w:color="auto"/>
                <w:left w:val="none" w:sz="0" w:space="0" w:color="auto"/>
                <w:bottom w:val="none" w:sz="0" w:space="0" w:color="auto"/>
                <w:right w:val="none" w:sz="0" w:space="0" w:color="auto"/>
              </w:divBdr>
            </w:div>
          </w:divsChild>
        </w:div>
        <w:div w:id="864055032">
          <w:marLeft w:val="0"/>
          <w:marRight w:val="0"/>
          <w:marTop w:val="0"/>
          <w:marBottom w:val="0"/>
          <w:divBdr>
            <w:top w:val="none" w:sz="0" w:space="0" w:color="auto"/>
            <w:left w:val="none" w:sz="0" w:space="0" w:color="auto"/>
            <w:bottom w:val="none" w:sz="0" w:space="0" w:color="auto"/>
            <w:right w:val="none" w:sz="0" w:space="0" w:color="auto"/>
          </w:divBdr>
          <w:divsChild>
            <w:div w:id="365909653">
              <w:marLeft w:val="0"/>
              <w:marRight w:val="0"/>
              <w:marTop w:val="0"/>
              <w:marBottom w:val="0"/>
              <w:divBdr>
                <w:top w:val="none" w:sz="0" w:space="0" w:color="auto"/>
                <w:left w:val="none" w:sz="0" w:space="0" w:color="auto"/>
                <w:bottom w:val="none" w:sz="0" w:space="0" w:color="auto"/>
                <w:right w:val="none" w:sz="0" w:space="0" w:color="auto"/>
              </w:divBdr>
            </w:div>
          </w:divsChild>
        </w:div>
        <w:div w:id="1270232832">
          <w:marLeft w:val="0"/>
          <w:marRight w:val="0"/>
          <w:marTop w:val="0"/>
          <w:marBottom w:val="0"/>
          <w:divBdr>
            <w:top w:val="none" w:sz="0" w:space="0" w:color="auto"/>
            <w:left w:val="none" w:sz="0" w:space="0" w:color="auto"/>
            <w:bottom w:val="none" w:sz="0" w:space="0" w:color="auto"/>
            <w:right w:val="none" w:sz="0" w:space="0" w:color="auto"/>
          </w:divBdr>
          <w:divsChild>
            <w:div w:id="128477991">
              <w:marLeft w:val="0"/>
              <w:marRight w:val="0"/>
              <w:marTop w:val="0"/>
              <w:marBottom w:val="0"/>
              <w:divBdr>
                <w:top w:val="none" w:sz="0" w:space="0" w:color="auto"/>
                <w:left w:val="none" w:sz="0" w:space="0" w:color="auto"/>
                <w:bottom w:val="none" w:sz="0" w:space="0" w:color="auto"/>
                <w:right w:val="none" w:sz="0" w:space="0" w:color="auto"/>
              </w:divBdr>
            </w:div>
            <w:div w:id="527836933">
              <w:marLeft w:val="0"/>
              <w:marRight w:val="0"/>
              <w:marTop w:val="0"/>
              <w:marBottom w:val="0"/>
              <w:divBdr>
                <w:top w:val="none" w:sz="0" w:space="0" w:color="auto"/>
                <w:left w:val="none" w:sz="0" w:space="0" w:color="auto"/>
                <w:bottom w:val="none" w:sz="0" w:space="0" w:color="auto"/>
                <w:right w:val="none" w:sz="0" w:space="0" w:color="auto"/>
              </w:divBdr>
            </w:div>
            <w:div w:id="1504122415">
              <w:marLeft w:val="0"/>
              <w:marRight w:val="0"/>
              <w:marTop w:val="0"/>
              <w:marBottom w:val="0"/>
              <w:divBdr>
                <w:top w:val="none" w:sz="0" w:space="0" w:color="auto"/>
                <w:left w:val="none" w:sz="0" w:space="0" w:color="auto"/>
                <w:bottom w:val="none" w:sz="0" w:space="0" w:color="auto"/>
                <w:right w:val="none" w:sz="0" w:space="0" w:color="auto"/>
              </w:divBdr>
            </w:div>
            <w:div w:id="2021855875">
              <w:marLeft w:val="0"/>
              <w:marRight w:val="0"/>
              <w:marTop w:val="0"/>
              <w:marBottom w:val="0"/>
              <w:divBdr>
                <w:top w:val="none" w:sz="0" w:space="0" w:color="auto"/>
                <w:left w:val="none" w:sz="0" w:space="0" w:color="auto"/>
                <w:bottom w:val="none" w:sz="0" w:space="0" w:color="auto"/>
                <w:right w:val="none" w:sz="0" w:space="0" w:color="auto"/>
              </w:divBdr>
            </w:div>
          </w:divsChild>
        </w:div>
        <w:div w:id="1889951875">
          <w:marLeft w:val="0"/>
          <w:marRight w:val="0"/>
          <w:marTop w:val="0"/>
          <w:marBottom w:val="0"/>
          <w:divBdr>
            <w:top w:val="none" w:sz="0" w:space="0" w:color="auto"/>
            <w:left w:val="none" w:sz="0" w:space="0" w:color="auto"/>
            <w:bottom w:val="none" w:sz="0" w:space="0" w:color="auto"/>
            <w:right w:val="none" w:sz="0" w:space="0" w:color="auto"/>
          </w:divBdr>
          <w:divsChild>
            <w:div w:id="208418184">
              <w:marLeft w:val="0"/>
              <w:marRight w:val="0"/>
              <w:marTop w:val="0"/>
              <w:marBottom w:val="0"/>
              <w:divBdr>
                <w:top w:val="none" w:sz="0" w:space="0" w:color="auto"/>
                <w:left w:val="none" w:sz="0" w:space="0" w:color="auto"/>
                <w:bottom w:val="none" w:sz="0" w:space="0" w:color="auto"/>
                <w:right w:val="none" w:sz="0" w:space="0" w:color="auto"/>
              </w:divBdr>
            </w:div>
            <w:div w:id="575357698">
              <w:marLeft w:val="0"/>
              <w:marRight w:val="0"/>
              <w:marTop w:val="0"/>
              <w:marBottom w:val="0"/>
              <w:divBdr>
                <w:top w:val="none" w:sz="0" w:space="0" w:color="auto"/>
                <w:left w:val="none" w:sz="0" w:space="0" w:color="auto"/>
                <w:bottom w:val="none" w:sz="0" w:space="0" w:color="auto"/>
                <w:right w:val="none" w:sz="0" w:space="0" w:color="auto"/>
              </w:divBdr>
            </w:div>
            <w:div w:id="763455100">
              <w:marLeft w:val="0"/>
              <w:marRight w:val="0"/>
              <w:marTop w:val="0"/>
              <w:marBottom w:val="0"/>
              <w:divBdr>
                <w:top w:val="none" w:sz="0" w:space="0" w:color="auto"/>
                <w:left w:val="none" w:sz="0" w:space="0" w:color="auto"/>
                <w:bottom w:val="none" w:sz="0" w:space="0" w:color="auto"/>
                <w:right w:val="none" w:sz="0" w:space="0" w:color="auto"/>
              </w:divBdr>
            </w:div>
            <w:div w:id="828135710">
              <w:marLeft w:val="0"/>
              <w:marRight w:val="0"/>
              <w:marTop w:val="0"/>
              <w:marBottom w:val="0"/>
              <w:divBdr>
                <w:top w:val="none" w:sz="0" w:space="0" w:color="auto"/>
                <w:left w:val="none" w:sz="0" w:space="0" w:color="auto"/>
                <w:bottom w:val="none" w:sz="0" w:space="0" w:color="auto"/>
                <w:right w:val="none" w:sz="0" w:space="0" w:color="auto"/>
              </w:divBdr>
            </w:div>
            <w:div w:id="959648567">
              <w:marLeft w:val="0"/>
              <w:marRight w:val="0"/>
              <w:marTop w:val="0"/>
              <w:marBottom w:val="0"/>
              <w:divBdr>
                <w:top w:val="none" w:sz="0" w:space="0" w:color="auto"/>
                <w:left w:val="none" w:sz="0" w:space="0" w:color="auto"/>
                <w:bottom w:val="none" w:sz="0" w:space="0" w:color="auto"/>
                <w:right w:val="none" w:sz="0" w:space="0" w:color="auto"/>
              </w:divBdr>
            </w:div>
            <w:div w:id="964383665">
              <w:marLeft w:val="0"/>
              <w:marRight w:val="0"/>
              <w:marTop w:val="0"/>
              <w:marBottom w:val="0"/>
              <w:divBdr>
                <w:top w:val="none" w:sz="0" w:space="0" w:color="auto"/>
                <w:left w:val="none" w:sz="0" w:space="0" w:color="auto"/>
                <w:bottom w:val="none" w:sz="0" w:space="0" w:color="auto"/>
                <w:right w:val="none" w:sz="0" w:space="0" w:color="auto"/>
              </w:divBdr>
            </w:div>
            <w:div w:id="1079136191">
              <w:marLeft w:val="0"/>
              <w:marRight w:val="0"/>
              <w:marTop w:val="0"/>
              <w:marBottom w:val="0"/>
              <w:divBdr>
                <w:top w:val="none" w:sz="0" w:space="0" w:color="auto"/>
                <w:left w:val="none" w:sz="0" w:space="0" w:color="auto"/>
                <w:bottom w:val="none" w:sz="0" w:space="0" w:color="auto"/>
                <w:right w:val="none" w:sz="0" w:space="0" w:color="auto"/>
              </w:divBdr>
            </w:div>
            <w:div w:id="1370717126">
              <w:marLeft w:val="0"/>
              <w:marRight w:val="0"/>
              <w:marTop w:val="0"/>
              <w:marBottom w:val="0"/>
              <w:divBdr>
                <w:top w:val="none" w:sz="0" w:space="0" w:color="auto"/>
                <w:left w:val="none" w:sz="0" w:space="0" w:color="auto"/>
                <w:bottom w:val="none" w:sz="0" w:space="0" w:color="auto"/>
                <w:right w:val="none" w:sz="0" w:space="0" w:color="auto"/>
              </w:divBdr>
            </w:div>
            <w:div w:id="2101483196">
              <w:marLeft w:val="0"/>
              <w:marRight w:val="0"/>
              <w:marTop w:val="0"/>
              <w:marBottom w:val="0"/>
              <w:divBdr>
                <w:top w:val="none" w:sz="0" w:space="0" w:color="auto"/>
                <w:left w:val="none" w:sz="0" w:space="0" w:color="auto"/>
                <w:bottom w:val="none" w:sz="0" w:space="0" w:color="auto"/>
                <w:right w:val="none" w:sz="0" w:space="0" w:color="auto"/>
              </w:divBdr>
            </w:div>
          </w:divsChild>
        </w:div>
        <w:div w:id="1940719824">
          <w:marLeft w:val="0"/>
          <w:marRight w:val="0"/>
          <w:marTop w:val="0"/>
          <w:marBottom w:val="0"/>
          <w:divBdr>
            <w:top w:val="none" w:sz="0" w:space="0" w:color="auto"/>
            <w:left w:val="none" w:sz="0" w:space="0" w:color="auto"/>
            <w:bottom w:val="none" w:sz="0" w:space="0" w:color="auto"/>
            <w:right w:val="none" w:sz="0" w:space="0" w:color="auto"/>
          </w:divBdr>
          <w:divsChild>
            <w:div w:id="1164855341">
              <w:marLeft w:val="0"/>
              <w:marRight w:val="0"/>
              <w:marTop w:val="0"/>
              <w:marBottom w:val="0"/>
              <w:divBdr>
                <w:top w:val="none" w:sz="0" w:space="0" w:color="auto"/>
                <w:left w:val="none" w:sz="0" w:space="0" w:color="auto"/>
                <w:bottom w:val="none" w:sz="0" w:space="0" w:color="auto"/>
                <w:right w:val="none" w:sz="0" w:space="0" w:color="auto"/>
              </w:divBdr>
            </w:div>
          </w:divsChild>
        </w:div>
        <w:div w:id="2101563915">
          <w:marLeft w:val="0"/>
          <w:marRight w:val="0"/>
          <w:marTop w:val="0"/>
          <w:marBottom w:val="0"/>
          <w:divBdr>
            <w:top w:val="none" w:sz="0" w:space="0" w:color="auto"/>
            <w:left w:val="none" w:sz="0" w:space="0" w:color="auto"/>
            <w:bottom w:val="none" w:sz="0" w:space="0" w:color="auto"/>
            <w:right w:val="none" w:sz="0" w:space="0" w:color="auto"/>
          </w:divBdr>
          <w:divsChild>
            <w:div w:id="185665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618775">
      <w:bodyDiv w:val="1"/>
      <w:marLeft w:val="0"/>
      <w:marRight w:val="0"/>
      <w:marTop w:val="0"/>
      <w:marBottom w:val="0"/>
      <w:divBdr>
        <w:top w:val="none" w:sz="0" w:space="0" w:color="auto"/>
        <w:left w:val="none" w:sz="0" w:space="0" w:color="auto"/>
        <w:bottom w:val="none" w:sz="0" w:space="0" w:color="auto"/>
        <w:right w:val="none" w:sz="0" w:space="0" w:color="auto"/>
      </w:divBdr>
    </w:div>
    <w:div w:id="1302227120">
      <w:bodyDiv w:val="1"/>
      <w:marLeft w:val="0"/>
      <w:marRight w:val="0"/>
      <w:marTop w:val="0"/>
      <w:marBottom w:val="0"/>
      <w:divBdr>
        <w:top w:val="none" w:sz="0" w:space="0" w:color="auto"/>
        <w:left w:val="none" w:sz="0" w:space="0" w:color="auto"/>
        <w:bottom w:val="none" w:sz="0" w:space="0" w:color="auto"/>
        <w:right w:val="none" w:sz="0" w:space="0" w:color="auto"/>
      </w:divBdr>
      <w:divsChild>
        <w:div w:id="1813715755">
          <w:blockQuote w:val="1"/>
          <w:marLeft w:val="720"/>
          <w:marRight w:val="720"/>
          <w:marTop w:val="0"/>
          <w:marBottom w:val="0"/>
          <w:divBdr>
            <w:top w:val="none" w:sz="0" w:space="0" w:color="auto"/>
            <w:left w:val="none" w:sz="0" w:space="0" w:color="auto"/>
            <w:bottom w:val="none" w:sz="0" w:space="0" w:color="auto"/>
            <w:right w:val="none" w:sz="0" w:space="0" w:color="auto"/>
          </w:divBdr>
        </w:div>
      </w:divsChild>
    </w:div>
    <w:div w:id="1311404416">
      <w:bodyDiv w:val="1"/>
      <w:marLeft w:val="0"/>
      <w:marRight w:val="0"/>
      <w:marTop w:val="0"/>
      <w:marBottom w:val="0"/>
      <w:divBdr>
        <w:top w:val="none" w:sz="0" w:space="0" w:color="auto"/>
        <w:left w:val="none" w:sz="0" w:space="0" w:color="auto"/>
        <w:bottom w:val="none" w:sz="0" w:space="0" w:color="auto"/>
        <w:right w:val="none" w:sz="0" w:space="0" w:color="auto"/>
      </w:divBdr>
    </w:div>
    <w:div w:id="1320579414">
      <w:bodyDiv w:val="1"/>
      <w:marLeft w:val="0"/>
      <w:marRight w:val="0"/>
      <w:marTop w:val="0"/>
      <w:marBottom w:val="0"/>
      <w:divBdr>
        <w:top w:val="none" w:sz="0" w:space="0" w:color="auto"/>
        <w:left w:val="none" w:sz="0" w:space="0" w:color="auto"/>
        <w:bottom w:val="none" w:sz="0" w:space="0" w:color="auto"/>
        <w:right w:val="none" w:sz="0" w:space="0" w:color="auto"/>
      </w:divBdr>
    </w:div>
    <w:div w:id="1350987496">
      <w:bodyDiv w:val="1"/>
      <w:marLeft w:val="0"/>
      <w:marRight w:val="0"/>
      <w:marTop w:val="0"/>
      <w:marBottom w:val="0"/>
      <w:divBdr>
        <w:top w:val="none" w:sz="0" w:space="0" w:color="auto"/>
        <w:left w:val="none" w:sz="0" w:space="0" w:color="auto"/>
        <w:bottom w:val="none" w:sz="0" w:space="0" w:color="auto"/>
        <w:right w:val="none" w:sz="0" w:space="0" w:color="auto"/>
      </w:divBdr>
    </w:div>
    <w:div w:id="1351250732">
      <w:bodyDiv w:val="1"/>
      <w:marLeft w:val="0"/>
      <w:marRight w:val="0"/>
      <w:marTop w:val="0"/>
      <w:marBottom w:val="0"/>
      <w:divBdr>
        <w:top w:val="none" w:sz="0" w:space="0" w:color="auto"/>
        <w:left w:val="none" w:sz="0" w:space="0" w:color="auto"/>
        <w:bottom w:val="none" w:sz="0" w:space="0" w:color="auto"/>
        <w:right w:val="none" w:sz="0" w:space="0" w:color="auto"/>
      </w:divBdr>
    </w:div>
    <w:div w:id="1358628171">
      <w:bodyDiv w:val="1"/>
      <w:marLeft w:val="0"/>
      <w:marRight w:val="0"/>
      <w:marTop w:val="0"/>
      <w:marBottom w:val="0"/>
      <w:divBdr>
        <w:top w:val="none" w:sz="0" w:space="0" w:color="auto"/>
        <w:left w:val="none" w:sz="0" w:space="0" w:color="auto"/>
        <w:bottom w:val="none" w:sz="0" w:space="0" w:color="auto"/>
        <w:right w:val="none" w:sz="0" w:space="0" w:color="auto"/>
      </w:divBdr>
    </w:div>
    <w:div w:id="1360397032">
      <w:bodyDiv w:val="1"/>
      <w:marLeft w:val="0"/>
      <w:marRight w:val="0"/>
      <w:marTop w:val="0"/>
      <w:marBottom w:val="0"/>
      <w:divBdr>
        <w:top w:val="none" w:sz="0" w:space="0" w:color="auto"/>
        <w:left w:val="none" w:sz="0" w:space="0" w:color="auto"/>
        <w:bottom w:val="none" w:sz="0" w:space="0" w:color="auto"/>
        <w:right w:val="none" w:sz="0" w:space="0" w:color="auto"/>
      </w:divBdr>
    </w:div>
    <w:div w:id="1377585272">
      <w:bodyDiv w:val="1"/>
      <w:marLeft w:val="0"/>
      <w:marRight w:val="0"/>
      <w:marTop w:val="0"/>
      <w:marBottom w:val="0"/>
      <w:divBdr>
        <w:top w:val="none" w:sz="0" w:space="0" w:color="auto"/>
        <w:left w:val="none" w:sz="0" w:space="0" w:color="auto"/>
        <w:bottom w:val="none" w:sz="0" w:space="0" w:color="auto"/>
        <w:right w:val="none" w:sz="0" w:space="0" w:color="auto"/>
      </w:divBdr>
      <w:divsChild>
        <w:div w:id="16122747">
          <w:marLeft w:val="0"/>
          <w:marRight w:val="0"/>
          <w:marTop w:val="0"/>
          <w:marBottom w:val="0"/>
          <w:divBdr>
            <w:top w:val="none" w:sz="0" w:space="0" w:color="auto"/>
            <w:left w:val="none" w:sz="0" w:space="0" w:color="auto"/>
            <w:bottom w:val="none" w:sz="0" w:space="0" w:color="auto"/>
            <w:right w:val="none" w:sz="0" w:space="0" w:color="auto"/>
          </w:divBdr>
          <w:divsChild>
            <w:div w:id="150875402">
              <w:marLeft w:val="0"/>
              <w:marRight w:val="0"/>
              <w:marTop w:val="0"/>
              <w:marBottom w:val="0"/>
              <w:divBdr>
                <w:top w:val="none" w:sz="0" w:space="0" w:color="auto"/>
                <w:left w:val="none" w:sz="0" w:space="0" w:color="auto"/>
                <w:bottom w:val="none" w:sz="0" w:space="0" w:color="auto"/>
                <w:right w:val="none" w:sz="0" w:space="0" w:color="auto"/>
              </w:divBdr>
            </w:div>
            <w:div w:id="1710295695">
              <w:marLeft w:val="0"/>
              <w:marRight w:val="0"/>
              <w:marTop w:val="0"/>
              <w:marBottom w:val="0"/>
              <w:divBdr>
                <w:top w:val="none" w:sz="0" w:space="0" w:color="auto"/>
                <w:left w:val="none" w:sz="0" w:space="0" w:color="auto"/>
                <w:bottom w:val="none" w:sz="0" w:space="0" w:color="auto"/>
                <w:right w:val="none" w:sz="0" w:space="0" w:color="auto"/>
              </w:divBdr>
            </w:div>
          </w:divsChild>
        </w:div>
        <w:div w:id="233394904">
          <w:marLeft w:val="0"/>
          <w:marRight w:val="0"/>
          <w:marTop w:val="0"/>
          <w:marBottom w:val="0"/>
          <w:divBdr>
            <w:top w:val="none" w:sz="0" w:space="0" w:color="auto"/>
            <w:left w:val="none" w:sz="0" w:space="0" w:color="auto"/>
            <w:bottom w:val="none" w:sz="0" w:space="0" w:color="auto"/>
            <w:right w:val="none" w:sz="0" w:space="0" w:color="auto"/>
          </w:divBdr>
          <w:divsChild>
            <w:div w:id="677119107">
              <w:marLeft w:val="0"/>
              <w:marRight w:val="0"/>
              <w:marTop w:val="0"/>
              <w:marBottom w:val="0"/>
              <w:divBdr>
                <w:top w:val="none" w:sz="0" w:space="0" w:color="auto"/>
                <w:left w:val="none" w:sz="0" w:space="0" w:color="auto"/>
                <w:bottom w:val="none" w:sz="0" w:space="0" w:color="auto"/>
                <w:right w:val="none" w:sz="0" w:space="0" w:color="auto"/>
              </w:divBdr>
            </w:div>
            <w:div w:id="686640404">
              <w:marLeft w:val="0"/>
              <w:marRight w:val="0"/>
              <w:marTop w:val="0"/>
              <w:marBottom w:val="0"/>
              <w:divBdr>
                <w:top w:val="none" w:sz="0" w:space="0" w:color="auto"/>
                <w:left w:val="none" w:sz="0" w:space="0" w:color="auto"/>
                <w:bottom w:val="none" w:sz="0" w:space="0" w:color="auto"/>
                <w:right w:val="none" w:sz="0" w:space="0" w:color="auto"/>
              </w:divBdr>
            </w:div>
          </w:divsChild>
        </w:div>
        <w:div w:id="243148135">
          <w:marLeft w:val="0"/>
          <w:marRight w:val="0"/>
          <w:marTop w:val="0"/>
          <w:marBottom w:val="0"/>
          <w:divBdr>
            <w:top w:val="none" w:sz="0" w:space="0" w:color="auto"/>
            <w:left w:val="none" w:sz="0" w:space="0" w:color="auto"/>
            <w:bottom w:val="none" w:sz="0" w:space="0" w:color="auto"/>
            <w:right w:val="none" w:sz="0" w:space="0" w:color="auto"/>
          </w:divBdr>
          <w:divsChild>
            <w:div w:id="887882379">
              <w:marLeft w:val="0"/>
              <w:marRight w:val="0"/>
              <w:marTop w:val="0"/>
              <w:marBottom w:val="0"/>
              <w:divBdr>
                <w:top w:val="none" w:sz="0" w:space="0" w:color="auto"/>
                <w:left w:val="none" w:sz="0" w:space="0" w:color="auto"/>
                <w:bottom w:val="none" w:sz="0" w:space="0" w:color="auto"/>
                <w:right w:val="none" w:sz="0" w:space="0" w:color="auto"/>
              </w:divBdr>
            </w:div>
            <w:div w:id="991642424">
              <w:marLeft w:val="0"/>
              <w:marRight w:val="0"/>
              <w:marTop w:val="0"/>
              <w:marBottom w:val="0"/>
              <w:divBdr>
                <w:top w:val="none" w:sz="0" w:space="0" w:color="auto"/>
                <w:left w:val="none" w:sz="0" w:space="0" w:color="auto"/>
                <w:bottom w:val="none" w:sz="0" w:space="0" w:color="auto"/>
                <w:right w:val="none" w:sz="0" w:space="0" w:color="auto"/>
              </w:divBdr>
            </w:div>
            <w:div w:id="1684938432">
              <w:marLeft w:val="0"/>
              <w:marRight w:val="0"/>
              <w:marTop w:val="0"/>
              <w:marBottom w:val="0"/>
              <w:divBdr>
                <w:top w:val="none" w:sz="0" w:space="0" w:color="auto"/>
                <w:left w:val="none" w:sz="0" w:space="0" w:color="auto"/>
                <w:bottom w:val="none" w:sz="0" w:space="0" w:color="auto"/>
                <w:right w:val="none" w:sz="0" w:space="0" w:color="auto"/>
              </w:divBdr>
            </w:div>
          </w:divsChild>
        </w:div>
        <w:div w:id="387340924">
          <w:marLeft w:val="0"/>
          <w:marRight w:val="0"/>
          <w:marTop w:val="0"/>
          <w:marBottom w:val="0"/>
          <w:divBdr>
            <w:top w:val="none" w:sz="0" w:space="0" w:color="auto"/>
            <w:left w:val="none" w:sz="0" w:space="0" w:color="auto"/>
            <w:bottom w:val="none" w:sz="0" w:space="0" w:color="auto"/>
            <w:right w:val="none" w:sz="0" w:space="0" w:color="auto"/>
          </w:divBdr>
          <w:divsChild>
            <w:div w:id="395125047">
              <w:marLeft w:val="0"/>
              <w:marRight w:val="0"/>
              <w:marTop w:val="0"/>
              <w:marBottom w:val="0"/>
              <w:divBdr>
                <w:top w:val="none" w:sz="0" w:space="0" w:color="auto"/>
                <w:left w:val="none" w:sz="0" w:space="0" w:color="auto"/>
                <w:bottom w:val="none" w:sz="0" w:space="0" w:color="auto"/>
                <w:right w:val="none" w:sz="0" w:space="0" w:color="auto"/>
              </w:divBdr>
            </w:div>
            <w:div w:id="998852454">
              <w:marLeft w:val="0"/>
              <w:marRight w:val="0"/>
              <w:marTop w:val="0"/>
              <w:marBottom w:val="0"/>
              <w:divBdr>
                <w:top w:val="none" w:sz="0" w:space="0" w:color="auto"/>
                <w:left w:val="none" w:sz="0" w:space="0" w:color="auto"/>
                <w:bottom w:val="none" w:sz="0" w:space="0" w:color="auto"/>
                <w:right w:val="none" w:sz="0" w:space="0" w:color="auto"/>
              </w:divBdr>
            </w:div>
            <w:div w:id="1114326011">
              <w:marLeft w:val="0"/>
              <w:marRight w:val="0"/>
              <w:marTop w:val="0"/>
              <w:marBottom w:val="0"/>
              <w:divBdr>
                <w:top w:val="none" w:sz="0" w:space="0" w:color="auto"/>
                <w:left w:val="none" w:sz="0" w:space="0" w:color="auto"/>
                <w:bottom w:val="none" w:sz="0" w:space="0" w:color="auto"/>
                <w:right w:val="none" w:sz="0" w:space="0" w:color="auto"/>
              </w:divBdr>
            </w:div>
          </w:divsChild>
        </w:div>
        <w:div w:id="544025659">
          <w:marLeft w:val="0"/>
          <w:marRight w:val="0"/>
          <w:marTop w:val="0"/>
          <w:marBottom w:val="0"/>
          <w:divBdr>
            <w:top w:val="none" w:sz="0" w:space="0" w:color="auto"/>
            <w:left w:val="none" w:sz="0" w:space="0" w:color="auto"/>
            <w:bottom w:val="none" w:sz="0" w:space="0" w:color="auto"/>
            <w:right w:val="none" w:sz="0" w:space="0" w:color="auto"/>
          </w:divBdr>
          <w:divsChild>
            <w:div w:id="952320276">
              <w:marLeft w:val="0"/>
              <w:marRight w:val="0"/>
              <w:marTop w:val="0"/>
              <w:marBottom w:val="0"/>
              <w:divBdr>
                <w:top w:val="none" w:sz="0" w:space="0" w:color="auto"/>
                <w:left w:val="none" w:sz="0" w:space="0" w:color="auto"/>
                <w:bottom w:val="none" w:sz="0" w:space="0" w:color="auto"/>
                <w:right w:val="none" w:sz="0" w:space="0" w:color="auto"/>
              </w:divBdr>
            </w:div>
            <w:div w:id="1226838665">
              <w:marLeft w:val="0"/>
              <w:marRight w:val="0"/>
              <w:marTop w:val="0"/>
              <w:marBottom w:val="0"/>
              <w:divBdr>
                <w:top w:val="none" w:sz="0" w:space="0" w:color="auto"/>
                <w:left w:val="none" w:sz="0" w:space="0" w:color="auto"/>
                <w:bottom w:val="none" w:sz="0" w:space="0" w:color="auto"/>
                <w:right w:val="none" w:sz="0" w:space="0" w:color="auto"/>
              </w:divBdr>
            </w:div>
          </w:divsChild>
        </w:div>
        <w:div w:id="842620744">
          <w:marLeft w:val="0"/>
          <w:marRight w:val="0"/>
          <w:marTop w:val="0"/>
          <w:marBottom w:val="0"/>
          <w:divBdr>
            <w:top w:val="none" w:sz="0" w:space="0" w:color="auto"/>
            <w:left w:val="none" w:sz="0" w:space="0" w:color="auto"/>
            <w:bottom w:val="none" w:sz="0" w:space="0" w:color="auto"/>
            <w:right w:val="none" w:sz="0" w:space="0" w:color="auto"/>
          </w:divBdr>
          <w:divsChild>
            <w:div w:id="280263201">
              <w:marLeft w:val="0"/>
              <w:marRight w:val="0"/>
              <w:marTop w:val="0"/>
              <w:marBottom w:val="0"/>
              <w:divBdr>
                <w:top w:val="none" w:sz="0" w:space="0" w:color="auto"/>
                <w:left w:val="none" w:sz="0" w:space="0" w:color="auto"/>
                <w:bottom w:val="none" w:sz="0" w:space="0" w:color="auto"/>
                <w:right w:val="none" w:sz="0" w:space="0" w:color="auto"/>
              </w:divBdr>
            </w:div>
            <w:div w:id="1310789464">
              <w:marLeft w:val="0"/>
              <w:marRight w:val="0"/>
              <w:marTop w:val="0"/>
              <w:marBottom w:val="0"/>
              <w:divBdr>
                <w:top w:val="none" w:sz="0" w:space="0" w:color="auto"/>
                <w:left w:val="none" w:sz="0" w:space="0" w:color="auto"/>
                <w:bottom w:val="none" w:sz="0" w:space="0" w:color="auto"/>
                <w:right w:val="none" w:sz="0" w:space="0" w:color="auto"/>
              </w:divBdr>
            </w:div>
            <w:div w:id="1621373691">
              <w:marLeft w:val="0"/>
              <w:marRight w:val="0"/>
              <w:marTop w:val="0"/>
              <w:marBottom w:val="0"/>
              <w:divBdr>
                <w:top w:val="none" w:sz="0" w:space="0" w:color="auto"/>
                <w:left w:val="none" w:sz="0" w:space="0" w:color="auto"/>
                <w:bottom w:val="none" w:sz="0" w:space="0" w:color="auto"/>
                <w:right w:val="none" w:sz="0" w:space="0" w:color="auto"/>
              </w:divBdr>
            </w:div>
          </w:divsChild>
        </w:div>
        <w:div w:id="1116948401">
          <w:marLeft w:val="0"/>
          <w:marRight w:val="0"/>
          <w:marTop w:val="0"/>
          <w:marBottom w:val="0"/>
          <w:divBdr>
            <w:top w:val="none" w:sz="0" w:space="0" w:color="auto"/>
            <w:left w:val="none" w:sz="0" w:space="0" w:color="auto"/>
            <w:bottom w:val="none" w:sz="0" w:space="0" w:color="auto"/>
            <w:right w:val="none" w:sz="0" w:space="0" w:color="auto"/>
          </w:divBdr>
          <w:divsChild>
            <w:div w:id="646085028">
              <w:marLeft w:val="0"/>
              <w:marRight w:val="0"/>
              <w:marTop w:val="0"/>
              <w:marBottom w:val="0"/>
              <w:divBdr>
                <w:top w:val="none" w:sz="0" w:space="0" w:color="auto"/>
                <w:left w:val="none" w:sz="0" w:space="0" w:color="auto"/>
                <w:bottom w:val="none" w:sz="0" w:space="0" w:color="auto"/>
                <w:right w:val="none" w:sz="0" w:space="0" w:color="auto"/>
              </w:divBdr>
            </w:div>
            <w:div w:id="2065981601">
              <w:marLeft w:val="0"/>
              <w:marRight w:val="0"/>
              <w:marTop w:val="0"/>
              <w:marBottom w:val="0"/>
              <w:divBdr>
                <w:top w:val="none" w:sz="0" w:space="0" w:color="auto"/>
                <w:left w:val="none" w:sz="0" w:space="0" w:color="auto"/>
                <w:bottom w:val="none" w:sz="0" w:space="0" w:color="auto"/>
                <w:right w:val="none" w:sz="0" w:space="0" w:color="auto"/>
              </w:divBdr>
            </w:div>
          </w:divsChild>
        </w:div>
        <w:div w:id="1128401590">
          <w:marLeft w:val="0"/>
          <w:marRight w:val="0"/>
          <w:marTop w:val="0"/>
          <w:marBottom w:val="0"/>
          <w:divBdr>
            <w:top w:val="none" w:sz="0" w:space="0" w:color="auto"/>
            <w:left w:val="none" w:sz="0" w:space="0" w:color="auto"/>
            <w:bottom w:val="none" w:sz="0" w:space="0" w:color="auto"/>
            <w:right w:val="none" w:sz="0" w:space="0" w:color="auto"/>
          </w:divBdr>
          <w:divsChild>
            <w:div w:id="230386107">
              <w:marLeft w:val="0"/>
              <w:marRight w:val="0"/>
              <w:marTop w:val="0"/>
              <w:marBottom w:val="0"/>
              <w:divBdr>
                <w:top w:val="none" w:sz="0" w:space="0" w:color="auto"/>
                <w:left w:val="none" w:sz="0" w:space="0" w:color="auto"/>
                <w:bottom w:val="none" w:sz="0" w:space="0" w:color="auto"/>
                <w:right w:val="none" w:sz="0" w:space="0" w:color="auto"/>
              </w:divBdr>
            </w:div>
            <w:div w:id="2099136674">
              <w:marLeft w:val="0"/>
              <w:marRight w:val="0"/>
              <w:marTop w:val="0"/>
              <w:marBottom w:val="0"/>
              <w:divBdr>
                <w:top w:val="none" w:sz="0" w:space="0" w:color="auto"/>
                <w:left w:val="none" w:sz="0" w:space="0" w:color="auto"/>
                <w:bottom w:val="none" w:sz="0" w:space="0" w:color="auto"/>
                <w:right w:val="none" w:sz="0" w:space="0" w:color="auto"/>
              </w:divBdr>
            </w:div>
          </w:divsChild>
        </w:div>
        <w:div w:id="1243562180">
          <w:marLeft w:val="0"/>
          <w:marRight w:val="0"/>
          <w:marTop w:val="0"/>
          <w:marBottom w:val="0"/>
          <w:divBdr>
            <w:top w:val="none" w:sz="0" w:space="0" w:color="auto"/>
            <w:left w:val="none" w:sz="0" w:space="0" w:color="auto"/>
            <w:bottom w:val="none" w:sz="0" w:space="0" w:color="auto"/>
            <w:right w:val="none" w:sz="0" w:space="0" w:color="auto"/>
          </w:divBdr>
          <w:divsChild>
            <w:div w:id="1058044244">
              <w:marLeft w:val="0"/>
              <w:marRight w:val="0"/>
              <w:marTop w:val="0"/>
              <w:marBottom w:val="0"/>
              <w:divBdr>
                <w:top w:val="none" w:sz="0" w:space="0" w:color="auto"/>
                <w:left w:val="none" w:sz="0" w:space="0" w:color="auto"/>
                <w:bottom w:val="none" w:sz="0" w:space="0" w:color="auto"/>
                <w:right w:val="none" w:sz="0" w:space="0" w:color="auto"/>
              </w:divBdr>
            </w:div>
          </w:divsChild>
        </w:div>
        <w:div w:id="1591427891">
          <w:marLeft w:val="0"/>
          <w:marRight w:val="0"/>
          <w:marTop w:val="0"/>
          <w:marBottom w:val="0"/>
          <w:divBdr>
            <w:top w:val="none" w:sz="0" w:space="0" w:color="auto"/>
            <w:left w:val="none" w:sz="0" w:space="0" w:color="auto"/>
            <w:bottom w:val="none" w:sz="0" w:space="0" w:color="auto"/>
            <w:right w:val="none" w:sz="0" w:space="0" w:color="auto"/>
          </w:divBdr>
          <w:divsChild>
            <w:div w:id="234780711">
              <w:marLeft w:val="0"/>
              <w:marRight w:val="0"/>
              <w:marTop w:val="0"/>
              <w:marBottom w:val="0"/>
              <w:divBdr>
                <w:top w:val="none" w:sz="0" w:space="0" w:color="auto"/>
                <w:left w:val="none" w:sz="0" w:space="0" w:color="auto"/>
                <w:bottom w:val="none" w:sz="0" w:space="0" w:color="auto"/>
                <w:right w:val="none" w:sz="0" w:space="0" w:color="auto"/>
              </w:divBdr>
            </w:div>
            <w:div w:id="658844040">
              <w:marLeft w:val="0"/>
              <w:marRight w:val="0"/>
              <w:marTop w:val="0"/>
              <w:marBottom w:val="0"/>
              <w:divBdr>
                <w:top w:val="none" w:sz="0" w:space="0" w:color="auto"/>
                <w:left w:val="none" w:sz="0" w:space="0" w:color="auto"/>
                <w:bottom w:val="none" w:sz="0" w:space="0" w:color="auto"/>
                <w:right w:val="none" w:sz="0" w:space="0" w:color="auto"/>
              </w:divBdr>
            </w:div>
          </w:divsChild>
        </w:div>
        <w:div w:id="1599292002">
          <w:marLeft w:val="0"/>
          <w:marRight w:val="0"/>
          <w:marTop w:val="0"/>
          <w:marBottom w:val="0"/>
          <w:divBdr>
            <w:top w:val="none" w:sz="0" w:space="0" w:color="auto"/>
            <w:left w:val="none" w:sz="0" w:space="0" w:color="auto"/>
            <w:bottom w:val="none" w:sz="0" w:space="0" w:color="auto"/>
            <w:right w:val="none" w:sz="0" w:space="0" w:color="auto"/>
          </w:divBdr>
          <w:divsChild>
            <w:div w:id="1288581002">
              <w:marLeft w:val="0"/>
              <w:marRight w:val="0"/>
              <w:marTop w:val="0"/>
              <w:marBottom w:val="0"/>
              <w:divBdr>
                <w:top w:val="none" w:sz="0" w:space="0" w:color="auto"/>
                <w:left w:val="none" w:sz="0" w:space="0" w:color="auto"/>
                <w:bottom w:val="none" w:sz="0" w:space="0" w:color="auto"/>
                <w:right w:val="none" w:sz="0" w:space="0" w:color="auto"/>
              </w:divBdr>
            </w:div>
          </w:divsChild>
        </w:div>
        <w:div w:id="1872500101">
          <w:marLeft w:val="0"/>
          <w:marRight w:val="0"/>
          <w:marTop w:val="0"/>
          <w:marBottom w:val="0"/>
          <w:divBdr>
            <w:top w:val="none" w:sz="0" w:space="0" w:color="auto"/>
            <w:left w:val="none" w:sz="0" w:space="0" w:color="auto"/>
            <w:bottom w:val="none" w:sz="0" w:space="0" w:color="auto"/>
            <w:right w:val="none" w:sz="0" w:space="0" w:color="auto"/>
          </w:divBdr>
          <w:divsChild>
            <w:div w:id="581259791">
              <w:marLeft w:val="0"/>
              <w:marRight w:val="0"/>
              <w:marTop w:val="0"/>
              <w:marBottom w:val="0"/>
              <w:divBdr>
                <w:top w:val="none" w:sz="0" w:space="0" w:color="auto"/>
                <w:left w:val="none" w:sz="0" w:space="0" w:color="auto"/>
                <w:bottom w:val="none" w:sz="0" w:space="0" w:color="auto"/>
                <w:right w:val="none" w:sz="0" w:space="0" w:color="auto"/>
              </w:divBdr>
            </w:div>
            <w:div w:id="927153643">
              <w:marLeft w:val="0"/>
              <w:marRight w:val="0"/>
              <w:marTop w:val="0"/>
              <w:marBottom w:val="0"/>
              <w:divBdr>
                <w:top w:val="none" w:sz="0" w:space="0" w:color="auto"/>
                <w:left w:val="none" w:sz="0" w:space="0" w:color="auto"/>
                <w:bottom w:val="none" w:sz="0" w:space="0" w:color="auto"/>
                <w:right w:val="none" w:sz="0" w:space="0" w:color="auto"/>
              </w:divBdr>
            </w:div>
            <w:div w:id="973171657">
              <w:marLeft w:val="0"/>
              <w:marRight w:val="0"/>
              <w:marTop w:val="0"/>
              <w:marBottom w:val="0"/>
              <w:divBdr>
                <w:top w:val="none" w:sz="0" w:space="0" w:color="auto"/>
                <w:left w:val="none" w:sz="0" w:space="0" w:color="auto"/>
                <w:bottom w:val="none" w:sz="0" w:space="0" w:color="auto"/>
                <w:right w:val="none" w:sz="0" w:space="0" w:color="auto"/>
              </w:divBdr>
            </w:div>
          </w:divsChild>
        </w:div>
        <w:div w:id="1919167505">
          <w:marLeft w:val="0"/>
          <w:marRight w:val="0"/>
          <w:marTop w:val="0"/>
          <w:marBottom w:val="0"/>
          <w:divBdr>
            <w:top w:val="none" w:sz="0" w:space="0" w:color="auto"/>
            <w:left w:val="none" w:sz="0" w:space="0" w:color="auto"/>
            <w:bottom w:val="none" w:sz="0" w:space="0" w:color="auto"/>
            <w:right w:val="none" w:sz="0" w:space="0" w:color="auto"/>
          </w:divBdr>
          <w:divsChild>
            <w:div w:id="1153376508">
              <w:marLeft w:val="0"/>
              <w:marRight w:val="0"/>
              <w:marTop w:val="0"/>
              <w:marBottom w:val="0"/>
              <w:divBdr>
                <w:top w:val="none" w:sz="0" w:space="0" w:color="auto"/>
                <w:left w:val="none" w:sz="0" w:space="0" w:color="auto"/>
                <w:bottom w:val="none" w:sz="0" w:space="0" w:color="auto"/>
                <w:right w:val="none" w:sz="0" w:space="0" w:color="auto"/>
              </w:divBdr>
            </w:div>
            <w:div w:id="1709795524">
              <w:marLeft w:val="0"/>
              <w:marRight w:val="0"/>
              <w:marTop w:val="0"/>
              <w:marBottom w:val="0"/>
              <w:divBdr>
                <w:top w:val="none" w:sz="0" w:space="0" w:color="auto"/>
                <w:left w:val="none" w:sz="0" w:space="0" w:color="auto"/>
                <w:bottom w:val="none" w:sz="0" w:space="0" w:color="auto"/>
                <w:right w:val="none" w:sz="0" w:space="0" w:color="auto"/>
              </w:divBdr>
            </w:div>
            <w:div w:id="2061904048">
              <w:marLeft w:val="0"/>
              <w:marRight w:val="0"/>
              <w:marTop w:val="0"/>
              <w:marBottom w:val="0"/>
              <w:divBdr>
                <w:top w:val="none" w:sz="0" w:space="0" w:color="auto"/>
                <w:left w:val="none" w:sz="0" w:space="0" w:color="auto"/>
                <w:bottom w:val="none" w:sz="0" w:space="0" w:color="auto"/>
                <w:right w:val="none" w:sz="0" w:space="0" w:color="auto"/>
              </w:divBdr>
            </w:div>
          </w:divsChild>
        </w:div>
        <w:div w:id="2102295127">
          <w:marLeft w:val="0"/>
          <w:marRight w:val="0"/>
          <w:marTop w:val="0"/>
          <w:marBottom w:val="0"/>
          <w:divBdr>
            <w:top w:val="none" w:sz="0" w:space="0" w:color="auto"/>
            <w:left w:val="none" w:sz="0" w:space="0" w:color="auto"/>
            <w:bottom w:val="none" w:sz="0" w:space="0" w:color="auto"/>
            <w:right w:val="none" w:sz="0" w:space="0" w:color="auto"/>
          </w:divBdr>
          <w:divsChild>
            <w:div w:id="98139010">
              <w:marLeft w:val="0"/>
              <w:marRight w:val="0"/>
              <w:marTop w:val="0"/>
              <w:marBottom w:val="0"/>
              <w:divBdr>
                <w:top w:val="none" w:sz="0" w:space="0" w:color="auto"/>
                <w:left w:val="none" w:sz="0" w:space="0" w:color="auto"/>
                <w:bottom w:val="none" w:sz="0" w:space="0" w:color="auto"/>
                <w:right w:val="none" w:sz="0" w:space="0" w:color="auto"/>
              </w:divBdr>
            </w:div>
            <w:div w:id="167079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583223">
      <w:bodyDiv w:val="1"/>
      <w:marLeft w:val="0"/>
      <w:marRight w:val="0"/>
      <w:marTop w:val="0"/>
      <w:marBottom w:val="0"/>
      <w:divBdr>
        <w:top w:val="none" w:sz="0" w:space="0" w:color="auto"/>
        <w:left w:val="none" w:sz="0" w:space="0" w:color="auto"/>
        <w:bottom w:val="none" w:sz="0" w:space="0" w:color="auto"/>
        <w:right w:val="none" w:sz="0" w:space="0" w:color="auto"/>
      </w:divBdr>
    </w:div>
    <w:div w:id="1421950410">
      <w:bodyDiv w:val="1"/>
      <w:marLeft w:val="0"/>
      <w:marRight w:val="0"/>
      <w:marTop w:val="0"/>
      <w:marBottom w:val="0"/>
      <w:divBdr>
        <w:top w:val="none" w:sz="0" w:space="0" w:color="auto"/>
        <w:left w:val="none" w:sz="0" w:space="0" w:color="auto"/>
        <w:bottom w:val="none" w:sz="0" w:space="0" w:color="auto"/>
        <w:right w:val="none" w:sz="0" w:space="0" w:color="auto"/>
      </w:divBdr>
    </w:div>
    <w:div w:id="1443648332">
      <w:bodyDiv w:val="1"/>
      <w:marLeft w:val="0"/>
      <w:marRight w:val="0"/>
      <w:marTop w:val="0"/>
      <w:marBottom w:val="0"/>
      <w:divBdr>
        <w:top w:val="none" w:sz="0" w:space="0" w:color="auto"/>
        <w:left w:val="none" w:sz="0" w:space="0" w:color="auto"/>
        <w:bottom w:val="none" w:sz="0" w:space="0" w:color="auto"/>
        <w:right w:val="none" w:sz="0" w:space="0" w:color="auto"/>
      </w:divBdr>
    </w:div>
    <w:div w:id="1453093632">
      <w:bodyDiv w:val="1"/>
      <w:marLeft w:val="0"/>
      <w:marRight w:val="0"/>
      <w:marTop w:val="0"/>
      <w:marBottom w:val="0"/>
      <w:divBdr>
        <w:top w:val="none" w:sz="0" w:space="0" w:color="auto"/>
        <w:left w:val="none" w:sz="0" w:space="0" w:color="auto"/>
        <w:bottom w:val="none" w:sz="0" w:space="0" w:color="auto"/>
        <w:right w:val="none" w:sz="0" w:space="0" w:color="auto"/>
      </w:divBdr>
    </w:div>
    <w:div w:id="1455707027">
      <w:bodyDiv w:val="1"/>
      <w:marLeft w:val="0"/>
      <w:marRight w:val="0"/>
      <w:marTop w:val="0"/>
      <w:marBottom w:val="0"/>
      <w:divBdr>
        <w:top w:val="none" w:sz="0" w:space="0" w:color="auto"/>
        <w:left w:val="none" w:sz="0" w:space="0" w:color="auto"/>
        <w:bottom w:val="none" w:sz="0" w:space="0" w:color="auto"/>
        <w:right w:val="none" w:sz="0" w:space="0" w:color="auto"/>
      </w:divBdr>
    </w:div>
    <w:div w:id="1460226890">
      <w:bodyDiv w:val="1"/>
      <w:marLeft w:val="0"/>
      <w:marRight w:val="0"/>
      <w:marTop w:val="0"/>
      <w:marBottom w:val="0"/>
      <w:divBdr>
        <w:top w:val="none" w:sz="0" w:space="0" w:color="auto"/>
        <w:left w:val="none" w:sz="0" w:space="0" w:color="auto"/>
        <w:bottom w:val="none" w:sz="0" w:space="0" w:color="auto"/>
        <w:right w:val="none" w:sz="0" w:space="0" w:color="auto"/>
      </w:divBdr>
    </w:div>
    <w:div w:id="1470787637">
      <w:bodyDiv w:val="1"/>
      <w:marLeft w:val="0"/>
      <w:marRight w:val="0"/>
      <w:marTop w:val="0"/>
      <w:marBottom w:val="0"/>
      <w:divBdr>
        <w:top w:val="none" w:sz="0" w:space="0" w:color="auto"/>
        <w:left w:val="none" w:sz="0" w:space="0" w:color="auto"/>
        <w:bottom w:val="none" w:sz="0" w:space="0" w:color="auto"/>
        <w:right w:val="none" w:sz="0" w:space="0" w:color="auto"/>
      </w:divBdr>
    </w:div>
    <w:div w:id="1471903543">
      <w:bodyDiv w:val="1"/>
      <w:marLeft w:val="0"/>
      <w:marRight w:val="0"/>
      <w:marTop w:val="0"/>
      <w:marBottom w:val="0"/>
      <w:divBdr>
        <w:top w:val="none" w:sz="0" w:space="0" w:color="auto"/>
        <w:left w:val="none" w:sz="0" w:space="0" w:color="auto"/>
        <w:bottom w:val="none" w:sz="0" w:space="0" w:color="auto"/>
        <w:right w:val="none" w:sz="0" w:space="0" w:color="auto"/>
      </w:divBdr>
    </w:div>
    <w:div w:id="1477604125">
      <w:bodyDiv w:val="1"/>
      <w:marLeft w:val="0"/>
      <w:marRight w:val="0"/>
      <w:marTop w:val="0"/>
      <w:marBottom w:val="0"/>
      <w:divBdr>
        <w:top w:val="none" w:sz="0" w:space="0" w:color="auto"/>
        <w:left w:val="none" w:sz="0" w:space="0" w:color="auto"/>
        <w:bottom w:val="none" w:sz="0" w:space="0" w:color="auto"/>
        <w:right w:val="none" w:sz="0" w:space="0" w:color="auto"/>
      </w:divBdr>
      <w:divsChild>
        <w:div w:id="1081296339">
          <w:marLeft w:val="0"/>
          <w:marRight w:val="0"/>
          <w:marTop w:val="0"/>
          <w:marBottom w:val="0"/>
          <w:divBdr>
            <w:top w:val="none" w:sz="0" w:space="0" w:color="auto"/>
            <w:left w:val="none" w:sz="0" w:space="0" w:color="auto"/>
            <w:bottom w:val="none" w:sz="0" w:space="0" w:color="auto"/>
            <w:right w:val="none" w:sz="0" w:space="0" w:color="auto"/>
          </w:divBdr>
        </w:div>
      </w:divsChild>
    </w:div>
    <w:div w:id="1477794440">
      <w:bodyDiv w:val="1"/>
      <w:marLeft w:val="0"/>
      <w:marRight w:val="0"/>
      <w:marTop w:val="0"/>
      <w:marBottom w:val="0"/>
      <w:divBdr>
        <w:top w:val="none" w:sz="0" w:space="0" w:color="auto"/>
        <w:left w:val="none" w:sz="0" w:space="0" w:color="auto"/>
        <w:bottom w:val="none" w:sz="0" w:space="0" w:color="auto"/>
        <w:right w:val="none" w:sz="0" w:space="0" w:color="auto"/>
      </w:divBdr>
    </w:div>
    <w:div w:id="1484394828">
      <w:bodyDiv w:val="1"/>
      <w:marLeft w:val="0"/>
      <w:marRight w:val="0"/>
      <w:marTop w:val="0"/>
      <w:marBottom w:val="0"/>
      <w:divBdr>
        <w:top w:val="none" w:sz="0" w:space="0" w:color="auto"/>
        <w:left w:val="none" w:sz="0" w:space="0" w:color="auto"/>
        <w:bottom w:val="none" w:sz="0" w:space="0" w:color="auto"/>
        <w:right w:val="none" w:sz="0" w:space="0" w:color="auto"/>
      </w:divBdr>
      <w:divsChild>
        <w:div w:id="93942342">
          <w:marLeft w:val="0"/>
          <w:marRight w:val="0"/>
          <w:marTop w:val="0"/>
          <w:marBottom w:val="0"/>
          <w:divBdr>
            <w:top w:val="none" w:sz="0" w:space="0" w:color="auto"/>
            <w:left w:val="none" w:sz="0" w:space="0" w:color="auto"/>
            <w:bottom w:val="none" w:sz="0" w:space="0" w:color="auto"/>
            <w:right w:val="none" w:sz="0" w:space="0" w:color="auto"/>
          </w:divBdr>
        </w:div>
        <w:div w:id="149516878">
          <w:marLeft w:val="0"/>
          <w:marRight w:val="0"/>
          <w:marTop w:val="0"/>
          <w:marBottom w:val="0"/>
          <w:divBdr>
            <w:top w:val="none" w:sz="0" w:space="0" w:color="auto"/>
            <w:left w:val="none" w:sz="0" w:space="0" w:color="auto"/>
            <w:bottom w:val="none" w:sz="0" w:space="0" w:color="auto"/>
            <w:right w:val="none" w:sz="0" w:space="0" w:color="auto"/>
          </w:divBdr>
        </w:div>
        <w:div w:id="190581780">
          <w:marLeft w:val="0"/>
          <w:marRight w:val="0"/>
          <w:marTop w:val="0"/>
          <w:marBottom w:val="0"/>
          <w:divBdr>
            <w:top w:val="none" w:sz="0" w:space="0" w:color="auto"/>
            <w:left w:val="none" w:sz="0" w:space="0" w:color="auto"/>
            <w:bottom w:val="none" w:sz="0" w:space="0" w:color="auto"/>
            <w:right w:val="none" w:sz="0" w:space="0" w:color="auto"/>
          </w:divBdr>
          <w:divsChild>
            <w:div w:id="2145809286">
              <w:marLeft w:val="-75"/>
              <w:marRight w:val="0"/>
              <w:marTop w:val="30"/>
              <w:marBottom w:val="30"/>
              <w:divBdr>
                <w:top w:val="none" w:sz="0" w:space="0" w:color="auto"/>
                <w:left w:val="none" w:sz="0" w:space="0" w:color="auto"/>
                <w:bottom w:val="none" w:sz="0" w:space="0" w:color="auto"/>
                <w:right w:val="none" w:sz="0" w:space="0" w:color="auto"/>
              </w:divBdr>
              <w:divsChild>
                <w:div w:id="329842954">
                  <w:marLeft w:val="0"/>
                  <w:marRight w:val="0"/>
                  <w:marTop w:val="0"/>
                  <w:marBottom w:val="0"/>
                  <w:divBdr>
                    <w:top w:val="none" w:sz="0" w:space="0" w:color="auto"/>
                    <w:left w:val="none" w:sz="0" w:space="0" w:color="auto"/>
                    <w:bottom w:val="none" w:sz="0" w:space="0" w:color="auto"/>
                    <w:right w:val="none" w:sz="0" w:space="0" w:color="auto"/>
                  </w:divBdr>
                  <w:divsChild>
                    <w:div w:id="747072730">
                      <w:marLeft w:val="0"/>
                      <w:marRight w:val="0"/>
                      <w:marTop w:val="0"/>
                      <w:marBottom w:val="0"/>
                      <w:divBdr>
                        <w:top w:val="none" w:sz="0" w:space="0" w:color="auto"/>
                        <w:left w:val="none" w:sz="0" w:space="0" w:color="auto"/>
                        <w:bottom w:val="none" w:sz="0" w:space="0" w:color="auto"/>
                        <w:right w:val="none" w:sz="0" w:space="0" w:color="auto"/>
                      </w:divBdr>
                    </w:div>
                  </w:divsChild>
                </w:div>
                <w:div w:id="367803182">
                  <w:marLeft w:val="0"/>
                  <w:marRight w:val="0"/>
                  <w:marTop w:val="0"/>
                  <w:marBottom w:val="0"/>
                  <w:divBdr>
                    <w:top w:val="none" w:sz="0" w:space="0" w:color="auto"/>
                    <w:left w:val="none" w:sz="0" w:space="0" w:color="auto"/>
                    <w:bottom w:val="none" w:sz="0" w:space="0" w:color="auto"/>
                    <w:right w:val="none" w:sz="0" w:space="0" w:color="auto"/>
                  </w:divBdr>
                  <w:divsChild>
                    <w:div w:id="1869950463">
                      <w:marLeft w:val="0"/>
                      <w:marRight w:val="0"/>
                      <w:marTop w:val="0"/>
                      <w:marBottom w:val="0"/>
                      <w:divBdr>
                        <w:top w:val="none" w:sz="0" w:space="0" w:color="auto"/>
                        <w:left w:val="none" w:sz="0" w:space="0" w:color="auto"/>
                        <w:bottom w:val="none" w:sz="0" w:space="0" w:color="auto"/>
                        <w:right w:val="none" w:sz="0" w:space="0" w:color="auto"/>
                      </w:divBdr>
                    </w:div>
                  </w:divsChild>
                </w:div>
                <w:div w:id="430012690">
                  <w:marLeft w:val="0"/>
                  <w:marRight w:val="0"/>
                  <w:marTop w:val="0"/>
                  <w:marBottom w:val="0"/>
                  <w:divBdr>
                    <w:top w:val="none" w:sz="0" w:space="0" w:color="auto"/>
                    <w:left w:val="none" w:sz="0" w:space="0" w:color="auto"/>
                    <w:bottom w:val="none" w:sz="0" w:space="0" w:color="auto"/>
                    <w:right w:val="none" w:sz="0" w:space="0" w:color="auto"/>
                  </w:divBdr>
                  <w:divsChild>
                    <w:div w:id="1953631290">
                      <w:marLeft w:val="0"/>
                      <w:marRight w:val="0"/>
                      <w:marTop w:val="0"/>
                      <w:marBottom w:val="0"/>
                      <w:divBdr>
                        <w:top w:val="none" w:sz="0" w:space="0" w:color="auto"/>
                        <w:left w:val="none" w:sz="0" w:space="0" w:color="auto"/>
                        <w:bottom w:val="none" w:sz="0" w:space="0" w:color="auto"/>
                        <w:right w:val="none" w:sz="0" w:space="0" w:color="auto"/>
                      </w:divBdr>
                    </w:div>
                  </w:divsChild>
                </w:div>
                <w:div w:id="479925450">
                  <w:marLeft w:val="0"/>
                  <w:marRight w:val="0"/>
                  <w:marTop w:val="0"/>
                  <w:marBottom w:val="0"/>
                  <w:divBdr>
                    <w:top w:val="none" w:sz="0" w:space="0" w:color="auto"/>
                    <w:left w:val="none" w:sz="0" w:space="0" w:color="auto"/>
                    <w:bottom w:val="none" w:sz="0" w:space="0" w:color="auto"/>
                    <w:right w:val="none" w:sz="0" w:space="0" w:color="auto"/>
                  </w:divBdr>
                  <w:divsChild>
                    <w:div w:id="596058172">
                      <w:marLeft w:val="0"/>
                      <w:marRight w:val="0"/>
                      <w:marTop w:val="0"/>
                      <w:marBottom w:val="0"/>
                      <w:divBdr>
                        <w:top w:val="none" w:sz="0" w:space="0" w:color="auto"/>
                        <w:left w:val="none" w:sz="0" w:space="0" w:color="auto"/>
                        <w:bottom w:val="none" w:sz="0" w:space="0" w:color="auto"/>
                        <w:right w:val="none" w:sz="0" w:space="0" w:color="auto"/>
                      </w:divBdr>
                    </w:div>
                  </w:divsChild>
                </w:div>
                <w:div w:id="528418424">
                  <w:marLeft w:val="0"/>
                  <w:marRight w:val="0"/>
                  <w:marTop w:val="0"/>
                  <w:marBottom w:val="0"/>
                  <w:divBdr>
                    <w:top w:val="none" w:sz="0" w:space="0" w:color="auto"/>
                    <w:left w:val="none" w:sz="0" w:space="0" w:color="auto"/>
                    <w:bottom w:val="none" w:sz="0" w:space="0" w:color="auto"/>
                    <w:right w:val="none" w:sz="0" w:space="0" w:color="auto"/>
                  </w:divBdr>
                  <w:divsChild>
                    <w:div w:id="1859195152">
                      <w:marLeft w:val="0"/>
                      <w:marRight w:val="0"/>
                      <w:marTop w:val="0"/>
                      <w:marBottom w:val="0"/>
                      <w:divBdr>
                        <w:top w:val="none" w:sz="0" w:space="0" w:color="auto"/>
                        <w:left w:val="none" w:sz="0" w:space="0" w:color="auto"/>
                        <w:bottom w:val="none" w:sz="0" w:space="0" w:color="auto"/>
                        <w:right w:val="none" w:sz="0" w:space="0" w:color="auto"/>
                      </w:divBdr>
                    </w:div>
                  </w:divsChild>
                </w:div>
                <w:div w:id="771097420">
                  <w:marLeft w:val="0"/>
                  <w:marRight w:val="0"/>
                  <w:marTop w:val="0"/>
                  <w:marBottom w:val="0"/>
                  <w:divBdr>
                    <w:top w:val="none" w:sz="0" w:space="0" w:color="auto"/>
                    <w:left w:val="none" w:sz="0" w:space="0" w:color="auto"/>
                    <w:bottom w:val="none" w:sz="0" w:space="0" w:color="auto"/>
                    <w:right w:val="none" w:sz="0" w:space="0" w:color="auto"/>
                  </w:divBdr>
                  <w:divsChild>
                    <w:div w:id="1830435995">
                      <w:marLeft w:val="0"/>
                      <w:marRight w:val="0"/>
                      <w:marTop w:val="0"/>
                      <w:marBottom w:val="0"/>
                      <w:divBdr>
                        <w:top w:val="none" w:sz="0" w:space="0" w:color="auto"/>
                        <w:left w:val="none" w:sz="0" w:space="0" w:color="auto"/>
                        <w:bottom w:val="none" w:sz="0" w:space="0" w:color="auto"/>
                        <w:right w:val="none" w:sz="0" w:space="0" w:color="auto"/>
                      </w:divBdr>
                    </w:div>
                  </w:divsChild>
                </w:div>
                <w:div w:id="874272242">
                  <w:marLeft w:val="0"/>
                  <w:marRight w:val="0"/>
                  <w:marTop w:val="0"/>
                  <w:marBottom w:val="0"/>
                  <w:divBdr>
                    <w:top w:val="none" w:sz="0" w:space="0" w:color="auto"/>
                    <w:left w:val="none" w:sz="0" w:space="0" w:color="auto"/>
                    <w:bottom w:val="none" w:sz="0" w:space="0" w:color="auto"/>
                    <w:right w:val="none" w:sz="0" w:space="0" w:color="auto"/>
                  </w:divBdr>
                  <w:divsChild>
                    <w:div w:id="167136973">
                      <w:marLeft w:val="0"/>
                      <w:marRight w:val="0"/>
                      <w:marTop w:val="0"/>
                      <w:marBottom w:val="0"/>
                      <w:divBdr>
                        <w:top w:val="none" w:sz="0" w:space="0" w:color="auto"/>
                        <w:left w:val="none" w:sz="0" w:space="0" w:color="auto"/>
                        <w:bottom w:val="none" w:sz="0" w:space="0" w:color="auto"/>
                        <w:right w:val="none" w:sz="0" w:space="0" w:color="auto"/>
                      </w:divBdr>
                    </w:div>
                  </w:divsChild>
                </w:div>
                <w:div w:id="875430613">
                  <w:marLeft w:val="0"/>
                  <w:marRight w:val="0"/>
                  <w:marTop w:val="0"/>
                  <w:marBottom w:val="0"/>
                  <w:divBdr>
                    <w:top w:val="none" w:sz="0" w:space="0" w:color="auto"/>
                    <w:left w:val="none" w:sz="0" w:space="0" w:color="auto"/>
                    <w:bottom w:val="none" w:sz="0" w:space="0" w:color="auto"/>
                    <w:right w:val="none" w:sz="0" w:space="0" w:color="auto"/>
                  </w:divBdr>
                  <w:divsChild>
                    <w:div w:id="1588154318">
                      <w:marLeft w:val="0"/>
                      <w:marRight w:val="0"/>
                      <w:marTop w:val="0"/>
                      <w:marBottom w:val="0"/>
                      <w:divBdr>
                        <w:top w:val="none" w:sz="0" w:space="0" w:color="auto"/>
                        <w:left w:val="none" w:sz="0" w:space="0" w:color="auto"/>
                        <w:bottom w:val="none" w:sz="0" w:space="0" w:color="auto"/>
                        <w:right w:val="none" w:sz="0" w:space="0" w:color="auto"/>
                      </w:divBdr>
                    </w:div>
                  </w:divsChild>
                </w:div>
                <w:div w:id="884870143">
                  <w:marLeft w:val="0"/>
                  <w:marRight w:val="0"/>
                  <w:marTop w:val="0"/>
                  <w:marBottom w:val="0"/>
                  <w:divBdr>
                    <w:top w:val="none" w:sz="0" w:space="0" w:color="auto"/>
                    <w:left w:val="none" w:sz="0" w:space="0" w:color="auto"/>
                    <w:bottom w:val="none" w:sz="0" w:space="0" w:color="auto"/>
                    <w:right w:val="none" w:sz="0" w:space="0" w:color="auto"/>
                  </w:divBdr>
                  <w:divsChild>
                    <w:div w:id="1792163562">
                      <w:marLeft w:val="0"/>
                      <w:marRight w:val="0"/>
                      <w:marTop w:val="0"/>
                      <w:marBottom w:val="0"/>
                      <w:divBdr>
                        <w:top w:val="none" w:sz="0" w:space="0" w:color="auto"/>
                        <w:left w:val="none" w:sz="0" w:space="0" w:color="auto"/>
                        <w:bottom w:val="none" w:sz="0" w:space="0" w:color="auto"/>
                        <w:right w:val="none" w:sz="0" w:space="0" w:color="auto"/>
                      </w:divBdr>
                    </w:div>
                  </w:divsChild>
                </w:div>
                <w:div w:id="1016080061">
                  <w:marLeft w:val="0"/>
                  <w:marRight w:val="0"/>
                  <w:marTop w:val="0"/>
                  <w:marBottom w:val="0"/>
                  <w:divBdr>
                    <w:top w:val="none" w:sz="0" w:space="0" w:color="auto"/>
                    <w:left w:val="none" w:sz="0" w:space="0" w:color="auto"/>
                    <w:bottom w:val="none" w:sz="0" w:space="0" w:color="auto"/>
                    <w:right w:val="none" w:sz="0" w:space="0" w:color="auto"/>
                  </w:divBdr>
                  <w:divsChild>
                    <w:div w:id="842552027">
                      <w:marLeft w:val="0"/>
                      <w:marRight w:val="0"/>
                      <w:marTop w:val="0"/>
                      <w:marBottom w:val="0"/>
                      <w:divBdr>
                        <w:top w:val="none" w:sz="0" w:space="0" w:color="auto"/>
                        <w:left w:val="none" w:sz="0" w:space="0" w:color="auto"/>
                        <w:bottom w:val="none" w:sz="0" w:space="0" w:color="auto"/>
                        <w:right w:val="none" w:sz="0" w:space="0" w:color="auto"/>
                      </w:divBdr>
                    </w:div>
                  </w:divsChild>
                </w:div>
                <w:div w:id="1038160147">
                  <w:marLeft w:val="0"/>
                  <w:marRight w:val="0"/>
                  <w:marTop w:val="0"/>
                  <w:marBottom w:val="0"/>
                  <w:divBdr>
                    <w:top w:val="none" w:sz="0" w:space="0" w:color="auto"/>
                    <w:left w:val="none" w:sz="0" w:space="0" w:color="auto"/>
                    <w:bottom w:val="none" w:sz="0" w:space="0" w:color="auto"/>
                    <w:right w:val="none" w:sz="0" w:space="0" w:color="auto"/>
                  </w:divBdr>
                  <w:divsChild>
                    <w:div w:id="538248984">
                      <w:marLeft w:val="0"/>
                      <w:marRight w:val="0"/>
                      <w:marTop w:val="0"/>
                      <w:marBottom w:val="0"/>
                      <w:divBdr>
                        <w:top w:val="none" w:sz="0" w:space="0" w:color="auto"/>
                        <w:left w:val="none" w:sz="0" w:space="0" w:color="auto"/>
                        <w:bottom w:val="none" w:sz="0" w:space="0" w:color="auto"/>
                        <w:right w:val="none" w:sz="0" w:space="0" w:color="auto"/>
                      </w:divBdr>
                    </w:div>
                  </w:divsChild>
                </w:div>
                <w:div w:id="1585532236">
                  <w:marLeft w:val="0"/>
                  <w:marRight w:val="0"/>
                  <w:marTop w:val="0"/>
                  <w:marBottom w:val="0"/>
                  <w:divBdr>
                    <w:top w:val="none" w:sz="0" w:space="0" w:color="auto"/>
                    <w:left w:val="none" w:sz="0" w:space="0" w:color="auto"/>
                    <w:bottom w:val="none" w:sz="0" w:space="0" w:color="auto"/>
                    <w:right w:val="none" w:sz="0" w:space="0" w:color="auto"/>
                  </w:divBdr>
                  <w:divsChild>
                    <w:div w:id="348333274">
                      <w:marLeft w:val="0"/>
                      <w:marRight w:val="0"/>
                      <w:marTop w:val="0"/>
                      <w:marBottom w:val="0"/>
                      <w:divBdr>
                        <w:top w:val="none" w:sz="0" w:space="0" w:color="auto"/>
                        <w:left w:val="none" w:sz="0" w:space="0" w:color="auto"/>
                        <w:bottom w:val="none" w:sz="0" w:space="0" w:color="auto"/>
                        <w:right w:val="none" w:sz="0" w:space="0" w:color="auto"/>
                      </w:divBdr>
                    </w:div>
                  </w:divsChild>
                </w:div>
                <w:div w:id="1593078675">
                  <w:marLeft w:val="0"/>
                  <w:marRight w:val="0"/>
                  <w:marTop w:val="0"/>
                  <w:marBottom w:val="0"/>
                  <w:divBdr>
                    <w:top w:val="none" w:sz="0" w:space="0" w:color="auto"/>
                    <w:left w:val="none" w:sz="0" w:space="0" w:color="auto"/>
                    <w:bottom w:val="none" w:sz="0" w:space="0" w:color="auto"/>
                    <w:right w:val="none" w:sz="0" w:space="0" w:color="auto"/>
                  </w:divBdr>
                  <w:divsChild>
                    <w:div w:id="1483892962">
                      <w:marLeft w:val="0"/>
                      <w:marRight w:val="0"/>
                      <w:marTop w:val="0"/>
                      <w:marBottom w:val="0"/>
                      <w:divBdr>
                        <w:top w:val="none" w:sz="0" w:space="0" w:color="auto"/>
                        <w:left w:val="none" w:sz="0" w:space="0" w:color="auto"/>
                        <w:bottom w:val="none" w:sz="0" w:space="0" w:color="auto"/>
                        <w:right w:val="none" w:sz="0" w:space="0" w:color="auto"/>
                      </w:divBdr>
                    </w:div>
                  </w:divsChild>
                </w:div>
                <w:div w:id="1673024387">
                  <w:marLeft w:val="0"/>
                  <w:marRight w:val="0"/>
                  <w:marTop w:val="0"/>
                  <w:marBottom w:val="0"/>
                  <w:divBdr>
                    <w:top w:val="none" w:sz="0" w:space="0" w:color="auto"/>
                    <w:left w:val="none" w:sz="0" w:space="0" w:color="auto"/>
                    <w:bottom w:val="none" w:sz="0" w:space="0" w:color="auto"/>
                    <w:right w:val="none" w:sz="0" w:space="0" w:color="auto"/>
                  </w:divBdr>
                  <w:divsChild>
                    <w:div w:id="206544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2539140">
          <w:marLeft w:val="0"/>
          <w:marRight w:val="0"/>
          <w:marTop w:val="0"/>
          <w:marBottom w:val="0"/>
          <w:divBdr>
            <w:top w:val="none" w:sz="0" w:space="0" w:color="auto"/>
            <w:left w:val="none" w:sz="0" w:space="0" w:color="auto"/>
            <w:bottom w:val="none" w:sz="0" w:space="0" w:color="auto"/>
            <w:right w:val="none" w:sz="0" w:space="0" w:color="auto"/>
          </w:divBdr>
        </w:div>
        <w:div w:id="350377181">
          <w:marLeft w:val="0"/>
          <w:marRight w:val="0"/>
          <w:marTop w:val="0"/>
          <w:marBottom w:val="0"/>
          <w:divBdr>
            <w:top w:val="none" w:sz="0" w:space="0" w:color="auto"/>
            <w:left w:val="none" w:sz="0" w:space="0" w:color="auto"/>
            <w:bottom w:val="none" w:sz="0" w:space="0" w:color="auto"/>
            <w:right w:val="none" w:sz="0" w:space="0" w:color="auto"/>
          </w:divBdr>
        </w:div>
        <w:div w:id="478570227">
          <w:marLeft w:val="0"/>
          <w:marRight w:val="0"/>
          <w:marTop w:val="0"/>
          <w:marBottom w:val="0"/>
          <w:divBdr>
            <w:top w:val="none" w:sz="0" w:space="0" w:color="auto"/>
            <w:left w:val="none" w:sz="0" w:space="0" w:color="auto"/>
            <w:bottom w:val="none" w:sz="0" w:space="0" w:color="auto"/>
            <w:right w:val="none" w:sz="0" w:space="0" w:color="auto"/>
          </w:divBdr>
        </w:div>
        <w:div w:id="501899685">
          <w:marLeft w:val="0"/>
          <w:marRight w:val="0"/>
          <w:marTop w:val="0"/>
          <w:marBottom w:val="0"/>
          <w:divBdr>
            <w:top w:val="none" w:sz="0" w:space="0" w:color="auto"/>
            <w:left w:val="none" w:sz="0" w:space="0" w:color="auto"/>
            <w:bottom w:val="none" w:sz="0" w:space="0" w:color="auto"/>
            <w:right w:val="none" w:sz="0" w:space="0" w:color="auto"/>
          </w:divBdr>
        </w:div>
        <w:div w:id="696739605">
          <w:marLeft w:val="0"/>
          <w:marRight w:val="0"/>
          <w:marTop w:val="0"/>
          <w:marBottom w:val="0"/>
          <w:divBdr>
            <w:top w:val="none" w:sz="0" w:space="0" w:color="auto"/>
            <w:left w:val="none" w:sz="0" w:space="0" w:color="auto"/>
            <w:bottom w:val="none" w:sz="0" w:space="0" w:color="auto"/>
            <w:right w:val="none" w:sz="0" w:space="0" w:color="auto"/>
          </w:divBdr>
        </w:div>
        <w:div w:id="752358045">
          <w:marLeft w:val="0"/>
          <w:marRight w:val="0"/>
          <w:marTop w:val="0"/>
          <w:marBottom w:val="0"/>
          <w:divBdr>
            <w:top w:val="none" w:sz="0" w:space="0" w:color="auto"/>
            <w:left w:val="none" w:sz="0" w:space="0" w:color="auto"/>
            <w:bottom w:val="none" w:sz="0" w:space="0" w:color="auto"/>
            <w:right w:val="none" w:sz="0" w:space="0" w:color="auto"/>
          </w:divBdr>
        </w:div>
        <w:div w:id="754978814">
          <w:marLeft w:val="0"/>
          <w:marRight w:val="0"/>
          <w:marTop w:val="0"/>
          <w:marBottom w:val="0"/>
          <w:divBdr>
            <w:top w:val="none" w:sz="0" w:space="0" w:color="auto"/>
            <w:left w:val="none" w:sz="0" w:space="0" w:color="auto"/>
            <w:bottom w:val="none" w:sz="0" w:space="0" w:color="auto"/>
            <w:right w:val="none" w:sz="0" w:space="0" w:color="auto"/>
          </w:divBdr>
          <w:divsChild>
            <w:div w:id="1676492238">
              <w:marLeft w:val="-75"/>
              <w:marRight w:val="0"/>
              <w:marTop w:val="30"/>
              <w:marBottom w:val="30"/>
              <w:divBdr>
                <w:top w:val="none" w:sz="0" w:space="0" w:color="auto"/>
                <w:left w:val="none" w:sz="0" w:space="0" w:color="auto"/>
                <w:bottom w:val="none" w:sz="0" w:space="0" w:color="auto"/>
                <w:right w:val="none" w:sz="0" w:space="0" w:color="auto"/>
              </w:divBdr>
              <w:divsChild>
                <w:div w:id="26102393">
                  <w:marLeft w:val="0"/>
                  <w:marRight w:val="0"/>
                  <w:marTop w:val="0"/>
                  <w:marBottom w:val="0"/>
                  <w:divBdr>
                    <w:top w:val="none" w:sz="0" w:space="0" w:color="auto"/>
                    <w:left w:val="none" w:sz="0" w:space="0" w:color="auto"/>
                    <w:bottom w:val="none" w:sz="0" w:space="0" w:color="auto"/>
                    <w:right w:val="none" w:sz="0" w:space="0" w:color="auto"/>
                  </w:divBdr>
                  <w:divsChild>
                    <w:div w:id="1528446049">
                      <w:marLeft w:val="0"/>
                      <w:marRight w:val="0"/>
                      <w:marTop w:val="0"/>
                      <w:marBottom w:val="0"/>
                      <w:divBdr>
                        <w:top w:val="none" w:sz="0" w:space="0" w:color="auto"/>
                        <w:left w:val="none" w:sz="0" w:space="0" w:color="auto"/>
                        <w:bottom w:val="none" w:sz="0" w:space="0" w:color="auto"/>
                        <w:right w:val="none" w:sz="0" w:space="0" w:color="auto"/>
                      </w:divBdr>
                    </w:div>
                    <w:div w:id="2091924351">
                      <w:marLeft w:val="0"/>
                      <w:marRight w:val="0"/>
                      <w:marTop w:val="0"/>
                      <w:marBottom w:val="0"/>
                      <w:divBdr>
                        <w:top w:val="none" w:sz="0" w:space="0" w:color="auto"/>
                        <w:left w:val="none" w:sz="0" w:space="0" w:color="auto"/>
                        <w:bottom w:val="none" w:sz="0" w:space="0" w:color="auto"/>
                        <w:right w:val="none" w:sz="0" w:space="0" w:color="auto"/>
                      </w:divBdr>
                    </w:div>
                  </w:divsChild>
                </w:div>
                <w:div w:id="64186915">
                  <w:marLeft w:val="0"/>
                  <w:marRight w:val="0"/>
                  <w:marTop w:val="0"/>
                  <w:marBottom w:val="0"/>
                  <w:divBdr>
                    <w:top w:val="none" w:sz="0" w:space="0" w:color="auto"/>
                    <w:left w:val="none" w:sz="0" w:space="0" w:color="auto"/>
                    <w:bottom w:val="none" w:sz="0" w:space="0" w:color="auto"/>
                    <w:right w:val="none" w:sz="0" w:space="0" w:color="auto"/>
                  </w:divBdr>
                  <w:divsChild>
                    <w:div w:id="1481464538">
                      <w:marLeft w:val="0"/>
                      <w:marRight w:val="0"/>
                      <w:marTop w:val="0"/>
                      <w:marBottom w:val="0"/>
                      <w:divBdr>
                        <w:top w:val="none" w:sz="0" w:space="0" w:color="auto"/>
                        <w:left w:val="none" w:sz="0" w:space="0" w:color="auto"/>
                        <w:bottom w:val="none" w:sz="0" w:space="0" w:color="auto"/>
                        <w:right w:val="none" w:sz="0" w:space="0" w:color="auto"/>
                      </w:divBdr>
                    </w:div>
                    <w:div w:id="1615791627">
                      <w:marLeft w:val="0"/>
                      <w:marRight w:val="0"/>
                      <w:marTop w:val="0"/>
                      <w:marBottom w:val="0"/>
                      <w:divBdr>
                        <w:top w:val="none" w:sz="0" w:space="0" w:color="auto"/>
                        <w:left w:val="none" w:sz="0" w:space="0" w:color="auto"/>
                        <w:bottom w:val="none" w:sz="0" w:space="0" w:color="auto"/>
                        <w:right w:val="none" w:sz="0" w:space="0" w:color="auto"/>
                      </w:divBdr>
                    </w:div>
                  </w:divsChild>
                </w:div>
                <w:div w:id="99567322">
                  <w:marLeft w:val="0"/>
                  <w:marRight w:val="0"/>
                  <w:marTop w:val="0"/>
                  <w:marBottom w:val="0"/>
                  <w:divBdr>
                    <w:top w:val="none" w:sz="0" w:space="0" w:color="auto"/>
                    <w:left w:val="none" w:sz="0" w:space="0" w:color="auto"/>
                    <w:bottom w:val="none" w:sz="0" w:space="0" w:color="auto"/>
                    <w:right w:val="none" w:sz="0" w:space="0" w:color="auto"/>
                  </w:divBdr>
                  <w:divsChild>
                    <w:div w:id="2068719272">
                      <w:marLeft w:val="0"/>
                      <w:marRight w:val="0"/>
                      <w:marTop w:val="0"/>
                      <w:marBottom w:val="0"/>
                      <w:divBdr>
                        <w:top w:val="none" w:sz="0" w:space="0" w:color="auto"/>
                        <w:left w:val="none" w:sz="0" w:space="0" w:color="auto"/>
                        <w:bottom w:val="none" w:sz="0" w:space="0" w:color="auto"/>
                        <w:right w:val="none" w:sz="0" w:space="0" w:color="auto"/>
                      </w:divBdr>
                    </w:div>
                  </w:divsChild>
                </w:div>
                <w:div w:id="179200044">
                  <w:marLeft w:val="0"/>
                  <w:marRight w:val="0"/>
                  <w:marTop w:val="0"/>
                  <w:marBottom w:val="0"/>
                  <w:divBdr>
                    <w:top w:val="none" w:sz="0" w:space="0" w:color="auto"/>
                    <w:left w:val="none" w:sz="0" w:space="0" w:color="auto"/>
                    <w:bottom w:val="none" w:sz="0" w:space="0" w:color="auto"/>
                    <w:right w:val="none" w:sz="0" w:space="0" w:color="auto"/>
                  </w:divBdr>
                  <w:divsChild>
                    <w:div w:id="21977718">
                      <w:marLeft w:val="0"/>
                      <w:marRight w:val="0"/>
                      <w:marTop w:val="0"/>
                      <w:marBottom w:val="0"/>
                      <w:divBdr>
                        <w:top w:val="none" w:sz="0" w:space="0" w:color="auto"/>
                        <w:left w:val="none" w:sz="0" w:space="0" w:color="auto"/>
                        <w:bottom w:val="none" w:sz="0" w:space="0" w:color="auto"/>
                        <w:right w:val="none" w:sz="0" w:space="0" w:color="auto"/>
                      </w:divBdr>
                    </w:div>
                  </w:divsChild>
                </w:div>
                <w:div w:id="243804643">
                  <w:marLeft w:val="0"/>
                  <w:marRight w:val="0"/>
                  <w:marTop w:val="0"/>
                  <w:marBottom w:val="0"/>
                  <w:divBdr>
                    <w:top w:val="none" w:sz="0" w:space="0" w:color="auto"/>
                    <w:left w:val="none" w:sz="0" w:space="0" w:color="auto"/>
                    <w:bottom w:val="none" w:sz="0" w:space="0" w:color="auto"/>
                    <w:right w:val="none" w:sz="0" w:space="0" w:color="auto"/>
                  </w:divBdr>
                  <w:divsChild>
                    <w:div w:id="1462305722">
                      <w:marLeft w:val="0"/>
                      <w:marRight w:val="0"/>
                      <w:marTop w:val="0"/>
                      <w:marBottom w:val="0"/>
                      <w:divBdr>
                        <w:top w:val="none" w:sz="0" w:space="0" w:color="auto"/>
                        <w:left w:val="none" w:sz="0" w:space="0" w:color="auto"/>
                        <w:bottom w:val="none" w:sz="0" w:space="0" w:color="auto"/>
                        <w:right w:val="none" w:sz="0" w:space="0" w:color="auto"/>
                      </w:divBdr>
                    </w:div>
                  </w:divsChild>
                </w:div>
                <w:div w:id="249436094">
                  <w:marLeft w:val="0"/>
                  <w:marRight w:val="0"/>
                  <w:marTop w:val="0"/>
                  <w:marBottom w:val="0"/>
                  <w:divBdr>
                    <w:top w:val="none" w:sz="0" w:space="0" w:color="auto"/>
                    <w:left w:val="none" w:sz="0" w:space="0" w:color="auto"/>
                    <w:bottom w:val="none" w:sz="0" w:space="0" w:color="auto"/>
                    <w:right w:val="none" w:sz="0" w:space="0" w:color="auto"/>
                  </w:divBdr>
                  <w:divsChild>
                    <w:div w:id="830635248">
                      <w:marLeft w:val="0"/>
                      <w:marRight w:val="0"/>
                      <w:marTop w:val="0"/>
                      <w:marBottom w:val="0"/>
                      <w:divBdr>
                        <w:top w:val="none" w:sz="0" w:space="0" w:color="auto"/>
                        <w:left w:val="none" w:sz="0" w:space="0" w:color="auto"/>
                        <w:bottom w:val="none" w:sz="0" w:space="0" w:color="auto"/>
                        <w:right w:val="none" w:sz="0" w:space="0" w:color="auto"/>
                      </w:divBdr>
                    </w:div>
                    <w:div w:id="913398614">
                      <w:marLeft w:val="0"/>
                      <w:marRight w:val="0"/>
                      <w:marTop w:val="0"/>
                      <w:marBottom w:val="0"/>
                      <w:divBdr>
                        <w:top w:val="none" w:sz="0" w:space="0" w:color="auto"/>
                        <w:left w:val="none" w:sz="0" w:space="0" w:color="auto"/>
                        <w:bottom w:val="none" w:sz="0" w:space="0" w:color="auto"/>
                        <w:right w:val="none" w:sz="0" w:space="0" w:color="auto"/>
                      </w:divBdr>
                    </w:div>
                  </w:divsChild>
                </w:div>
                <w:div w:id="490872746">
                  <w:marLeft w:val="0"/>
                  <w:marRight w:val="0"/>
                  <w:marTop w:val="0"/>
                  <w:marBottom w:val="0"/>
                  <w:divBdr>
                    <w:top w:val="none" w:sz="0" w:space="0" w:color="auto"/>
                    <w:left w:val="none" w:sz="0" w:space="0" w:color="auto"/>
                    <w:bottom w:val="none" w:sz="0" w:space="0" w:color="auto"/>
                    <w:right w:val="none" w:sz="0" w:space="0" w:color="auto"/>
                  </w:divBdr>
                  <w:divsChild>
                    <w:div w:id="1209996684">
                      <w:marLeft w:val="0"/>
                      <w:marRight w:val="0"/>
                      <w:marTop w:val="0"/>
                      <w:marBottom w:val="0"/>
                      <w:divBdr>
                        <w:top w:val="none" w:sz="0" w:space="0" w:color="auto"/>
                        <w:left w:val="none" w:sz="0" w:space="0" w:color="auto"/>
                        <w:bottom w:val="none" w:sz="0" w:space="0" w:color="auto"/>
                        <w:right w:val="none" w:sz="0" w:space="0" w:color="auto"/>
                      </w:divBdr>
                    </w:div>
                  </w:divsChild>
                </w:div>
                <w:div w:id="536434796">
                  <w:marLeft w:val="0"/>
                  <w:marRight w:val="0"/>
                  <w:marTop w:val="0"/>
                  <w:marBottom w:val="0"/>
                  <w:divBdr>
                    <w:top w:val="none" w:sz="0" w:space="0" w:color="auto"/>
                    <w:left w:val="none" w:sz="0" w:space="0" w:color="auto"/>
                    <w:bottom w:val="none" w:sz="0" w:space="0" w:color="auto"/>
                    <w:right w:val="none" w:sz="0" w:space="0" w:color="auto"/>
                  </w:divBdr>
                  <w:divsChild>
                    <w:div w:id="1324894110">
                      <w:marLeft w:val="0"/>
                      <w:marRight w:val="0"/>
                      <w:marTop w:val="0"/>
                      <w:marBottom w:val="0"/>
                      <w:divBdr>
                        <w:top w:val="none" w:sz="0" w:space="0" w:color="auto"/>
                        <w:left w:val="none" w:sz="0" w:space="0" w:color="auto"/>
                        <w:bottom w:val="none" w:sz="0" w:space="0" w:color="auto"/>
                        <w:right w:val="none" w:sz="0" w:space="0" w:color="auto"/>
                      </w:divBdr>
                    </w:div>
                  </w:divsChild>
                </w:div>
                <w:div w:id="544413958">
                  <w:marLeft w:val="0"/>
                  <w:marRight w:val="0"/>
                  <w:marTop w:val="0"/>
                  <w:marBottom w:val="0"/>
                  <w:divBdr>
                    <w:top w:val="none" w:sz="0" w:space="0" w:color="auto"/>
                    <w:left w:val="none" w:sz="0" w:space="0" w:color="auto"/>
                    <w:bottom w:val="none" w:sz="0" w:space="0" w:color="auto"/>
                    <w:right w:val="none" w:sz="0" w:space="0" w:color="auto"/>
                  </w:divBdr>
                  <w:divsChild>
                    <w:div w:id="303655470">
                      <w:marLeft w:val="0"/>
                      <w:marRight w:val="0"/>
                      <w:marTop w:val="0"/>
                      <w:marBottom w:val="0"/>
                      <w:divBdr>
                        <w:top w:val="none" w:sz="0" w:space="0" w:color="auto"/>
                        <w:left w:val="none" w:sz="0" w:space="0" w:color="auto"/>
                        <w:bottom w:val="none" w:sz="0" w:space="0" w:color="auto"/>
                        <w:right w:val="none" w:sz="0" w:space="0" w:color="auto"/>
                      </w:divBdr>
                    </w:div>
                  </w:divsChild>
                </w:div>
                <w:div w:id="709690250">
                  <w:marLeft w:val="0"/>
                  <w:marRight w:val="0"/>
                  <w:marTop w:val="0"/>
                  <w:marBottom w:val="0"/>
                  <w:divBdr>
                    <w:top w:val="none" w:sz="0" w:space="0" w:color="auto"/>
                    <w:left w:val="none" w:sz="0" w:space="0" w:color="auto"/>
                    <w:bottom w:val="none" w:sz="0" w:space="0" w:color="auto"/>
                    <w:right w:val="none" w:sz="0" w:space="0" w:color="auto"/>
                  </w:divBdr>
                  <w:divsChild>
                    <w:div w:id="1625428187">
                      <w:marLeft w:val="0"/>
                      <w:marRight w:val="0"/>
                      <w:marTop w:val="0"/>
                      <w:marBottom w:val="0"/>
                      <w:divBdr>
                        <w:top w:val="none" w:sz="0" w:space="0" w:color="auto"/>
                        <w:left w:val="none" w:sz="0" w:space="0" w:color="auto"/>
                        <w:bottom w:val="none" w:sz="0" w:space="0" w:color="auto"/>
                        <w:right w:val="none" w:sz="0" w:space="0" w:color="auto"/>
                      </w:divBdr>
                    </w:div>
                  </w:divsChild>
                </w:div>
                <w:div w:id="809831400">
                  <w:marLeft w:val="0"/>
                  <w:marRight w:val="0"/>
                  <w:marTop w:val="0"/>
                  <w:marBottom w:val="0"/>
                  <w:divBdr>
                    <w:top w:val="none" w:sz="0" w:space="0" w:color="auto"/>
                    <w:left w:val="none" w:sz="0" w:space="0" w:color="auto"/>
                    <w:bottom w:val="none" w:sz="0" w:space="0" w:color="auto"/>
                    <w:right w:val="none" w:sz="0" w:space="0" w:color="auto"/>
                  </w:divBdr>
                  <w:divsChild>
                    <w:div w:id="489685016">
                      <w:marLeft w:val="0"/>
                      <w:marRight w:val="0"/>
                      <w:marTop w:val="0"/>
                      <w:marBottom w:val="0"/>
                      <w:divBdr>
                        <w:top w:val="none" w:sz="0" w:space="0" w:color="auto"/>
                        <w:left w:val="none" w:sz="0" w:space="0" w:color="auto"/>
                        <w:bottom w:val="none" w:sz="0" w:space="0" w:color="auto"/>
                        <w:right w:val="none" w:sz="0" w:space="0" w:color="auto"/>
                      </w:divBdr>
                    </w:div>
                  </w:divsChild>
                </w:div>
                <w:div w:id="838619223">
                  <w:marLeft w:val="0"/>
                  <w:marRight w:val="0"/>
                  <w:marTop w:val="0"/>
                  <w:marBottom w:val="0"/>
                  <w:divBdr>
                    <w:top w:val="none" w:sz="0" w:space="0" w:color="auto"/>
                    <w:left w:val="none" w:sz="0" w:space="0" w:color="auto"/>
                    <w:bottom w:val="none" w:sz="0" w:space="0" w:color="auto"/>
                    <w:right w:val="none" w:sz="0" w:space="0" w:color="auto"/>
                  </w:divBdr>
                  <w:divsChild>
                    <w:div w:id="1312253080">
                      <w:marLeft w:val="0"/>
                      <w:marRight w:val="0"/>
                      <w:marTop w:val="0"/>
                      <w:marBottom w:val="0"/>
                      <w:divBdr>
                        <w:top w:val="none" w:sz="0" w:space="0" w:color="auto"/>
                        <w:left w:val="none" w:sz="0" w:space="0" w:color="auto"/>
                        <w:bottom w:val="none" w:sz="0" w:space="0" w:color="auto"/>
                        <w:right w:val="none" w:sz="0" w:space="0" w:color="auto"/>
                      </w:divBdr>
                    </w:div>
                  </w:divsChild>
                </w:div>
                <w:div w:id="888296651">
                  <w:marLeft w:val="0"/>
                  <w:marRight w:val="0"/>
                  <w:marTop w:val="0"/>
                  <w:marBottom w:val="0"/>
                  <w:divBdr>
                    <w:top w:val="none" w:sz="0" w:space="0" w:color="auto"/>
                    <w:left w:val="none" w:sz="0" w:space="0" w:color="auto"/>
                    <w:bottom w:val="none" w:sz="0" w:space="0" w:color="auto"/>
                    <w:right w:val="none" w:sz="0" w:space="0" w:color="auto"/>
                  </w:divBdr>
                  <w:divsChild>
                    <w:div w:id="2027560013">
                      <w:marLeft w:val="0"/>
                      <w:marRight w:val="0"/>
                      <w:marTop w:val="0"/>
                      <w:marBottom w:val="0"/>
                      <w:divBdr>
                        <w:top w:val="none" w:sz="0" w:space="0" w:color="auto"/>
                        <w:left w:val="none" w:sz="0" w:space="0" w:color="auto"/>
                        <w:bottom w:val="none" w:sz="0" w:space="0" w:color="auto"/>
                        <w:right w:val="none" w:sz="0" w:space="0" w:color="auto"/>
                      </w:divBdr>
                    </w:div>
                  </w:divsChild>
                </w:div>
                <w:div w:id="967081485">
                  <w:marLeft w:val="0"/>
                  <w:marRight w:val="0"/>
                  <w:marTop w:val="0"/>
                  <w:marBottom w:val="0"/>
                  <w:divBdr>
                    <w:top w:val="none" w:sz="0" w:space="0" w:color="auto"/>
                    <w:left w:val="none" w:sz="0" w:space="0" w:color="auto"/>
                    <w:bottom w:val="none" w:sz="0" w:space="0" w:color="auto"/>
                    <w:right w:val="none" w:sz="0" w:space="0" w:color="auto"/>
                  </w:divBdr>
                  <w:divsChild>
                    <w:div w:id="231475172">
                      <w:marLeft w:val="0"/>
                      <w:marRight w:val="0"/>
                      <w:marTop w:val="0"/>
                      <w:marBottom w:val="0"/>
                      <w:divBdr>
                        <w:top w:val="none" w:sz="0" w:space="0" w:color="auto"/>
                        <w:left w:val="none" w:sz="0" w:space="0" w:color="auto"/>
                        <w:bottom w:val="none" w:sz="0" w:space="0" w:color="auto"/>
                        <w:right w:val="none" w:sz="0" w:space="0" w:color="auto"/>
                      </w:divBdr>
                    </w:div>
                  </w:divsChild>
                </w:div>
                <w:div w:id="1103501963">
                  <w:marLeft w:val="0"/>
                  <w:marRight w:val="0"/>
                  <w:marTop w:val="0"/>
                  <w:marBottom w:val="0"/>
                  <w:divBdr>
                    <w:top w:val="none" w:sz="0" w:space="0" w:color="auto"/>
                    <w:left w:val="none" w:sz="0" w:space="0" w:color="auto"/>
                    <w:bottom w:val="none" w:sz="0" w:space="0" w:color="auto"/>
                    <w:right w:val="none" w:sz="0" w:space="0" w:color="auto"/>
                  </w:divBdr>
                  <w:divsChild>
                    <w:div w:id="512577186">
                      <w:marLeft w:val="0"/>
                      <w:marRight w:val="0"/>
                      <w:marTop w:val="0"/>
                      <w:marBottom w:val="0"/>
                      <w:divBdr>
                        <w:top w:val="none" w:sz="0" w:space="0" w:color="auto"/>
                        <w:left w:val="none" w:sz="0" w:space="0" w:color="auto"/>
                        <w:bottom w:val="none" w:sz="0" w:space="0" w:color="auto"/>
                        <w:right w:val="none" w:sz="0" w:space="0" w:color="auto"/>
                      </w:divBdr>
                    </w:div>
                    <w:div w:id="1104350200">
                      <w:marLeft w:val="0"/>
                      <w:marRight w:val="0"/>
                      <w:marTop w:val="0"/>
                      <w:marBottom w:val="0"/>
                      <w:divBdr>
                        <w:top w:val="none" w:sz="0" w:space="0" w:color="auto"/>
                        <w:left w:val="none" w:sz="0" w:space="0" w:color="auto"/>
                        <w:bottom w:val="none" w:sz="0" w:space="0" w:color="auto"/>
                        <w:right w:val="none" w:sz="0" w:space="0" w:color="auto"/>
                      </w:divBdr>
                    </w:div>
                  </w:divsChild>
                </w:div>
                <w:div w:id="1128746422">
                  <w:marLeft w:val="0"/>
                  <w:marRight w:val="0"/>
                  <w:marTop w:val="0"/>
                  <w:marBottom w:val="0"/>
                  <w:divBdr>
                    <w:top w:val="none" w:sz="0" w:space="0" w:color="auto"/>
                    <w:left w:val="none" w:sz="0" w:space="0" w:color="auto"/>
                    <w:bottom w:val="none" w:sz="0" w:space="0" w:color="auto"/>
                    <w:right w:val="none" w:sz="0" w:space="0" w:color="auto"/>
                  </w:divBdr>
                  <w:divsChild>
                    <w:div w:id="681014749">
                      <w:marLeft w:val="0"/>
                      <w:marRight w:val="0"/>
                      <w:marTop w:val="0"/>
                      <w:marBottom w:val="0"/>
                      <w:divBdr>
                        <w:top w:val="none" w:sz="0" w:space="0" w:color="auto"/>
                        <w:left w:val="none" w:sz="0" w:space="0" w:color="auto"/>
                        <w:bottom w:val="none" w:sz="0" w:space="0" w:color="auto"/>
                        <w:right w:val="none" w:sz="0" w:space="0" w:color="auto"/>
                      </w:divBdr>
                    </w:div>
                    <w:div w:id="1402437438">
                      <w:marLeft w:val="0"/>
                      <w:marRight w:val="0"/>
                      <w:marTop w:val="0"/>
                      <w:marBottom w:val="0"/>
                      <w:divBdr>
                        <w:top w:val="none" w:sz="0" w:space="0" w:color="auto"/>
                        <w:left w:val="none" w:sz="0" w:space="0" w:color="auto"/>
                        <w:bottom w:val="none" w:sz="0" w:space="0" w:color="auto"/>
                        <w:right w:val="none" w:sz="0" w:space="0" w:color="auto"/>
                      </w:divBdr>
                    </w:div>
                  </w:divsChild>
                </w:div>
                <w:div w:id="1383094218">
                  <w:marLeft w:val="0"/>
                  <w:marRight w:val="0"/>
                  <w:marTop w:val="0"/>
                  <w:marBottom w:val="0"/>
                  <w:divBdr>
                    <w:top w:val="none" w:sz="0" w:space="0" w:color="auto"/>
                    <w:left w:val="none" w:sz="0" w:space="0" w:color="auto"/>
                    <w:bottom w:val="none" w:sz="0" w:space="0" w:color="auto"/>
                    <w:right w:val="none" w:sz="0" w:space="0" w:color="auto"/>
                  </w:divBdr>
                  <w:divsChild>
                    <w:div w:id="1776633553">
                      <w:marLeft w:val="0"/>
                      <w:marRight w:val="0"/>
                      <w:marTop w:val="0"/>
                      <w:marBottom w:val="0"/>
                      <w:divBdr>
                        <w:top w:val="none" w:sz="0" w:space="0" w:color="auto"/>
                        <w:left w:val="none" w:sz="0" w:space="0" w:color="auto"/>
                        <w:bottom w:val="none" w:sz="0" w:space="0" w:color="auto"/>
                        <w:right w:val="none" w:sz="0" w:space="0" w:color="auto"/>
                      </w:divBdr>
                    </w:div>
                  </w:divsChild>
                </w:div>
                <w:div w:id="1390574193">
                  <w:marLeft w:val="0"/>
                  <w:marRight w:val="0"/>
                  <w:marTop w:val="0"/>
                  <w:marBottom w:val="0"/>
                  <w:divBdr>
                    <w:top w:val="none" w:sz="0" w:space="0" w:color="auto"/>
                    <w:left w:val="none" w:sz="0" w:space="0" w:color="auto"/>
                    <w:bottom w:val="none" w:sz="0" w:space="0" w:color="auto"/>
                    <w:right w:val="none" w:sz="0" w:space="0" w:color="auto"/>
                  </w:divBdr>
                  <w:divsChild>
                    <w:div w:id="884484801">
                      <w:marLeft w:val="0"/>
                      <w:marRight w:val="0"/>
                      <w:marTop w:val="0"/>
                      <w:marBottom w:val="0"/>
                      <w:divBdr>
                        <w:top w:val="none" w:sz="0" w:space="0" w:color="auto"/>
                        <w:left w:val="none" w:sz="0" w:space="0" w:color="auto"/>
                        <w:bottom w:val="none" w:sz="0" w:space="0" w:color="auto"/>
                        <w:right w:val="none" w:sz="0" w:space="0" w:color="auto"/>
                      </w:divBdr>
                    </w:div>
                  </w:divsChild>
                </w:div>
                <w:div w:id="1493526769">
                  <w:marLeft w:val="0"/>
                  <w:marRight w:val="0"/>
                  <w:marTop w:val="0"/>
                  <w:marBottom w:val="0"/>
                  <w:divBdr>
                    <w:top w:val="none" w:sz="0" w:space="0" w:color="auto"/>
                    <w:left w:val="none" w:sz="0" w:space="0" w:color="auto"/>
                    <w:bottom w:val="none" w:sz="0" w:space="0" w:color="auto"/>
                    <w:right w:val="none" w:sz="0" w:space="0" w:color="auto"/>
                  </w:divBdr>
                  <w:divsChild>
                    <w:div w:id="339040311">
                      <w:marLeft w:val="0"/>
                      <w:marRight w:val="0"/>
                      <w:marTop w:val="0"/>
                      <w:marBottom w:val="0"/>
                      <w:divBdr>
                        <w:top w:val="none" w:sz="0" w:space="0" w:color="auto"/>
                        <w:left w:val="none" w:sz="0" w:space="0" w:color="auto"/>
                        <w:bottom w:val="none" w:sz="0" w:space="0" w:color="auto"/>
                        <w:right w:val="none" w:sz="0" w:space="0" w:color="auto"/>
                      </w:divBdr>
                    </w:div>
                  </w:divsChild>
                </w:div>
                <w:div w:id="1668435223">
                  <w:marLeft w:val="0"/>
                  <w:marRight w:val="0"/>
                  <w:marTop w:val="0"/>
                  <w:marBottom w:val="0"/>
                  <w:divBdr>
                    <w:top w:val="none" w:sz="0" w:space="0" w:color="auto"/>
                    <w:left w:val="none" w:sz="0" w:space="0" w:color="auto"/>
                    <w:bottom w:val="none" w:sz="0" w:space="0" w:color="auto"/>
                    <w:right w:val="none" w:sz="0" w:space="0" w:color="auto"/>
                  </w:divBdr>
                  <w:divsChild>
                    <w:div w:id="1417361621">
                      <w:marLeft w:val="0"/>
                      <w:marRight w:val="0"/>
                      <w:marTop w:val="0"/>
                      <w:marBottom w:val="0"/>
                      <w:divBdr>
                        <w:top w:val="none" w:sz="0" w:space="0" w:color="auto"/>
                        <w:left w:val="none" w:sz="0" w:space="0" w:color="auto"/>
                        <w:bottom w:val="none" w:sz="0" w:space="0" w:color="auto"/>
                        <w:right w:val="none" w:sz="0" w:space="0" w:color="auto"/>
                      </w:divBdr>
                    </w:div>
                  </w:divsChild>
                </w:div>
                <w:div w:id="1721442342">
                  <w:marLeft w:val="0"/>
                  <w:marRight w:val="0"/>
                  <w:marTop w:val="0"/>
                  <w:marBottom w:val="0"/>
                  <w:divBdr>
                    <w:top w:val="none" w:sz="0" w:space="0" w:color="auto"/>
                    <w:left w:val="none" w:sz="0" w:space="0" w:color="auto"/>
                    <w:bottom w:val="none" w:sz="0" w:space="0" w:color="auto"/>
                    <w:right w:val="none" w:sz="0" w:space="0" w:color="auto"/>
                  </w:divBdr>
                  <w:divsChild>
                    <w:div w:id="157654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84261">
          <w:marLeft w:val="0"/>
          <w:marRight w:val="0"/>
          <w:marTop w:val="0"/>
          <w:marBottom w:val="0"/>
          <w:divBdr>
            <w:top w:val="none" w:sz="0" w:space="0" w:color="auto"/>
            <w:left w:val="none" w:sz="0" w:space="0" w:color="auto"/>
            <w:bottom w:val="none" w:sz="0" w:space="0" w:color="auto"/>
            <w:right w:val="none" w:sz="0" w:space="0" w:color="auto"/>
          </w:divBdr>
        </w:div>
        <w:div w:id="1046222488">
          <w:marLeft w:val="0"/>
          <w:marRight w:val="0"/>
          <w:marTop w:val="0"/>
          <w:marBottom w:val="0"/>
          <w:divBdr>
            <w:top w:val="none" w:sz="0" w:space="0" w:color="auto"/>
            <w:left w:val="none" w:sz="0" w:space="0" w:color="auto"/>
            <w:bottom w:val="none" w:sz="0" w:space="0" w:color="auto"/>
            <w:right w:val="none" w:sz="0" w:space="0" w:color="auto"/>
          </w:divBdr>
        </w:div>
        <w:div w:id="1131941333">
          <w:marLeft w:val="0"/>
          <w:marRight w:val="0"/>
          <w:marTop w:val="0"/>
          <w:marBottom w:val="0"/>
          <w:divBdr>
            <w:top w:val="none" w:sz="0" w:space="0" w:color="auto"/>
            <w:left w:val="none" w:sz="0" w:space="0" w:color="auto"/>
            <w:bottom w:val="none" w:sz="0" w:space="0" w:color="auto"/>
            <w:right w:val="none" w:sz="0" w:space="0" w:color="auto"/>
          </w:divBdr>
        </w:div>
        <w:div w:id="1160393245">
          <w:marLeft w:val="0"/>
          <w:marRight w:val="0"/>
          <w:marTop w:val="0"/>
          <w:marBottom w:val="0"/>
          <w:divBdr>
            <w:top w:val="none" w:sz="0" w:space="0" w:color="auto"/>
            <w:left w:val="none" w:sz="0" w:space="0" w:color="auto"/>
            <w:bottom w:val="none" w:sz="0" w:space="0" w:color="auto"/>
            <w:right w:val="none" w:sz="0" w:space="0" w:color="auto"/>
          </w:divBdr>
        </w:div>
        <w:div w:id="1237132217">
          <w:marLeft w:val="0"/>
          <w:marRight w:val="0"/>
          <w:marTop w:val="0"/>
          <w:marBottom w:val="0"/>
          <w:divBdr>
            <w:top w:val="none" w:sz="0" w:space="0" w:color="auto"/>
            <w:left w:val="none" w:sz="0" w:space="0" w:color="auto"/>
            <w:bottom w:val="none" w:sz="0" w:space="0" w:color="auto"/>
            <w:right w:val="none" w:sz="0" w:space="0" w:color="auto"/>
          </w:divBdr>
        </w:div>
        <w:div w:id="1361280188">
          <w:marLeft w:val="0"/>
          <w:marRight w:val="0"/>
          <w:marTop w:val="0"/>
          <w:marBottom w:val="0"/>
          <w:divBdr>
            <w:top w:val="none" w:sz="0" w:space="0" w:color="auto"/>
            <w:left w:val="none" w:sz="0" w:space="0" w:color="auto"/>
            <w:bottom w:val="none" w:sz="0" w:space="0" w:color="auto"/>
            <w:right w:val="none" w:sz="0" w:space="0" w:color="auto"/>
          </w:divBdr>
        </w:div>
        <w:div w:id="1561742681">
          <w:marLeft w:val="0"/>
          <w:marRight w:val="0"/>
          <w:marTop w:val="0"/>
          <w:marBottom w:val="0"/>
          <w:divBdr>
            <w:top w:val="none" w:sz="0" w:space="0" w:color="auto"/>
            <w:left w:val="none" w:sz="0" w:space="0" w:color="auto"/>
            <w:bottom w:val="none" w:sz="0" w:space="0" w:color="auto"/>
            <w:right w:val="none" w:sz="0" w:space="0" w:color="auto"/>
          </w:divBdr>
        </w:div>
        <w:div w:id="1626693297">
          <w:marLeft w:val="0"/>
          <w:marRight w:val="0"/>
          <w:marTop w:val="0"/>
          <w:marBottom w:val="0"/>
          <w:divBdr>
            <w:top w:val="none" w:sz="0" w:space="0" w:color="auto"/>
            <w:left w:val="none" w:sz="0" w:space="0" w:color="auto"/>
            <w:bottom w:val="none" w:sz="0" w:space="0" w:color="auto"/>
            <w:right w:val="none" w:sz="0" w:space="0" w:color="auto"/>
          </w:divBdr>
          <w:divsChild>
            <w:div w:id="1994025727">
              <w:marLeft w:val="-75"/>
              <w:marRight w:val="0"/>
              <w:marTop w:val="30"/>
              <w:marBottom w:val="30"/>
              <w:divBdr>
                <w:top w:val="none" w:sz="0" w:space="0" w:color="auto"/>
                <w:left w:val="none" w:sz="0" w:space="0" w:color="auto"/>
                <w:bottom w:val="none" w:sz="0" w:space="0" w:color="auto"/>
                <w:right w:val="none" w:sz="0" w:space="0" w:color="auto"/>
              </w:divBdr>
              <w:divsChild>
                <w:div w:id="37165419">
                  <w:marLeft w:val="0"/>
                  <w:marRight w:val="0"/>
                  <w:marTop w:val="0"/>
                  <w:marBottom w:val="0"/>
                  <w:divBdr>
                    <w:top w:val="none" w:sz="0" w:space="0" w:color="auto"/>
                    <w:left w:val="none" w:sz="0" w:space="0" w:color="auto"/>
                    <w:bottom w:val="none" w:sz="0" w:space="0" w:color="auto"/>
                    <w:right w:val="none" w:sz="0" w:space="0" w:color="auto"/>
                  </w:divBdr>
                  <w:divsChild>
                    <w:div w:id="1541362170">
                      <w:marLeft w:val="0"/>
                      <w:marRight w:val="0"/>
                      <w:marTop w:val="0"/>
                      <w:marBottom w:val="0"/>
                      <w:divBdr>
                        <w:top w:val="none" w:sz="0" w:space="0" w:color="auto"/>
                        <w:left w:val="none" w:sz="0" w:space="0" w:color="auto"/>
                        <w:bottom w:val="none" w:sz="0" w:space="0" w:color="auto"/>
                        <w:right w:val="none" w:sz="0" w:space="0" w:color="auto"/>
                      </w:divBdr>
                    </w:div>
                  </w:divsChild>
                </w:div>
                <w:div w:id="89476137">
                  <w:marLeft w:val="0"/>
                  <w:marRight w:val="0"/>
                  <w:marTop w:val="0"/>
                  <w:marBottom w:val="0"/>
                  <w:divBdr>
                    <w:top w:val="none" w:sz="0" w:space="0" w:color="auto"/>
                    <w:left w:val="none" w:sz="0" w:space="0" w:color="auto"/>
                    <w:bottom w:val="none" w:sz="0" w:space="0" w:color="auto"/>
                    <w:right w:val="none" w:sz="0" w:space="0" w:color="auto"/>
                  </w:divBdr>
                  <w:divsChild>
                    <w:div w:id="504246199">
                      <w:marLeft w:val="0"/>
                      <w:marRight w:val="0"/>
                      <w:marTop w:val="0"/>
                      <w:marBottom w:val="0"/>
                      <w:divBdr>
                        <w:top w:val="none" w:sz="0" w:space="0" w:color="auto"/>
                        <w:left w:val="none" w:sz="0" w:space="0" w:color="auto"/>
                        <w:bottom w:val="none" w:sz="0" w:space="0" w:color="auto"/>
                        <w:right w:val="none" w:sz="0" w:space="0" w:color="auto"/>
                      </w:divBdr>
                    </w:div>
                  </w:divsChild>
                </w:div>
                <w:div w:id="99691800">
                  <w:marLeft w:val="0"/>
                  <w:marRight w:val="0"/>
                  <w:marTop w:val="0"/>
                  <w:marBottom w:val="0"/>
                  <w:divBdr>
                    <w:top w:val="none" w:sz="0" w:space="0" w:color="auto"/>
                    <w:left w:val="none" w:sz="0" w:space="0" w:color="auto"/>
                    <w:bottom w:val="none" w:sz="0" w:space="0" w:color="auto"/>
                    <w:right w:val="none" w:sz="0" w:space="0" w:color="auto"/>
                  </w:divBdr>
                  <w:divsChild>
                    <w:div w:id="152527078">
                      <w:marLeft w:val="0"/>
                      <w:marRight w:val="0"/>
                      <w:marTop w:val="0"/>
                      <w:marBottom w:val="0"/>
                      <w:divBdr>
                        <w:top w:val="none" w:sz="0" w:space="0" w:color="auto"/>
                        <w:left w:val="none" w:sz="0" w:space="0" w:color="auto"/>
                        <w:bottom w:val="none" w:sz="0" w:space="0" w:color="auto"/>
                        <w:right w:val="none" w:sz="0" w:space="0" w:color="auto"/>
                      </w:divBdr>
                    </w:div>
                  </w:divsChild>
                </w:div>
                <w:div w:id="118187573">
                  <w:marLeft w:val="0"/>
                  <w:marRight w:val="0"/>
                  <w:marTop w:val="0"/>
                  <w:marBottom w:val="0"/>
                  <w:divBdr>
                    <w:top w:val="none" w:sz="0" w:space="0" w:color="auto"/>
                    <w:left w:val="none" w:sz="0" w:space="0" w:color="auto"/>
                    <w:bottom w:val="none" w:sz="0" w:space="0" w:color="auto"/>
                    <w:right w:val="none" w:sz="0" w:space="0" w:color="auto"/>
                  </w:divBdr>
                  <w:divsChild>
                    <w:div w:id="2084135596">
                      <w:marLeft w:val="0"/>
                      <w:marRight w:val="0"/>
                      <w:marTop w:val="0"/>
                      <w:marBottom w:val="0"/>
                      <w:divBdr>
                        <w:top w:val="none" w:sz="0" w:space="0" w:color="auto"/>
                        <w:left w:val="none" w:sz="0" w:space="0" w:color="auto"/>
                        <w:bottom w:val="none" w:sz="0" w:space="0" w:color="auto"/>
                        <w:right w:val="none" w:sz="0" w:space="0" w:color="auto"/>
                      </w:divBdr>
                    </w:div>
                  </w:divsChild>
                </w:div>
                <w:div w:id="211893773">
                  <w:marLeft w:val="0"/>
                  <w:marRight w:val="0"/>
                  <w:marTop w:val="0"/>
                  <w:marBottom w:val="0"/>
                  <w:divBdr>
                    <w:top w:val="none" w:sz="0" w:space="0" w:color="auto"/>
                    <w:left w:val="none" w:sz="0" w:space="0" w:color="auto"/>
                    <w:bottom w:val="none" w:sz="0" w:space="0" w:color="auto"/>
                    <w:right w:val="none" w:sz="0" w:space="0" w:color="auto"/>
                  </w:divBdr>
                  <w:divsChild>
                    <w:div w:id="426461074">
                      <w:marLeft w:val="0"/>
                      <w:marRight w:val="0"/>
                      <w:marTop w:val="0"/>
                      <w:marBottom w:val="0"/>
                      <w:divBdr>
                        <w:top w:val="none" w:sz="0" w:space="0" w:color="auto"/>
                        <w:left w:val="none" w:sz="0" w:space="0" w:color="auto"/>
                        <w:bottom w:val="none" w:sz="0" w:space="0" w:color="auto"/>
                        <w:right w:val="none" w:sz="0" w:space="0" w:color="auto"/>
                      </w:divBdr>
                    </w:div>
                    <w:div w:id="1161653142">
                      <w:marLeft w:val="0"/>
                      <w:marRight w:val="0"/>
                      <w:marTop w:val="0"/>
                      <w:marBottom w:val="0"/>
                      <w:divBdr>
                        <w:top w:val="none" w:sz="0" w:space="0" w:color="auto"/>
                        <w:left w:val="none" w:sz="0" w:space="0" w:color="auto"/>
                        <w:bottom w:val="none" w:sz="0" w:space="0" w:color="auto"/>
                        <w:right w:val="none" w:sz="0" w:space="0" w:color="auto"/>
                      </w:divBdr>
                    </w:div>
                  </w:divsChild>
                </w:div>
                <w:div w:id="325204446">
                  <w:marLeft w:val="0"/>
                  <w:marRight w:val="0"/>
                  <w:marTop w:val="0"/>
                  <w:marBottom w:val="0"/>
                  <w:divBdr>
                    <w:top w:val="none" w:sz="0" w:space="0" w:color="auto"/>
                    <w:left w:val="none" w:sz="0" w:space="0" w:color="auto"/>
                    <w:bottom w:val="none" w:sz="0" w:space="0" w:color="auto"/>
                    <w:right w:val="none" w:sz="0" w:space="0" w:color="auto"/>
                  </w:divBdr>
                  <w:divsChild>
                    <w:div w:id="2035230513">
                      <w:marLeft w:val="0"/>
                      <w:marRight w:val="0"/>
                      <w:marTop w:val="0"/>
                      <w:marBottom w:val="0"/>
                      <w:divBdr>
                        <w:top w:val="none" w:sz="0" w:space="0" w:color="auto"/>
                        <w:left w:val="none" w:sz="0" w:space="0" w:color="auto"/>
                        <w:bottom w:val="none" w:sz="0" w:space="0" w:color="auto"/>
                        <w:right w:val="none" w:sz="0" w:space="0" w:color="auto"/>
                      </w:divBdr>
                    </w:div>
                  </w:divsChild>
                </w:div>
                <w:div w:id="523859886">
                  <w:marLeft w:val="0"/>
                  <w:marRight w:val="0"/>
                  <w:marTop w:val="0"/>
                  <w:marBottom w:val="0"/>
                  <w:divBdr>
                    <w:top w:val="none" w:sz="0" w:space="0" w:color="auto"/>
                    <w:left w:val="none" w:sz="0" w:space="0" w:color="auto"/>
                    <w:bottom w:val="none" w:sz="0" w:space="0" w:color="auto"/>
                    <w:right w:val="none" w:sz="0" w:space="0" w:color="auto"/>
                  </w:divBdr>
                  <w:divsChild>
                    <w:div w:id="1974286124">
                      <w:marLeft w:val="0"/>
                      <w:marRight w:val="0"/>
                      <w:marTop w:val="0"/>
                      <w:marBottom w:val="0"/>
                      <w:divBdr>
                        <w:top w:val="none" w:sz="0" w:space="0" w:color="auto"/>
                        <w:left w:val="none" w:sz="0" w:space="0" w:color="auto"/>
                        <w:bottom w:val="none" w:sz="0" w:space="0" w:color="auto"/>
                        <w:right w:val="none" w:sz="0" w:space="0" w:color="auto"/>
                      </w:divBdr>
                    </w:div>
                  </w:divsChild>
                </w:div>
                <w:div w:id="529952340">
                  <w:marLeft w:val="0"/>
                  <w:marRight w:val="0"/>
                  <w:marTop w:val="0"/>
                  <w:marBottom w:val="0"/>
                  <w:divBdr>
                    <w:top w:val="none" w:sz="0" w:space="0" w:color="auto"/>
                    <w:left w:val="none" w:sz="0" w:space="0" w:color="auto"/>
                    <w:bottom w:val="none" w:sz="0" w:space="0" w:color="auto"/>
                    <w:right w:val="none" w:sz="0" w:space="0" w:color="auto"/>
                  </w:divBdr>
                  <w:divsChild>
                    <w:div w:id="289824105">
                      <w:marLeft w:val="0"/>
                      <w:marRight w:val="0"/>
                      <w:marTop w:val="0"/>
                      <w:marBottom w:val="0"/>
                      <w:divBdr>
                        <w:top w:val="none" w:sz="0" w:space="0" w:color="auto"/>
                        <w:left w:val="none" w:sz="0" w:space="0" w:color="auto"/>
                        <w:bottom w:val="none" w:sz="0" w:space="0" w:color="auto"/>
                        <w:right w:val="none" w:sz="0" w:space="0" w:color="auto"/>
                      </w:divBdr>
                    </w:div>
                  </w:divsChild>
                </w:div>
                <w:div w:id="575436191">
                  <w:marLeft w:val="0"/>
                  <w:marRight w:val="0"/>
                  <w:marTop w:val="0"/>
                  <w:marBottom w:val="0"/>
                  <w:divBdr>
                    <w:top w:val="none" w:sz="0" w:space="0" w:color="auto"/>
                    <w:left w:val="none" w:sz="0" w:space="0" w:color="auto"/>
                    <w:bottom w:val="none" w:sz="0" w:space="0" w:color="auto"/>
                    <w:right w:val="none" w:sz="0" w:space="0" w:color="auto"/>
                  </w:divBdr>
                  <w:divsChild>
                    <w:div w:id="1481651788">
                      <w:marLeft w:val="0"/>
                      <w:marRight w:val="0"/>
                      <w:marTop w:val="0"/>
                      <w:marBottom w:val="0"/>
                      <w:divBdr>
                        <w:top w:val="none" w:sz="0" w:space="0" w:color="auto"/>
                        <w:left w:val="none" w:sz="0" w:space="0" w:color="auto"/>
                        <w:bottom w:val="none" w:sz="0" w:space="0" w:color="auto"/>
                        <w:right w:val="none" w:sz="0" w:space="0" w:color="auto"/>
                      </w:divBdr>
                    </w:div>
                  </w:divsChild>
                </w:div>
                <w:div w:id="579829518">
                  <w:marLeft w:val="0"/>
                  <w:marRight w:val="0"/>
                  <w:marTop w:val="0"/>
                  <w:marBottom w:val="0"/>
                  <w:divBdr>
                    <w:top w:val="none" w:sz="0" w:space="0" w:color="auto"/>
                    <w:left w:val="none" w:sz="0" w:space="0" w:color="auto"/>
                    <w:bottom w:val="none" w:sz="0" w:space="0" w:color="auto"/>
                    <w:right w:val="none" w:sz="0" w:space="0" w:color="auto"/>
                  </w:divBdr>
                  <w:divsChild>
                    <w:div w:id="732508461">
                      <w:marLeft w:val="0"/>
                      <w:marRight w:val="0"/>
                      <w:marTop w:val="0"/>
                      <w:marBottom w:val="0"/>
                      <w:divBdr>
                        <w:top w:val="none" w:sz="0" w:space="0" w:color="auto"/>
                        <w:left w:val="none" w:sz="0" w:space="0" w:color="auto"/>
                        <w:bottom w:val="none" w:sz="0" w:space="0" w:color="auto"/>
                        <w:right w:val="none" w:sz="0" w:space="0" w:color="auto"/>
                      </w:divBdr>
                    </w:div>
                  </w:divsChild>
                </w:div>
                <w:div w:id="632753912">
                  <w:marLeft w:val="0"/>
                  <w:marRight w:val="0"/>
                  <w:marTop w:val="0"/>
                  <w:marBottom w:val="0"/>
                  <w:divBdr>
                    <w:top w:val="none" w:sz="0" w:space="0" w:color="auto"/>
                    <w:left w:val="none" w:sz="0" w:space="0" w:color="auto"/>
                    <w:bottom w:val="none" w:sz="0" w:space="0" w:color="auto"/>
                    <w:right w:val="none" w:sz="0" w:space="0" w:color="auto"/>
                  </w:divBdr>
                  <w:divsChild>
                    <w:div w:id="861941724">
                      <w:marLeft w:val="0"/>
                      <w:marRight w:val="0"/>
                      <w:marTop w:val="0"/>
                      <w:marBottom w:val="0"/>
                      <w:divBdr>
                        <w:top w:val="none" w:sz="0" w:space="0" w:color="auto"/>
                        <w:left w:val="none" w:sz="0" w:space="0" w:color="auto"/>
                        <w:bottom w:val="none" w:sz="0" w:space="0" w:color="auto"/>
                        <w:right w:val="none" w:sz="0" w:space="0" w:color="auto"/>
                      </w:divBdr>
                    </w:div>
                  </w:divsChild>
                </w:div>
                <w:div w:id="680086231">
                  <w:marLeft w:val="0"/>
                  <w:marRight w:val="0"/>
                  <w:marTop w:val="0"/>
                  <w:marBottom w:val="0"/>
                  <w:divBdr>
                    <w:top w:val="none" w:sz="0" w:space="0" w:color="auto"/>
                    <w:left w:val="none" w:sz="0" w:space="0" w:color="auto"/>
                    <w:bottom w:val="none" w:sz="0" w:space="0" w:color="auto"/>
                    <w:right w:val="none" w:sz="0" w:space="0" w:color="auto"/>
                  </w:divBdr>
                  <w:divsChild>
                    <w:div w:id="1009721778">
                      <w:marLeft w:val="0"/>
                      <w:marRight w:val="0"/>
                      <w:marTop w:val="0"/>
                      <w:marBottom w:val="0"/>
                      <w:divBdr>
                        <w:top w:val="none" w:sz="0" w:space="0" w:color="auto"/>
                        <w:left w:val="none" w:sz="0" w:space="0" w:color="auto"/>
                        <w:bottom w:val="none" w:sz="0" w:space="0" w:color="auto"/>
                        <w:right w:val="none" w:sz="0" w:space="0" w:color="auto"/>
                      </w:divBdr>
                    </w:div>
                  </w:divsChild>
                </w:div>
                <w:div w:id="722412603">
                  <w:marLeft w:val="0"/>
                  <w:marRight w:val="0"/>
                  <w:marTop w:val="0"/>
                  <w:marBottom w:val="0"/>
                  <w:divBdr>
                    <w:top w:val="none" w:sz="0" w:space="0" w:color="auto"/>
                    <w:left w:val="none" w:sz="0" w:space="0" w:color="auto"/>
                    <w:bottom w:val="none" w:sz="0" w:space="0" w:color="auto"/>
                    <w:right w:val="none" w:sz="0" w:space="0" w:color="auto"/>
                  </w:divBdr>
                  <w:divsChild>
                    <w:div w:id="913472565">
                      <w:marLeft w:val="0"/>
                      <w:marRight w:val="0"/>
                      <w:marTop w:val="0"/>
                      <w:marBottom w:val="0"/>
                      <w:divBdr>
                        <w:top w:val="none" w:sz="0" w:space="0" w:color="auto"/>
                        <w:left w:val="none" w:sz="0" w:space="0" w:color="auto"/>
                        <w:bottom w:val="none" w:sz="0" w:space="0" w:color="auto"/>
                        <w:right w:val="none" w:sz="0" w:space="0" w:color="auto"/>
                      </w:divBdr>
                    </w:div>
                  </w:divsChild>
                </w:div>
                <w:div w:id="1101412442">
                  <w:marLeft w:val="0"/>
                  <w:marRight w:val="0"/>
                  <w:marTop w:val="0"/>
                  <w:marBottom w:val="0"/>
                  <w:divBdr>
                    <w:top w:val="none" w:sz="0" w:space="0" w:color="auto"/>
                    <w:left w:val="none" w:sz="0" w:space="0" w:color="auto"/>
                    <w:bottom w:val="none" w:sz="0" w:space="0" w:color="auto"/>
                    <w:right w:val="none" w:sz="0" w:space="0" w:color="auto"/>
                  </w:divBdr>
                  <w:divsChild>
                    <w:div w:id="1947079953">
                      <w:marLeft w:val="0"/>
                      <w:marRight w:val="0"/>
                      <w:marTop w:val="0"/>
                      <w:marBottom w:val="0"/>
                      <w:divBdr>
                        <w:top w:val="none" w:sz="0" w:space="0" w:color="auto"/>
                        <w:left w:val="none" w:sz="0" w:space="0" w:color="auto"/>
                        <w:bottom w:val="none" w:sz="0" w:space="0" w:color="auto"/>
                        <w:right w:val="none" w:sz="0" w:space="0" w:color="auto"/>
                      </w:divBdr>
                    </w:div>
                  </w:divsChild>
                </w:div>
                <w:div w:id="1216507460">
                  <w:marLeft w:val="0"/>
                  <w:marRight w:val="0"/>
                  <w:marTop w:val="0"/>
                  <w:marBottom w:val="0"/>
                  <w:divBdr>
                    <w:top w:val="none" w:sz="0" w:space="0" w:color="auto"/>
                    <w:left w:val="none" w:sz="0" w:space="0" w:color="auto"/>
                    <w:bottom w:val="none" w:sz="0" w:space="0" w:color="auto"/>
                    <w:right w:val="none" w:sz="0" w:space="0" w:color="auto"/>
                  </w:divBdr>
                  <w:divsChild>
                    <w:div w:id="199785396">
                      <w:marLeft w:val="0"/>
                      <w:marRight w:val="0"/>
                      <w:marTop w:val="0"/>
                      <w:marBottom w:val="0"/>
                      <w:divBdr>
                        <w:top w:val="none" w:sz="0" w:space="0" w:color="auto"/>
                        <w:left w:val="none" w:sz="0" w:space="0" w:color="auto"/>
                        <w:bottom w:val="none" w:sz="0" w:space="0" w:color="auto"/>
                        <w:right w:val="none" w:sz="0" w:space="0" w:color="auto"/>
                      </w:divBdr>
                    </w:div>
                  </w:divsChild>
                </w:div>
                <w:div w:id="1387607844">
                  <w:marLeft w:val="0"/>
                  <w:marRight w:val="0"/>
                  <w:marTop w:val="0"/>
                  <w:marBottom w:val="0"/>
                  <w:divBdr>
                    <w:top w:val="none" w:sz="0" w:space="0" w:color="auto"/>
                    <w:left w:val="none" w:sz="0" w:space="0" w:color="auto"/>
                    <w:bottom w:val="none" w:sz="0" w:space="0" w:color="auto"/>
                    <w:right w:val="none" w:sz="0" w:space="0" w:color="auto"/>
                  </w:divBdr>
                  <w:divsChild>
                    <w:div w:id="1786658889">
                      <w:marLeft w:val="0"/>
                      <w:marRight w:val="0"/>
                      <w:marTop w:val="0"/>
                      <w:marBottom w:val="0"/>
                      <w:divBdr>
                        <w:top w:val="none" w:sz="0" w:space="0" w:color="auto"/>
                        <w:left w:val="none" w:sz="0" w:space="0" w:color="auto"/>
                        <w:bottom w:val="none" w:sz="0" w:space="0" w:color="auto"/>
                        <w:right w:val="none" w:sz="0" w:space="0" w:color="auto"/>
                      </w:divBdr>
                    </w:div>
                  </w:divsChild>
                </w:div>
                <w:div w:id="1498763751">
                  <w:marLeft w:val="0"/>
                  <w:marRight w:val="0"/>
                  <w:marTop w:val="0"/>
                  <w:marBottom w:val="0"/>
                  <w:divBdr>
                    <w:top w:val="none" w:sz="0" w:space="0" w:color="auto"/>
                    <w:left w:val="none" w:sz="0" w:space="0" w:color="auto"/>
                    <w:bottom w:val="none" w:sz="0" w:space="0" w:color="auto"/>
                    <w:right w:val="none" w:sz="0" w:space="0" w:color="auto"/>
                  </w:divBdr>
                  <w:divsChild>
                    <w:div w:id="873612031">
                      <w:marLeft w:val="0"/>
                      <w:marRight w:val="0"/>
                      <w:marTop w:val="0"/>
                      <w:marBottom w:val="0"/>
                      <w:divBdr>
                        <w:top w:val="none" w:sz="0" w:space="0" w:color="auto"/>
                        <w:left w:val="none" w:sz="0" w:space="0" w:color="auto"/>
                        <w:bottom w:val="none" w:sz="0" w:space="0" w:color="auto"/>
                        <w:right w:val="none" w:sz="0" w:space="0" w:color="auto"/>
                      </w:divBdr>
                    </w:div>
                  </w:divsChild>
                </w:div>
                <w:div w:id="1605966400">
                  <w:marLeft w:val="0"/>
                  <w:marRight w:val="0"/>
                  <w:marTop w:val="0"/>
                  <w:marBottom w:val="0"/>
                  <w:divBdr>
                    <w:top w:val="none" w:sz="0" w:space="0" w:color="auto"/>
                    <w:left w:val="none" w:sz="0" w:space="0" w:color="auto"/>
                    <w:bottom w:val="none" w:sz="0" w:space="0" w:color="auto"/>
                    <w:right w:val="none" w:sz="0" w:space="0" w:color="auto"/>
                  </w:divBdr>
                  <w:divsChild>
                    <w:div w:id="1347631037">
                      <w:marLeft w:val="0"/>
                      <w:marRight w:val="0"/>
                      <w:marTop w:val="0"/>
                      <w:marBottom w:val="0"/>
                      <w:divBdr>
                        <w:top w:val="none" w:sz="0" w:space="0" w:color="auto"/>
                        <w:left w:val="none" w:sz="0" w:space="0" w:color="auto"/>
                        <w:bottom w:val="none" w:sz="0" w:space="0" w:color="auto"/>
                        <w:right w:val="none" w:sz="0" w:space="0" w:color="auto"/>
                      </w:divBdr>
                    </w:div>
                  </w:divsChild>
                </w:div>
                <w:div w:id="1795514367">
                  <w:marLeft w:val="0"/>
                  <w:marRight w:val="0"/>
                  <w:marTop w:val="0"/>
                  <w:marBottom w:val="0"/>
                  <w:divBdr>
                    <w:top w:val="none" w:sz="0" w:space="0" w:color="auto"/>
                    <w:left w:val="none" w:sz="0" w:space="0" w:color="auto"/>
                    <w:bottom w:val="none" w:sz="0" w:space="0" w:color="auto"/>
                    <w:right w:val="none" w:sz="0" w:space="0" w:color="auto"/>
                  </w:divBdr>
                  <w:divsChild>
                    <w:div w:id="818614035">
                      <w:marLeft w:val="0"/>
                      <w:marRight w:val="0"/>
                      <w:marTop w:val="0"/>
                      <w:marBottom w:val="0"/>
                      <w:divBdr>
                        <w:top w:val="none" w:sz="0" w:space="0" w:color="auto"/>
                        <w:left w:val="none" w:sz="0" w:space="0" w:color="auto"/>
                        <w:bottom w:val="none" w:sz="0" w:space="0" w:color="auto"/>
                        <w:right w:val="none" w:sz="0" w:space="0" w:color="auto"/>
                      </w:divBdr>
                    </w:div>
                  </w:divsChild>
                </w:div>
                <w:div w:id="1832019406">
                  <w:marLeft w:val="0"/>
                  <w:marRight w:val="0"/>
                  <w:marTop w:val="0"/>
                  <w:marBottom w:val="0"/>
                  <w:divBdr>
                    <w:top w:val="none" w:sz="0" w:space="0" w:color="auto"/>
                    <w:left w:val="none" w:sz="0" w:space="0" w:color="auto"/>
                    <w:bottom w:val="none" w:sz="0" w:space="0" w:color="auto"/>
                    <w:right w:val="none" w:sz="0" w:space="0" w:color="auto"/>
                  </w:divBdr>
                  <w:divsChild>
                    <w:div w:id="700860297">
                      <w:marLeft w:val="0"/>
                      <w:marRight w:val="0"/>
                      <w:marTop w:val="0"/>
                      <w:marBottom w:val="0"/>
                      <w:divBdr>
                        <w:top w:val="none" w:sz="0" w:space="0" w:color="auto"/>
                        <w:left w:val="none" w:sz="0" w:space="0" w:color="auto"/>
                        <w:bottom w:val="none" w:sz="0" w:space="0" w:color="auto"/>
                        <w:right w:val="none" w:sz="0" w:space="0" w:color="auto"/>
                      </w:divBdr>
                    </w:div>
                    <w:div w:id="1956137133">
                      <w:marLeft w:val="0"/>
                      <w:marRight w:val="0"/>
                      <w:marTop w:val="0"/>
                      <w:marBottom w:val="0"/>
                      <w:divBdr>
                        <w:top w:val="none" w:sz="0" w:space="0" w:color="auto"/>
                        <w:left w:val="none" w:sz="0" w:space="0" w:color="auto"/>
                        <w:bottom w:val="none" w:sz="0" w:space="0" w:color="auto"/>
                        <w:right w:val="none" w:sz="0" w:space="0" w:color="auto"/>
                      </w:divBdr>
                    </w:div>
                  </w:divsChild>
                </w:div>
                <w:div w:id="1879776563">
                  <w:marLeft w:val="0"/>
                  <w:marRight w:val="0"/>
                  <w:marTop w:val="0"/>
                  <w:marBottom w:val="0"/>
                  <w:divBdr>
                    <w:top w:val="none" w:sz="0" w:space="0" w:color="auto"/>
                    <w:left w:val="none" w:sz="0" w:space="0" w:color="auto"/>
                    <w:bottom w:val="none" w:sz="0" w:space="0" w:color="auto"/>
                    <w:right w:val="none" w:sz="0" w:space="0" w:color="auto"/>
                  </w:divBdr>
                  <w:divsChild>
                    <w:div w:id="27166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468985">
          <w:marLeft w:val="0"/>
          <w:marRight w:val="0"/>
          <w:marTop w:val="0"/>
          <w:marBottom w:val="0"/>
          <w:divBdr>
            <w:top w:val="none" w:sz="0" w:space="0" w:color="auto"/>
            <w:left w:val="none" w:sz="0" w:space="0" w:color="auto"/>
            <w:bottom w:val="none" w:sz="0" w:space="0" w:color="auto"/>
            <w:right w:val="none" w:sz="0" w:space="0" w:color="auto"/>
          </w:divBdr>
        </w:div>
        <w:div w:id="1933126897">
          <w:marLeft w:val="0"/>
          <w:marRight w:val="0"/>
          <w:marTop w:val="0"/>
          <w:marBottom w:val="0"/>
          <w:divBdr>
            <w:top w:val="none" w:sz="0" w:space="0" w:color="auto"/>
            <w:left w:val="none" w:sz="0" w:space="0" w:color="auto"/>
            <w:bottom w:val="none" w:sz="0" w:space="0" w:color="auto"/>
            <w:right w:val="none" w:sz="0" w:space="0" w:color="auto"/>
          </w:divBdr>
        </w:div>
        <w:div w:id="2002148755">
          <w:marLeft w:val="0"/>
          <w:marRight w:val="0"/>
          <w:marTop w:val="0"/>
          <w:marBottom w:val="0"/>
          <w:divBdr>
            <w:top w:val="none" w:sz="0" w:space="0" w:color="auto"/>
            <w:left w:val="none" w:sz="0" w:space="0" w:color="auto"/>
            <w:bottom w:val="none" w:sz="0" w:space="0" w:color="auto"/>
            <w:right w:val="none" w:sz="0" w:space="0" w:color="auto"/>
          </w:divBdr>
        </w:div>
      </w:divsChild>
    </w:div>
    <w:div w:id="1491481558">
      <w:bodyDiv w:val="1"/>
      <w:marLeft w:val="0"/>
      <w:marRight w:val="0"/>
      <w:marTop w:val="0"/>
      <w:marBottom w:val="0"/>
      <w:divBdr>
        <w:top w:val="none" w:sz="0" w:space="0" w:color="auto"/>
        <w:left w:val="none" w:sz="0" w:space="0" w:color="auto"/>
        <w:bottom w:val="none" w:sz="0" w:space="0" w:color="auto"/>
        <w:right w:val="none" w:sz="0" w:space="0" w:color="auto"/>
      </w:divBdr>
      <w:divsChild>
        <w:div w:id="339554129">
          <w:marLeft w:val="0"/>
          <w:marRight w:val="0"/>
          <w:marTop w:val="0"/>
          <w:marBottom w:val="0"/>
          <w:divBdr>
            <w:top w:val="none" w:sz="0" w:space="0" w:color="auto"/>
            <w:left w:val="none" w:sz="0" w:space="0" w:color="auto"/>
            <w:bottom w:val="none" w:sz="0" w:space="0" w:color="auto"/>
            <w:right w:val="none" w:sz="0" w:space="0" w:color="auto"/>
          </w:divBdr>
        </w:div>
        <w:div w:id="381944516">
          <w:marLeft w:val="0"/>
          <w:marRight w:val="0"/>
          <w:marTop w:val="0"/>
          <w:marBottom w:val="0"/>
          <w:divBdr>
            <w:top w:val="none" w:sz="0" w:space="0" w:color="auto"/>
            <w:left w:val="none" w:sz="0" w:space="0" w:color="auto"/>
            <w:bottom w:val="none" w:sz="0" w:space="0" w:color="auto"/>
            <w:right w:val="none" w:sz="0" w:space="0" w:color="auto"/>
          </w:divBdr>
        </w:div>
        <w:div w:id="462357026">
          <w:marLeft w:val="0"/>
          <w:marRight w:val="0"/>
          <w:marTop w:val="0"/>
          <w:marBottom w:val="0"/>
          <w:divBdr>
            <w:top w:val="none" w:sz="0" w:space="0" w:color="auto"/>
            <w:left w:val="none" w:sz="0" w:space="0" w:color="auto"/>
            <w:bottom w:val="none" w:sz="0" w:space="0" w:color="auto"/>
            <w:right w:val="none" w:sz="0" w:space="0" w:color="auto"/>
          </w:divBdr>
        </w:div>
        <w:div w:id="735713069">
          <w:marLeft w:val="0"/>
          <w:marRight w:val="0"/>
          <w:marTop w:val="0"/>
          <w:marBottom w:val="0"/>
          <w:divBdr>
            <w:top w:val="none" w:sz="0" w:space="0" w:color="auto"/>
            <w:left w:val="none" w:sz="0" w:space="0" w:color="auto"/>
            <w:bottom w:val="none" w:sz="0" w:space="0" w:color="auto"/>
            <w:right w:val="none" w:sz="0" w:space="0" w:color="auto"/>
          </w:divBdr>
        </w:div>
        <w:div w:id="1024483890">
          <w:marLeft w:val="0"/>
          <w:marRight w:val="0"/>
          <w:marTop w:val="0"/>
          <w:marBottom w:val="0"/>
          <w:divBdr>
            <w:top w:val="none" w:sz="0" w:space="0" w:color="auto"/>
            <w:left w:val="none" w:sz="0" w:space="0" w:color="auto"/>
            <w:bottom w:val="none" w:sz="0" w:space="0" w:color="auto"/>
            <w:right w:val="none" w:sz="0" w:space="0" w:color="auto"/>
          </w:divBdr>
        </w:div>
        <w:div w:id="1072240444">
          <w:marLeft w:val="0"/>
          <w:marRight w:val="0"/>
          <w:marTop w:val="0"/>
          <w:marBottom w:val="0"/>
          <w:divBdr>
            <w:top w:val="none" w:sz="0" w:space="0" w:color="auto"/>
            <w:left w:val="none" w:sz="0" w:space="0" w:color="auto"/>
            <w:bottom w:val="none" w:sz="0" w:space="0" w:color="auto"/>
            <w:right w:val="none" w:sz="0" w:space="0" w:color="auto"/>
          </w:divBdr>
        </w:div>
        <w:div w:id="1247349803">
          <w:marLeft w:val="0"/>
          <w:marRight w:val="0"/>
          <w:marTop w:val="0"/>
          <w:marBottom w:val="0"/>
          <w:divBdr>
            <w:top w:val="none" w:sz="0" w:space="0" w:color="auto"/>
            <w:left w:val="none" w:sz="0" w:space="0" w:color="auto"/>
            <w:bottom w:val="none" w:sz="0" w:space="0" w:color="auto"/>
            <w:right w:val="none" w:sz="0" w:space="0" w:color="auto"/>
          </w:divBdr>
        </w:div>
        <w:div w:id="1437559863">
          <w:marLeft w:val="0"/>
          <w:marRight w:val="0"/>
          <w:marTop w:val="0"/>
          <w:marBottom w:val="0"/>
          <w:divBdr>
            <w:top w:val="none" w:sz="0" w:space="0" w:color="auto"/>
            <w:left w:val="none" w:sz="0" w:space="0" w:color="auto"/>
            <w:bottom w:val="none" w:sz="0" w:space="0" w:color="auto"/>
            <w:right w:val="none" w:sz="0" w:space="0" w:color="auto"/>
          </w:divBdr>
        </w:div>
        <w:div w:id="1534926976">
          <w:marLeft w:val="0"/>
          <w:marRight w:val="0"/>
          <w:marTop w:val="0"/>
          <w:marBottom w:val="0"/>
          <w:divBdr>
            <w:top w:val="none" w:sz="0" w:space="0" w:color="auto"/>
            <w:left w:val="none" w:sz="0" w:space="0" w:color="auto"/>
            <w:bottom w:val="none" w:sz="0" w:space="0" w:color="auto"/>
            <w:right w:val="none" w:sz="0" w:space="0" w:color="auto"/>
          </w:divBdr>
        </w:div>
        <w:div w:id="1563372910">
          <w:marLeft w:val="0"/>
          <w:marRight w:val="0"/>
          <w:marTop w:val="0"/>
          <w:marBottom w:val="0"/>
          <w:divBdr>
            <w:top w:val="none" w:sz="0" w:space="0" w:color="auto"/>
            <w:left w:val="none" w:sz="0" w:space="0" w:color="auto"/>
            <w:bottom w:val="none" w:sz="0" w:space="0" w:color="auto"/>
            <w:right w:val="none" w:sz="0" w:space="0" w:color="auto"/>
          </w:divBdr>
        </w:div>
        <w:div w:id="1758360789">
          <w:marLeft w:val="0"/>
          <w:marRight w:val="0"/>
          <w:marTop w:val="0"/>
          <w:marBottom w:val="0"/>
          <w:divBdr>
            <w:top w:val="none" w:sz="0" w:space="0" w:color="auto"/>
            <w:left w:val="none" w:sz="0" w:space="0" w:color="auto"/>
            <w:bottom w:val="none" w:sz="0" w:space="0" w:color="auto"/>
            <w:right w:val="none" w:sz="0" w:space="0" w:color="auto"/>
          </w:divBdr>
        </w:div>
        <w:div w:id="1981878260">
          <w:marLeft w:val="0"/>
          <w:marRight w:val="0"/>
          <w:marTop w:val="0"/>
          <w:marBottom w:val="0"/>
          <w:divBdr>
            <w:top w:val="none" w:sz="0" w:space="0" w:color="auto"/>
            <w:left w:val="none" w:sz="0" w:space="0" w:color="auto"/>
            <w:bottom w:val="none" w:sz="0" w:space="0" w:color="auto"/>
            <w:right w:val="none" w:sz="0" w:space="0" w:color="auto"/>
          </w:divBdr>
        </w:div>
      </w:divsChild>
    </w:div>
    <w:div w:id="1501576811">
      <w:bodyDiv w:val="1"/>
      <w:marLeft w:val="0"/>
      <w:marRight w:val="0"/>
      <w:marTop w:val="0"/>
      <w:marBottom w:val="0"/>
      <w:divBdr>
        <w:top w:val="none" w:sz="0" w:space="0" w:color="auto"/>
        <w:left w:val="none" w:sz="0" w:space="0" w:color="auto"/>
        <w:bottom w:val="none" w:sz="0" w:space="0" w:color="auto"/>
        <w:right w:val="none" w:sz="0" w:space="0" w:color="auto"/>
      </w:divBdr>
      <w:divsChild>
        <w:div w:id="1140341533">
          <w:marLeft w:val="0"/>
          <w:marRight w:val="0"/>
          <w:marTop w:val="0"/>
          <w:marBottom w:val="0"/>
          <w:divBdr>
            <w:top w:val="none" w:sz="0" w:space="0" w:color="auto"/>
            <w:left w:val="none" w:sz="0" w:space="0" w:color="auto"/>
            <w:bottom w:val="none" w:sz="0" w:space="0" w:color="auto"/>
            <w:right w:val="none" w:sz="0" w:space="0" w:color="auto"/>
          </w:divBdr>
        </w:div>
      </w:divsChild>
    </w:div>
    <w:div w:id="1504585159">
      <w:bodyDiv w:val="1"/>
      <w:marLeft w:val="0"/>
      <w:marRight w:val="0"/>
      <w:marTop w:val="0"/>
      <w:marBottom w:val="0"/>
      <w:divBdr>
        <w:top w:val="none" w:sz="0" w:space="0" w:color="auto"/>
        <w:left w:val="none" w:sz="0" w:space="0" w:color="auto"/>
        <w:bottom w:val="none" w:sz="0" w:space="0" w:color="auto"/>
        <w:right w:val="none" w:sz="0" w:space="0" w:color="auto"/>
      </w:divBdr>
      <w:divsChild>
        <w:div w:id="600724784">
          <w:marLeft w:val="0"/>
          <w:marRight w:val="0"/>
          <w:marTop w:val="0"/>
          <w:marBottom w:val="0"/>
          <w:divBdr>
            <w:top w:val="none" w:sz="0" w:space="0" w:color="auto"/>
            <w:left w:val="none" w:sz="0" w:space="0" w:color="auto"/>
            <w:bottom w:val="none" w:sz="0" w:space="0" w:color="auto"/>
            <w:right w:val="none" w:sz="0" w:space="0" w:color="auto"/>
          </w:divBdr>
          <w:divsChild>
            <w:div w:id="2039238916">
              <w:marLeft w:val="0"/>
              <w:marRight w:val="0"/>
              <w:marTop w:val="0"/>
              <w:marBottom w:val="0"/>
              <w:divBdr>
                <w:top w:val="none" w:sz="0" w:space="0" w:color="auto"/>
                <w:left w:val="none" w:sz="0" w:space="0" w:color="auto"/>
                <w:bottom w:val="none" w:sz="0" w:space="0" w:color="auto"/>
                <w:right w:val="none" w:sz="0" w:space="0" w:color="auto"/>
              </w:divBdr>
            </w:div>
          </w:divsChild>
        </w:div>
        <w:div w:id="861285804">
          <w:marLeft w:val="0"/>
          <w:marRight w:val="0"/>
          <w:marTop w:val="0"/>
          <w:marBottom w:val="0"/>
          <w:divBdr>
            <w:top w:val="none" w:sz="0" w:space="0" w:color="auto"/>
            <w:left w:val="none" w:sz="0" w:space="0" w:color="auto"/>
            <w:bottom w:val="none" w:sz="0" w:space="0" w:color="auto"/>
            <w:right w:val="none" w:sz="0" w:space="0" w:color="auto"/>
          </w:divBdr>
          <w:divsChild>
            <w:div w:id="983974291">
              <w:marLeft w:val="0"/>
              <w:marRight w:val="0"/>
              <w:marTop w:val="0"/>
              <w:marBottom w:val="0"/>
              <w:divBdr>
                <w:top w:val="none" w:sz="0" w:space="0" w:color="auto"/>
                <w:left w:val="none" w:sz="0" w:space="0" w:color="auto"/>
                <w:bottom w:val="none" w:sz="0" w:space="0" w:color="auto"/>
                <w:right w:val="none" w:sz="0" w:space="0" w:color="auto"/>
              </w:divBdr>
            </w:div>
          </w:divsChild>
        </w:div>
        <w:div w:id="1245578167">
          <w:marLeft w:val="0"/>
          <w:marRight w:val="0"/>
          <w:marTop w:val="0"/>
          <w:marBottom w:val="0"/>
          <w:divBdr>
            <w:top w:val="none" w:sz="0" w:space="0" w:color="auto"/>
            <w:left w:val="none" w:sz="0" w:space="0" w:color="auto"/>
            <w:bottom w:val="none" w:sz="0" w:space="0" w:color="auto"/>
            <w:right w:val="none" w:sz="0" w:space="0" w:color="auto"/>
          </w:divBdr>
          <w:divsChild>
            <w:div w:id="1227104300">
              <w:marLeft w:val="0"/>
              <w:marRight w:val="0"/>
              <w:marTop w:val="0"/>
              <w:marBottom w:val="0"/>
              <w:divBdr>
                <w:top w:val="none" w:sz="0" w:space="0" w:color="auto"/>
                <w:left w:val="none" w:sz="0" w:space="0" w:color="auto"/>
                <w:bottom w:val="none" w:sz="0" w:space="0" w:color="auto"/>
                <w:right w:val="none" w:sz="0" w:space="0" w:color="auto"/>
              </w:divBdr>
            </w:div>
          </w:divsChild>
        </w:div>
        <w:div w:id="1399860433">
          <w:marLeft w:val="0"/>
          <w:marRight w:val="0"/>
          <w:marTop w:val="0"/>
          <w:marBottom w:val="0"/>
          <w:divBdr>
            <w:top w:val="none" w:sz="0" w:space="0" w:color="auto"/>
            <w:left w:val="none" w:sz="0" w:space="0" w:color="auto"/>
            <w:bottom w:val="none" w:sz="0" w:space="0" w:color="auto"/>
            <w:right w:val="none" w:sz="0" w:space="0" w:color="auto"/>
          </w:divBdr>
          <w:divsChild>
            <w:div w:id="633678806">
              <w:marLeft w:val="0"/>
              <w:marRight w:val="0"/>
              <w:marTop w:val="0"/>
              <w:marBottom w:val="0"/>
              <w:divBdr>
                <w:top w:val="none" w:sz="0" w:space="0" w:color="auto"/>
                <w:left w:val="none" w:sz="0" w:space="0" w:color="auto"/>
                <w:bottom w:val="none" w:sz="0" w:space="0" w:color="auto"/>
                <w:right w:val="none" w:sz="0" w:space="0" w:color="auto"/>
              </w:divBdr>
            </w:div>
          </w:divsChild>
        </w:div>
        <w:div w:id="1486819601">
          <w:marLeft w:val="0"/>
          <w:marRight w:val="0"/>
          <w:marTop w:val="0"/>
          <w:marBottom w:val="0"/>
          <w:divBdr>
            <w:top w:val="none" w:sz="0" w:space="0" w:color="auto"/>
            <w:left w:val="none" w:sz="0" w:space="0" w:color="auto"/>
            <w:bottom w:val="none" w:sz="0" w:space="0" w:color="auto"/>
            <w:right w:val="none" w:sz="0" w:space="0" w:color="auto"/>
          </w:divBdr>
          <w:divsChild>
            <w:div w:id="1201668262">
              <w:marLeft w:val="0"/>
              <w:marRight w:val="0"/>
              <w:marTop w:val="0"/>
              <w:marBottom w:val="0"/>
              <w:divBdr>
                <w:top w:val="none" w:sz="0" w:space="0" w:color="auto"/>
                <w:left w:val="none" w:sz="0" w:space="0" w:color="auto"/>
                <w:bottom w:val="none" w:sz="0" w:space="0" w:color="auto"/>
                <w:right w:val="none" w:sz="0" w:space="0" w:color="auto"/>
              </w:divBdr>
            </w:div>
          </w:divsChild>
        </w:div>
        <w:div w:id="1860192903">
          <w:marLeft w:val="0"/>
          <w:marRight w:val="0"/>
          <w:marTop w:val="0"/>
          <w:marBottom w:val="0"/>
          <w:divBdr>
            <w:top w:val="none" w:sz="0" w:space="0" w:color="auto"/>
            <w:left w:val="none" w:sz="0" w:space="0" w:color="auto"/>
            <w:bottom w:val="none" w:sz="0" w:space="0" w:color="auto"/>
            <w:right w:val="none" w:sz="0" w:space="0" w:color="auto"/>
          </w:divBdr>
          <w:divsChild>
            <w:div w:id="430203315">
              <w:marLeft w:val="0"/>
              <w:marRight w:val="0"/>
              <w:marTop w:val="0"/>
              <w:marBottom w:val="0"/>
              <w:divBdr>
                <w:top w:val="none" w:sz="0" w:space="0" w:color="auto"/>
                <w:left w:val="none" w:sz="0" w:space="0" w:color="auto"/>
                <w:bottom w:val="none" w:sz="0" w:space="0" w:color="auto"/>
                <w:right w:val="none" w:sz="0" w:space="0" w:color="auto"/>
              </w:divBdr>
            </w:div>
            <w:div w:id="1177111787">
              <w:marLeft w:val="0"/>
              <w:marRight w:val="0"/>
              <w:marTop w:val="0"/>
              <w:marBottom w:val="0"/>
              <w:divBdr>
                <w:top w:val="none" w:sz="0" w:space="0" w:color="auto"/>
                <w:left w:val="none" w:sz="0" w:space="0" w:color="auto"/>
                <w:bottom w:val="none" w:sz="0" w:space="0" w:color="auto"/>
                <w:right w:val="none" w:sz="0" w:space="0" w:color="auto"/>
              </w:divBdr>
            </w:div>
            <w:div w:id="1945073869">
              <w:marLeft w:val="0"/>
              <w:marRight w:val="0"/>
              <w:marTop w:val="0"/>
              <w:marBottom w:val="0"/>
              <w:divBdr>
                <w:top w:val="none" w:sz="0" w:space="0" w:color="auto"/>
                <w:left w:val="none" w:sz="0" w:space="0" w:color="auto"/>
                <w:bottom w:val="none" w:sz="0" w:space="0" w:color="auto"/>
                <w:right w:val="none" w:sz="0" w:space="0" w:color="auto"/>
              </w:divBdr>
            </w:div>
          </w:divsChild>
        </w:div>
        <w:div w:id="1864901724">
          <w:marLeft w:val="0"/>
          <w:marRight w:val="0"/>
          <w:marTop w:val="0"/>
          <w:marBottom w:val="0"/>
          <w:divBdr>
            <w:top w:val="none" w:sz="0" w:space="0" w:color="auto"/>
            <w:left w:val="none" w:sz="0" w:space="0" w:color="auto"/>
            <w:bottom w:val="none" w:sz="0" w:space="0" w:color="auto"/>
            <w:right w:val="none" w:sz="0" w:space="0" w:color="auto"/>
          </w:divBdr>
          <w:divsChild>
            <w:div w:id="1099107038">
              <w:marLeft w:val="0"/>
              <w:marRight w:val="0"/>
              <w:marTop w:val="0"/>
              <w:marBottom w:val="0"/>
              <w:divBdr>
                <w:top w:val="none" w:sz="0" w:space="0" w:color="auto"/>
                <w:left w:val="none" w:sz="0" w:space="0" w:color="auto"/>
                <w:bottom w:val="none" w:sz="0" w:space="0" w:color="auto"/>
                <w:right w:val="none" w:sz="0" w:space="0" w:color="auto"/>
              </w:divBdr>
            </w:div>
          </w:divsChild>
        </w:div>
        <w:div w:id="1974558849">
          <w:marLeft w:val="0"/>
          <w:marRight w:val="0"/>
          <w:marTop w:val="0"/>
          <w:marBottom w:val="0"/>
          <w:divBdr>
            <w:top w:val="none" w:sz="0" w:space="0" w:color="auto"/>
            <w:left w:val="none" w:sz="0" w:space="0" w:color="auto"/>
            <w:bottom w:val="none" w:sz="0" w:space="0" w:color="auto"/>
            <w:right w:val="none" w:sz="0" w:space="0" w:color="auto"/>
          </w:divBdr>
          <w:divsChild>
            <w:div w:id="668211972">
              <w:marLeft w:val="0"/>
              <w:marRight w:val="0"/>
              <w:marTop w:val="0"/>
              <w:marBottom w:val="0"/>
              <w:divBdr>
                <w:top w:val="none" w:sz="0" w:space="0" w:color="auto"/>
                <w:left w:val="none" w:sz="0" w:space="0" w:color="auto"/>
                <w:bottom w:val="none" w:sz="0" w:space="0" w:color="auto"/>
                <w:right w:val="none" w:sz="0" w:space="0" w:color="auto"/>
              </w:divBdr>
            </w:div>
          </w:divsChild>
        </w:div>
        <w:div w:id="2098091225">
          <w:marLeft w:val="0"/>
          <w:marRight w:val="0"/>
          <w:marTop w:val="0"/>
          <w:marBottom w:val="0"/>
          <w:divBdr>
            <w:top w:val="none" w:sz="0" w:space="0" w:color="auto"/>
            <w:left w:val="none" w:sz="0" w:space="0" w:color="auto"/>
            <w:bottom w:val="none" w:sz="0" w:space="0" w:color="auto"/>
            <w:right w:val="none" w:sz="0" w:space="0" w:color="auto"/>
          </w:divBdr>
          <w:divsChild>
            <w:div w:id="1000233737">
              <w:marLeft w:val="0"/>
              <w:marRight w:val="0"/>
              <w:marTop w:val="0"/>
              <w:marBottom w:val="0"/>
              <w:divBdr>
                <w:top w:val="none" w:sz="0" w:space="0" w:color="auto"/>
                <w:left w:val="none" w:sz="0" w:space="0" w:color="auto"/>
                <w:bottom w:val="none" w:sz="0" w:space="0" w:color="auto"/>
                <w:right w:val="none" w:sz="0" w:space="0" w:color="auto"/>
              </w:divBdr>
            </w:div>
          </w:divsChild>
        </w:div>
        <w:div w:id="2120565543">
          <w:marLeft w:val="0"/>
          <w:marRight w:val="0"/>
          <w:marTop w:val="0"/>
          <w:marBottom w:val="0"/>
          <w:divBdr>
            <w:top w:val="none" w:sz="0" w:space="0" w:color="auto"/>
            <w:left w:val="none" w:sz="0" w:space="0" w:color="auto"/>
            <w:bottom w:val="none" w:sz="0" w:space="0" w:color="auto"/>
            <w:right w:val="none" w:sz="0" w:space="0" w:color="auto"/>
          </w:divBdr>
          <w:divsChild>
            <w:div w:id="212162803">
              <w:marLeft w:val="0"/>
              <w:marRight w:val="0"/>
              <w:marTop w:val="0"/>
              <w:marBottom w:val="0"/>
              <w:divBdr>
                <w:top w:val="none" w:sz="0" w:space="0" w:color="auto"/>
                <w:left w:val="none" w:sz="0" w:space="0" w:color="auto"/>
                <w:bottom w:val="none" w:sz="0" w:space="0" w:color="auto"/>
                <w:right w:val="none" w:sz="0" w:space="0" w:color="auto"/>
              </w:divBdr>
            </w:div>
            <w:div w:id="1340888199">
              <w:marLeft w:val="0"/>
              <w:marRight w:val="0"/>
              <w:marTop w:val="0"/>
              <w:marBottom w:val="0"/>
              <w:divBdr>
                <w:top w:val="none" w:sz="0" w:space="0" w:color="auto"/>
                <w:left w:val="none" w:sz="0" w:space="0" w:color="auto"/>
                <w:bottom w:val="none" w:sz="0" w:space="0" w:color="auto"/>
                <w:right w:val="none" w:sz="0" w:space="0" w:color="auto"/>
              </w:divBdr>
            </w:div>
            <w:div w:id="1395545883">
              <w:marLeft w:val="0"/>
              <w:marRight w:val="0"/>
              <w:marTop w:val="0"/>
              <w:marBottom w:val="0"/>
              <w:divBdr>
                <w:top w:val="none" w:sz="0" w:space="0" w:color="auto"/>
                <w:left w:val="none" w:sz="0" w:space="0" w:color="auto"/>
                <w:bottom w:val="none" w:sz="0" w:space="0" w:color="auto"/>
                <w:right w:val="none" w:sz="0" w:space="0" w:color="auto"/>
              </w:divBdr>
            </w:div>
            <w:div w:id="1396708444">
              <w:marLeft w:val="0"/>
              <w:marRight w:val="0"/>
              <w:marTop w:val="0"/>
              <w:marBottom w:val="0"/>
              <w:divBdr>
                <w:top w:val="none" w:sz="0" w:space="0" w:color="auto"/>
                <w:left w:val="none" w:sz="0" w:space="0" w:color="auto"/>
                <w:bottom w:val="none" w:sz="0" w:space="0" w:color="auto"/>
                <w:right w:val="none" w:sz="0" w:space="0" w:color="auto"/>
              </w:divBdr>
            </w:div>
            <w:div w:id="205804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81741">
      <w:bodyDiv w:val="1"/>
      <w:marLeft w:val="0"/>
      <w:marRight w:val="0"/>
      <w:marTop w:val="0"/>
      <w:marBottom w:val="0"/>
      <w:divBdr>
        <w:top w:val="none" w:sz="0" w:space="0" w:color="auto"/>
        <w:left w:val="none" w:sz="0" w:space="0" w:color="auto"/>
        <w:bottom w:val="none" w:sz="0" w:space="0" w:color="auto"/>
        <w:right w:val="none" w:sz="0" w:space="0" w:color="auto"/>
      </w:divBdr>
    </w:div>
    <w:div w:id="1539587343">
      <w:bodyDiv w:val="1"/>
      <w:marLeft w:val="0"/>
      <w:marRight w:val="0"/>
      <w:marTop w:val="0"/>
      <w:marBottom w:val="0"/>
      <w:divBdr>
        <w:top w:val="none" w:sz="0" w:space="0" w:color="auto"/>
        <w:left w:val="none" w:sz="0" w:space="0" w:color="auto"/>
        <w:bottom w:val="none" w:sz="0" w:space="0" w:color="auto"/>
        <w:right w:val="none" w:sz="0" w:space="0" w:color="auto"/>
      </w:divBdr>
    </w:div>
    <w:div w:id="1551529471">
      <w:bodyDiv w:val="1"/>
      <w:marLeft w:val="0"/>
      <w:marRight w:val="0"/>
      <w:marTop w:val="0"/>
      <w:marBottom w:val="0"/>
      <w:divBdr>
        <w:top w:val="none" w:sz="0" w:space="0" w:color="auto"/>
        <w:left w:val="none" w:sz="0" w:space="0" w:color="auto"/>
        <w:bottom w:val="none" w:sz="0" w:space="0" w:color="auto"/>
        <w:right w:val="none" w:sz="0" w:space="0" w:color="auto"/>
      </w:divBdr>
    </w:div>
    <w:div w:id="1577006867">
      <w:bodyDiv w:val="1"/>
      <w:marLeft w:val="0"/>
      <w:marRight w:val="0"/>
      <w:marTop w:val="0"/>
      <w:marBottom w:val="0"/>
      <w:divBdr>
        <w:top w:val="none" w:sz="0" w:space="0" w:color="auto"/>
        <w:left w:val="none" w:sz="0" w:space="0" w:color="auto"/>
        <w:bottom w:val="none" w:sz="0" w:space="0" w:color="auto"/>
        <w:right w:val="none" w:sz="0" w:space="0" w:color="auto"/>
      </w:divBdr>
    </w:div>
    <w:div w:id="1600601202">
      <w:bodyDiv w:val="1"/>
      <w:marLeft w:val="0"/>
      <w:marRight w:val="0"/>
      <w:marTop w:val="0"/>
      <w:marBottom w:val="0"/>
      <w:divBdr>
        <w:top w:val="none" w:sz="0" w:space="0" w:color="auto"/>
        <w:left w:val="none" w:sz="0" w:space="0" w:color="auto"/>
        <w:bottom w:val="none" w:sz="0" w:space="0" w:color="auto"/>
        <w:right w:val="none" w:sz="0" w:space="0" w:color="auto"/>
      </w:divBdr>
      <w:divsChild>
        <w:div w:id="383407720">
          <w:marLeft w:val="0"/>
          <w:marRight w:val="0"/>
          <w:marTop w:val="0"/>
          <w:marBottom w:val="0"/>
          <w:divBdr>
            <w:top w:val="none" w:sz="0" w:space="0" w:color="auto"/>
            <w:left w:val="none" w:sz="0" w:space="0" w:color="auto"/>
            <w:bottom w:val="none" w:sz="0" w:space="0" w:color="auto"/>
            <w:right w:val="none" w:sz="0" w:space="0" w:color="auto"/>
          </w:divBdr>
        </w:div>
        <w:div w:id="421221085">
          <w:marLeft w:val="0"/>
          <w:marRight w:val="0"/>
          <w:marTop w:val="0"/>
          <w:marBottom w:val="0"/>
          <w:divBdr>
            <w:top w:val="none" w:sz="0" w:space="0" w:color="auto"/>
            <w:left w:val="none" w:sz="0" w:space="0" w:color="auto"/>
            <w:bottom w:val="none" w:sz="0" w:space="0" w:color="auto"/>
            <w:right w:val="none" w:sz="0" w:space="0" w:color="auto"/>
          </w:divBdr>
        </w:div>
        <w:div w:id="463430159">
          <w:marLeft w:val="0"/>
          <w:marRight w:val="0"/>
          <w:marTop w:val="0"/>
          <w:marBottom w:val="0"/>
          <w:divBdr>
            <w:top w:val="none" w:sz="0" w:space="0" w:color="auto"/>
            <w:left w:val="none" w:sz="0" w:space="0" w:color="auto"/>
            <w:bottom w:val="none" w:sz="0" w:space="0" w:color="auto"/>
            <w:right w:val="none" w:sz="0" w:space="0" w:color="auto"/>
          </w:divBdr>
        </w:div>
        <w:div w:id="904803900">
          <w:marLeft w:val="0"/>
          <w:marRight w:val="0"/>
          <w:marTop w:val="0"/>
          <w:marBottom w:val="0"/>
          <w:divBdr>
            <w:top w:val="none" w:sz="0" w:space="0" w:color="auto"/>
            <w:left w:val="none" w:sz="0" w:space="0" w:color="auto"/>
            <w:bottom w:val="none" w:sz="0" w:space="0" w:color="auto"/>
            <w:right w:val="none" w:sz="0" w:space="0" w:color="auto"/>
          </w:divBdr>
        </w:div>
        <w:div w:id="1031683505">
          <w:marLeft w:val="0"/>
          <w:marRight w:val="0"/>
          <w:marTop w:val="0"/>
          <w:marBottom w:val="0"/>
          <w:divBdr>
            <w:top w:val="none" w:sz="0" w:space="0" w:color="auto"/>
            <w:left w:val="none" w:sz="0" w:space="0" w:color="auto"/>
            <w:bottom w:val="none" w:sz="0" w:space="0" w:color="auto"/>
            <w:right w:val="none" w:sz="0" w:space="0" w:color="auto"/>
          </w:divBdr>
        </w:div>
        <w:div w:id="1117219246">
          <w:marLeft w:val="0"/>
          <w:marRight w:val="0"/>
          <w:marTop w:val="0"/>
          <w:marBottom w:val="0"/>
          <w:divBdr>
            <w:top w:val="none" w:sz="0" w:space="0" w:color="auto"/>
            <w:left w:val="none" w:sz="0" w:space="0" w:color="auto"/>
            <w:bottom w:val="none" w:sz="0" w:space="0" w:color="auto"/>
            <w:right w:val="none" w:sz="0" w:space="0" w:color="auto"/>
          </w:divBdr>
        </w:div>
        <w:div w:id="1307933384">
          <w:marLeft w:val="0"/>
          <w:marRight w:val="0"/>
          <w:marTop w:val="0"/>
          <w:marBottom w:val="0"/>
          <w:divBdr>
            <w:top w:val="none" w:sz="0" w:space="0" w:color="auto"/>
            <w:left w:val="none" w:sz="0" w:space="0" w:color="auto"/>
            <w:bottom w:val="none" w:sz="0" w:space="0" w:color="auto"/>
            <w:right w:val="none" w:sz="0" w:space="0" w:color="auto"/>
          </w:divBdr>
        </w:div>
        <w:div w:id="1784767076">
          <w:marLeft w:val="0"/>
          <w:marRight w:val="0"/>
          <w:marTop w:val="0"/>
          <w:marBottom w:val="0"/>
          <w:divBdr>
            <w:top w:val="none" w:sz="0" w:space="0" w:color="auto"/>
            <w:left w:val="none" w:sz="0" w:space="0" w:color="auto"/>
            <w:bottom w:val="none" w:sz="0" w:space="0" w:color="auto"/>
            <w:right w:val="none" w:sz="0" w:space="0" w:color="auto"/>
          </w:divBdr>
        </w:div>
        <w:div w:id="1842160009">
          <w:marLeft w:val="0"/>
          <w:marRight w:val="0"/>
          <w:marTop w:val="0"/>
          <w:marBottom w:val="0"/>
          <w:divBdr>
            <w:top w:val="none" w:sz="0" w:space="0" w:color="auto"/>
            <w:left w:val="none" w:sz="0" w:space="0" w:color="auto"/>
            <w:bottom w:val="none" w:sz="0" w:space="0" w:color="auto"/>
            <w:right w:val="none" w:sz="0" w:space="0" w:color="auto"/>
          </w:divBdr>
        </w:div>
        <w:div w:id="1907568381">
          <w:marLeft w:val="0"/>
          <w:marRight w:val="0"/>
          <w:marTop w:val="0"/>
          <w:marBottom w:val="0"/>
          <w:divBdr>
            <w:top w:val="none" w:sz="0" w:space="0" w:color="auto"/>
            <w:left w:val="none" w:sz="0" w:space="0" w:color="auto"/>
            <w:bottom w:val="none" w:sz="0" w:space="0" w:color="auto"/>
            <w:right w:val="none" w:sz="0" w:space="0" w:color="auto"/>
          </w:divBdr>
        </w:div>
        <w:div w:id="1972973311">
          <w:marLeft w:val="0"/>
          <w:marRight w:val="0"/>
          <w:marTop w:val="0"/>
          <w:marBottom w:val="0"/>
          <w:divBdr>
            <w:top w:val="none" w:sz="0" w:space="0" w:color="auto"/>
            <w:left w:val="none" w:sz="0" w:space="0" w:color="auto"/>
            <w:bottom w:val="none" w:sz="0" w:space="0" w:color="auto"/>
            <w:right w:val="none" w:sz="0" w:space="0" w:color="auto"/>
          </w:divBdr>
        </w:div>
        <w:div w:id="2121218169">
          <w:marLeft w:val="0"/>
          <w:marRight w:val="0"/>
          <w:marTop w:val="0"/>
          <w:marBottom w:val="0"/>
          <w:divBdr>
            <w:top w:val="none" w:sz="0" w:space="0" w:color="auto"/>
            <w:left w:val="none" w:sz="0" w:space="0" w:color="auto"/>
            <w:bottom w:val="none" w:sz="0" w:space="0" w:color="auto"/>
            <w:right w:val="none" w:sz="0" w:space="0" w:color="auto"/>
          </w:divBdr>
        </w:div>
      </w:divsChild>
    </w:div>
    <w:div w:id="1610432781">
      <w:bodyDiv w:val="1"/>
      <w:marLeft w:val="0"/>
      <w:marRight w:val="0"/>
      <w:marTop w:val="0"/>
      <w:marBottom w:val="0"/>
      <w:divBdr>
        <w:top w:val="none" w:sz="0" w:space="0" w:color="auto"/>
        <w:left w:val="none" w:sz="0" w:space="0" w:color="auto"/>
        <w:bottom w:val="none" w:sz="0" w:space="0" w:color="auto"/>
        <w:right w:val="none" w:sz="0" w:space="0" w:color="auto"/>
      </w:divBdr>
    </w:div>
    <w:div w:id="1625960627">
      <w:bodyDiv w:val="1"/>
      <w:marLeft w:val="0"/>
      <w:marRight w:val="0"/>
      <w:marTop w:val="0"/>
      <w:marBottom w:val="0"/>
      <w:divBdr>
        <w:top w:val="none" w:sz="0" w:space="0" w:color="auto"/>
        <w:left w:val="none" w:sz="0" w:space="0" w:color="auto"/>
        <w:bottom w:val="none" w:sz="0" w:space="0" w:color="auto"/>
        <w:right w:val="none" w:sz="0" w:space="0" w:color="auto"/>
      </w:divBdr>
    </w:div>
    <w:div w:id="1649020048">
      <w:bodyDiv w:val="1"/>
      <w:marLeft w:val="0"/>
      <w:marRight w:val="0"/>
      <w:marTop w:val="0"/>
      <w:marBottom w:val="0"/>
      <w:divBdr>
        <w:top w:val="none" w:sz="0" w:space="0" w:color="auto"/>
        <w:left w:val="none" w:sz="0" w:space="0" w:color="auto"/>
        <w:bottom w:val="none" w:sz="0" w:space="0" w:color="auto"/>
        <w:right w:val="none" w:sz="0" w:space="0" w:color="auto"/>
      </w:divBdr>
    </w:div>
    <w:div w:id="1650133517">
      <w:bodyDiv w:val="1"/>
      <w:marLeft w:val="0"/>
      <w:marRight w:val="0"/>
      <w:marTop w:val="0"/>
      <w:marBottom w:val="0"/>
      <w:divBdr>
        <w:top w:val="none" w:sz="0" w:space="0" w:color="auto"/>
        <w:left w:val="none" w:sz="0" w:space="0" w:color="auto"/>
        <w:bottom w:val="none" w:sz="0" w:space="0" w:color="auto"/>
        <w:right w:val="none" w:sz="0" w:space="0" w:color="auto"/>
      </w:divBdr>
    </w:div>
    <w:div w:id="1691488703">
      <w:bodyDiv w:val="1"/>
      <w:marLeft w:val="0"/>
      <w:marRight w:val="0"/>
      <w:marTop w:val="0"/>
      <w:marBottom w:val="0"/>
      <w:divBdr>
        <w:top w:val="none" w:sz="0" w:space="0" w:color="auto"/>
        <w:left w:val="none" w:sz="0" w:space="0" w:color="auto"/>
        <w:bottom w:val="none" w:sz="0" w:space="0" w:color="auto"/>
        <w:right w:val="none" w:sz="0" w:space="0" w:color="auto"/>
      </w:divBdr>
      <w:divsChild>
        <w:div w:id="1760100948">
          <w:marLeft w:val="0"/>
          <w:marRight w:val="0"/>
          <w:marTop w:val="0"/>
          <w:marBottom w:val="0"/>
          <w:divBdr>
            <w:top w:val="none" w:sz="0" w:space="0" w:color="auto"/>
            <w:left w:val="none" w:sz="0" w:space="0" w:color="auto"/>
            <w:bottom w:val="none" w:sz="0" w:space="0" w:color="auto"/>
            <w:right w:val="none" w:sz="0" w:space="0" w:color="auto"/>
          </w:divBdr>
        </w:div>
      </w:divsChild>
    </w:div>
    <w:div w:id="1693452512">
      <w:bodyDiv w:val="1"/>
      <w:marLeft w:val="0"/>
      <w:marRight w:val="0"/>
      <w:marTop w:val="0"/>
      <w:marBottom w:val="0"/>
      <w:divBdr>
        <w:top w:val="none" w:sz="0" w:space="0" w:color="auto"/>
        <w:left w:val="none" w:sz="0" w:space="0" w:color="auto"/>
        <w:bottom w:val="none" w:sz="0" w:space="0" w:color="auto"/>
        <w:right w:val="none" w:sz="0" w:space="0" w:color="auto"/>
      </w:divBdr>
    </w:div>
    <w:div w:id="1708948422">
      <w:bodyDiv w:val="1"/>
      <w:marLeft w:val="0"/>
      <w:marRight w:val="0"/>
      <w:marTop w:val="0"/>
      <w:marBottom w:val="0"/>
      <w:divBdr>
        <w:top w:val="none" w:sz="0" w:space="0" w:color="auto"/>
        <w:left w:val="none" w:sz="0" w:space="0" w:color="auto"/>
        <w:bottom w:val="none" w:sz="0" w:space="0" w:color="auto"/>
        <w:right w:val="none" w:sz="0" w:space="0" w:color="auto"/>
      </w:divBdr>
      <w:divsChild>
        <w:div w:id="1903054029">
          <w:marLeft w:val="0"/>
          <w:marRight w:val="0"/>
          <w:marTop w:val="0"/>
          <w:marBottom w:val="0"/>
          <w:divBdr>
            <w:top w:val="none" w:sz="0" w:space="0" w:color="auto"/>
            <w:left w:val="none" w:sz="0" w:space="0" w:color="auto"/>
            <w:bottom w:val="none" w:sz="0" w:space="0" w:color="auto"/>
            <w:right w:val="none" w:sz="0" w:space="0" w:color="auto"/>
          </w:divBdr>
        </w:div>
      </w:divsChild>
    </w:div>
    <w:div w:id="1735152816">
      <w:bodyDiv w:val="1"/>
      <w:marLeft w:val="0"/>
      <w:marRight w:val="0"/>
      <w:marTop w:val="0"/>
      <w:marBottom w:val="0"/>
      <w:divBdr>
        <w:top w:val="none" w:sz="0" w:space="0" w:color="auto"/>
        <w:left w:val="none" w:sz="0" w:space="0" w:color="auto"/>
        <w:bottom w:val="none" w:sz="0" w:space="0" w:color="auto"/>
        <w:right w:val="none" w:sz="0" w:space="0" w:color="auto"/>
      </w:divBdr>
    </w:div>
    <w:div w:id="1743486554">
      <w:bodyDiv w:val="1"/>
      <w:marLeft w:val="0"/>
      <w:marRight w:val="0"/>
      <w:marTop w:val="0"/>
      <w:marBottom w:val="0"/>
      <w:divBdr>
        <w:top w:val="none" w:sz="0" w:space="0" w:color="auto"/>
        <w:left w:val="none" w:sz="0" w:space="0" w:color="auto"/>
        <w:bottom w:val="none" w:sz="0" w:space="0" w:color="auto"/>
        <w:right w:val="none" w:sz="0" w:space="0" w:color="auto"/>
      </w:divBdr>
    </w:div>
    <w:div w:id="1759473777">
      <w:bodyDiv w:val="1"/>
      <w:marLeft w:val="0"/>
      <w:marRight w:val="0"/>
      <w:marTop w:val="0"/>
      <w:marBottom w:val="0"/>
      <w:divBdr>
        <w:top w:val="none" w:sz="0" w:space="0" w:color="auto"/>
        <w:left w:val="none" w:sz="0" w:space="0" w:color="auto"/>
        <w:bottom w:val="none" w:sz="0" w:space="0" w:color="auto"/>
        <w:right w:val="none" w:sz="0" w:space="0" w:color="auto"/>
      </w:divBdr>
      <w:divsChild>
        <w:div w:id="1622303917">
          <w:marLeft w:val="0"/>
          <w:marRight w:val="0"/>
          <w:marTop w:val="0"/>
          <w:marBottom w:val="0"/>
          <w:divBdr>
            <w:top w:val="none" w:sz="0" w:space="0" w:color="auto"/>
            <w:left w:val="none" w:sz="0" w:space="0" w:color="auto"/>
            <w:bottom w:val="none" w:sz="0" w:space="0" w:color="auto"/>
            <w:right w:val="none" w:sz="0" w:space="0" w:color="auto"/>
          </w:divBdr>
        </w:div>
      </w:divsChild>
    </w:div>
    <w:div w:id="1819809030">
      <w:bodyDiv w:val="1"/>
      <w:marLeft w:val="0"/>
      <w:marRight w:val="0"/>
      <w:marTop w:val="0"/>
      <w:marBottom w:val="0"/>
      <w:divBdr>
        <w:top w:val="none" w:sz="0" w:space="0" w:color="auto"/>
        <w:left w:val="none" w:sz="0" w:space="0" w:color="auto"/>
        <w:bottom w:val="none" w:sz="0" w:space="0" w:color="auto"/>
        <w:right w:val="none" w:sz="0" w:space="0" w:color="auto"/>
      </w:divBdr>
    </w:div>
    <w:div w:id="1829445800">
      <w:bodyDiv w:val="1"/>
      <w:marLeft w:val="0"/>
      <w:marRight w:val="0"/>
      <w:marTop w:val="0"/>
      <w:marBottom w:val="0"/>
      <w:divBdr>
        <w:top w:val="none" w:sz="0" w:space="0" w:color="auto"/>
        <w:left w:val="none" w:sz="0" w:space="0" w:color="auto"/>
        <w:bottom w:val="none" w:sz="0" w:space="0" w:color="auto"/>
        <w:right w:val="none" w:sz="0" w:space="0" w:color="auto"/>
      </w:divBdr>
    </w:div>
    <w:div w:id="1835031062">
      <w:bodyDiv w:val="1"/>
      <w:marLeft w:val="0"/>
      <w:marRight w:val="0"/>
      <w:marTop w:val="0"/>
      <w:marBottom w:val="0"/>
      <w:divBdr>
        <w:top w:val="none" w:sz="0" w:space="0" w:color="auto"/>
        <w:left w:val="none" w:sz="0" w:space="0" w:color="auto"/>
        <w:bottom w:val="none" w:sz="0" w:space="0" w:color="auto"/>
        <w:right w:val="none" w:sz="0" w:space="0" w:color="auto"/>
      </w:divBdr>
    </w:div>
    <w:div w:id="1880240390">
      <w:bodyDiv w:val="1"/>
      <w:marLeft w:val="0"/>
      <w:marRight w:val="0"/>
      <w:marTop w:val="0"/>
      <w:marBottom w:val="0"/>
      <w:divBdr>
        <w:top w:val="none" w:sz="0" w:space="0" w:color="auto"/>
        <w:left w:val="none" w:sz="0" w:space="0" w:color="auto"/>
        <w:bottom w:val="none" w:sz="0" w:space="0" w:color="auto"/>
        <w:right w:val="none" w:sz="0" w:space="0" w:color="auto"/>
      </w:divBdr>
    </w:div>
    <w:div w:id="1916936817">
      <w:bodyDiv w:val="1"/>
      <w:marLeft w:val="0"/>
      <w:marRight w:val="0"/>
      <w:marTop w:val="0"/>
      <w:marBottom w:val="0"/>
      <w:divBdr>
        <w:top w:val="none" w:sz="0" w:space="0" w:color="auto"/>
        <w:left w:val="none" w:sz="0" w:space="0" w:color="auto"/>
        <w:bottom w:val="none" w:sz="0" w:space="0" w:color="auto"/>
        <w:right w:val="none" w:sz="0" w:space="0" w:color="auto"/>
      </w:divBdr>
    </w:div>
    <w:div w:id="1934320737">
      <w:bodyDiv w:val="1"/>
      <w:marLeft w:val="0"/>
      <w:marRight w:val="0"/>
      <w:marTop w:val="0"/>
      <w:marBottom w:val="0"/>
      <w:divBdr>
        <w:top w:val="none" w:sz="0" w:space="0" w:color="auto"/>
        <w:left w:val="none" w:sz="0" w:space="0" w:color="auto"/>
        <w:bottom w:val="none" w:sz="0" w:space="0" w:color="auto"/>
        <w:right w:val="none" w:sz="0" w:space="0" w:color="auto"/>
      </w:divBdr>
    </w:div>
    <w:div w:id="1965768839">
      <w:bodyDiv w:val="1"/>
      <w:marLeft w:val="0"/>
      <w:marRight w:val="0"/>
      <w:marTop w:val="0"/>
      <w:marBottom w:val="0"/>
      <w:divBdr>
        <w:top w:val="none" w:sz="0" w:space="0" w:color="auto"/>
        <w:left w:val="none" w:sz="0" w:space="0" w:color="auto"/>
        <w:bottom w:val="none" w:sz="0" w:space="0" w:color="auto"/>
        <w:right w:val="none" w:sz="0" w:space="0" w:color="auto"/>
      </w:divBdr>
    </w:div>
    <w:div w:id="1980305365">
      <w:bodyDiv w:val="1"/>
      <w:marLeft w:val="0"/>
      <w:marRight w:val="0"/>
      <w:marTop w:val="0"/>
      <w:marBottom w:val="0"/>
      <w:divBdr>
        <w:top w:val="none" w:sz="0" w:space="0" w:color="auto"/>
        <w:left w:val="none" w:sz="0" w:space="0" w:color="auto"/>
        <w:bottom w:val="none" w:sz="0" w:space="0" w:color="auto"/>
        <w:right w:val="none" w:sz="0" w:space="0" w:color="auto"/>
      </w:divBdr>
    </w:div>
    <w:div w:id="2013485335">
      <w:bodyDiv w:val="1"/>
      <w:marLeft w:val="0"/>
      <w:marRight w:val="0"/>
      <w:marTop w:val="0"/>
      <w:marBottom w:val="0"/>
      <w:divBdr>
        <w:top w:val="none" w:sz="0" w:space="0" w:color="auto"/>
        <w:left w:val="none" w:sz="0" w:space="0" w:color="auto"/>
        <w:bottom w:val="none" w:sz="0" w:space="0" w:color="auto"/>
        <w:right w:val="none" w:sz="0" w:space="0" w:color="auto"/>
      </w:divBdr>
    </w:div>
    <w:div w:id="2038458112">
      <w:bodyDiv w:val="1"/>
      <w:marLeft w:val="0"/>
      <w:marRight w:val="0"/>
      <w:marTop w:val="0"/>
      <w:marBottom w:val="0"/>
      <w:divBdr>
        <w:top w:val="none" w:sz="0" w:space="0" w:color="auto"/>
        <w:left w:val="none" w:sz="0" w:space="0" w:color="auto"/>
        <w:bottom w:val="none" w:sz="0" w:space="0" w:color="auto"/>
        <w:right w:val="none" w:sz="0" w:space="0" w:color="auto"/>
      </w:divBdr>
    </w:div>
    <w:div w:id="2039352081">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sChild>
        <w:div w:id="2110851596">
          <w:marLeft w:val="0"/>
          <w:marRight w:val="0"/>
          <w:marTop w:val="0"/>
          <w:marBottom w:val="0"/>
          <w:divBdr>
            <w:top w:val="none" w:sz="0" w:space="0" w:color="auto"/>
            <w:left w:val="none" w:sz="0" w:space="0" w:color="auto"/>
            <w:bottom w:val="none" w:sz="0" w:space="0" w:color="auto"/>
            <w:right w:val="none" w:sz="0" w:space="0" w:color="auto"/>
          </w:divBdr>
        </w:div>
      </w:divsChild>
    </w:div>
    <w:div w:id="2051682480">
      <w:bodyDiv w:val="1"/>
      <w:marLeft w:val="0"/>
      <w:marRight w:val="0"/>
      <w:marTop w:val="0"/>
      <w:marBottom w:val="0"/>
      <w:divBdr>
        <w:top w:val="none" w:sz="0" w:space="0" w:color="auto"/>
        <w:left w:val="none" w:sz="0" w:space="0" w:color="auto"/>
        <w:bottom w:val="none" w:sz="0" w:space="0" w:color="auto"/>
        <w:right w:val="none" w:sz="0" w:space="0" w:color="auto"/>
      </w:divBdr>
    </w:div>
    <w:div w:id="2053505189">
      <w:bodyDiv w:val="1"/>
      <w:marLeft w:val="0"/>
      <w:marRight w:val="0"/>
      <w:marTop w:val="0"/>
      <w:marBottom w:val="0"/>
      <w:divBdr>
        <w:top w:val="none" w:sz="0" w:space="0" w:color="auto"/>
        <w:left w:val="none" w:sz="0" w:space="0" w:color="auto"/>
        <w:bottom w:val="none" w:sz="0" w:space="0" w:color="auto"/>
        <w:right w:val="none" w:sz="0" w:space="0" w:color="auto"/>
      </w:divBdr>
    </w:div>
    <w:div w:id="2078280557">
      <w:bodyDiv w:val="1"/>
      <w:marLeft w:val="0"/>
      <w:marRight w:val="0"/>
      <w:marTop w:val="0"/>
      <w:marBottom w:val="0"/>
      <w:divBdr>
        <w:top w:val="none" w:sz="0" w:space="0" w:color="auto"/>
        <w:left w:val="none" w:sz="0" w:space="0" w:color="auto"/>
        <w:bottom w:val="none" w:sz="0" w:space="0" w:color="auto"/>
        <w:right w:val="none" w:sz="0" w:space="0" w:color="auto"/>
      </w:divBdr>
    </w:div>
    <w:div w:id="2096584891">
      <w:bodyDiv w:val="1"/>
      <w:marLeft w:val="0"/>
      <w:marRight w:val="0"/>
      <w:marTop w:val="0"/>
      <w:marBottom w:val="0"/>
      <w:divBdr>
        <w:top w:val="none" w:sz="0" w:space="0" w:color="auto"/>
        <w:left w:val="none" w:sz="0" w:space="0" w:color="auto"/>
        <w:bottom w:val="none" w:sz="0" w:space="0" w:color="auto"/>
        <w:right w:val="none" w:sz="0" w:space="0" w:color="auto"/>
      </w:divBdr>
    </w:div>
    <w:div w:id="2115323384">
      <w:bodyDiv w:val="1"/>
      <w:marLeft w:val="0"/>
      <w:marRight w:val="0"/>
      <w:marTop w:val="0"/>
      <w:marBottom w:val="0"/>
      <w:divBdr>
        <w:top w:val="none" w:sz="0" w:space="0" w:color="auto"/>
        <w:left w:val="none" w:sz="0" w:space="0" w:color="auto"/>
        <w:bottom w:val="none" w:sz="0" w:space="0" w:color="auto"/>
        <w:right w:val="none" w:sz="0" w:space="0" w:color="auto"/>
      </w:divBdr>
    </w:div>
    <w:div w:id="21157812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58.emf"/><Relationship Id="rId21" Type="http://schemas.openxmlformats.org/officeDocument/2006/relationships/image" Target="media/image8.png"/><Relationship Id="rId42" Type="http://schemas.openxmlformats.org/officeDocument/2006/relationships/chart" Target="charts/chart2.xml"/><Relationship Id="rId47" Type="http://schemas.openxmlformats.org/officeDocument/2006/relationships/chart" Target="charts/chart7.xml"/><Relationship Id="rId84" Type="http://schemas.openxmlformats.org/officeDocument/2006/relationships/image" Target="media/image35.png"/><Relationship Id="rId89" Type="http://schemas.openxmlformats.org/officeDocument/2006/relationships/chart" Target="charts/chart13.xml"/><Relationship Id="rId112" Type="http://schemas.openxmlformats.org/officeDocument/2006/relationships/image" Target="media/image53.png"/><Relationship Id="rId16" Type="http://schemas.openxmlformats.org/officeDocument/2006/relationships/image" Target="media/image3.png"/><Relationship Id="rId107" Type="http://schemas.openxmlformats.org/officeDocument/2006/relationships/image" Target="media/image48.png"/><Relationship Id="rId11" Type="http://schemas.openxmlformats.org/officeDocument/2006/relationships/endnotes" Target="endnote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hyperlink" Target="https://community.secop.gov.co/Public/Tendering/OpportunityDetail/Index?noticeUID=CO1.NTC.2968429&amp;isFromPublicArea=True&amp;isModal=true&amp;asPopupView=true" TargetMode="External"/><Relationship Id="rId58" Type="http://schemas.openxmlformats.org/officeDocument/2006/relationships/image" Target="media/image27.emf"/><Relationship Id="rId79" Type="http://schemas.openxmlformats.org/officeDocument/2006/relationships/chart" Target="charts/chart11.xml"/><Relationship Id="rId123" Type="http://schemas.openxmlformats.org/officeDocument/2006/relationships/footer" Target="footer1.xml"/><Relationship Id="rId128"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39.emf"/><Relationship Id="rId95" Type="http://schemas.openxmlformats.org/officeDocument/2006/relationships/chart" Target="charts/chart14.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chart" Target="charts/chart3.xml"/><Relationship Id="rId48" Type="http://schemas.openxmlformats.org/officeDocument/2006/relationships/chart" Target="charts/chart8.xml"/><Relationship Id="rId113" Type="http://schemas.openxmlformats.org/officeDocument/2006/relationships/image" Target="media/image54.png"/><Relationship Id="rId118" Type="http://schemas.openxmlformats.org/officeDocument/2006/relationships/image" Target="media/image59.emf"/><Relationship Id="rId80" Type="http://schemas.openxmlformats.org/officeDocument/2006/relationships/image" Target="media/image31.png"/><Relationship Id="rId85" Type="http://schemas.openxmlformats.org/officeDocument/2006/relationships/image" Target="media/image36.png"/><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28.emf"/><Relationship Id="rId103" Type="http://schemas.openxmlformats.org/officeDocument/2006/relationships/image" Target="media/image590.png"/><Relationship Id="rId108" Type="http://schemas.openxmlformats.org/officeDocument/2006/relationships/image" Target="media/image49.png"/><Relationship Id="rId124" Type="http://schemas.openxmlformats.org/officeDocument/2006/relationships/footer" Target="footer2.xml"/><Relationship Id="rId129" Type="http://schemas.microsoft.com/office/2019/05/relationships/documenttasks" Target="documenttasks/documenttasks1.xml"/><Relationship Id="rId54" Type="http://schemas.openxmlformats.org/officeDocument/2006/relationships/hyperlink" Target="https://community.secop.gov.co/Public/Tendering/OpportunityDetail/Index?noticeUID=CO1.NTC.956139&amp;isFromPublicArea=True&amp;isModal=true&amp;asPopupView=true" TargetMode="External"/><Relationship Id="rId91" Type="http://schemas.openxmlformats.org/officeDocument/2006/relationships/image" Target="media/image40.png"/><Relationship Id="rId96"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chart" Target="charts/chart9.xml"/><Relationship Id="rId57" Type="http://schemas.openxmlformats.org/officeDocument/2006/relationships/image" Target="media/image26.emf"/><Relationship Id="rId106" Type="http://schemas.openxmlformats.org/officeDocument/2006/relationships/image" Target="media/image47.png"/><Relationship Id="rId114" Type="http://schemas.openxmlformats.org/officeDocument/2006/relationships/image" Target="media/image55.png"/><Relationship Id="rId119" Type="http://schemas.openxmlformats.org/officeDocument/2006/relationships/image" Target="media/image60.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7.png"/><Relationship Id="rId44" Type="http://schemas.openxmlformats.org/officeDocument/2006/relationships/chart" Target="charts/chart4.xml"/><Relationship Id="rId52" Type="http://schemas.openxmlformats.org/officeDocument/2006/relationships/hyperlink" Target="https://community.secop.gov.co/Public/Tendering/OpportunityDetail/Index?noticeUID=CO1.NTC.941211&amp;isFromPublicArea=True&amp;isModal=true&amp;asPopupView=true" TargetMode="External"/><Relationship Id="rId60" Type="http://schemas.openxmlformats.org/officeDocument/2006/relationships/image" Target="media/image29.emf"/><Relationship Id="rId78" Type="http://schemas.openxmlformats.org/officeDocument/2006/relationships/image" Target="media/image30.emf"/><Relationship Id="rId81" Type="http://schemas.openxmlformats.org/officeDocument/2006/relationships/image" Target="media/image32.png"/><Relationship Id="rId86" Type="http://schemas.openxmlformats.org/officeDocument/2006/relationships/image" Target="media/image37.png"/><Relationship Id="rId94" Type="http://schemas.openxmlformats.org/officeDocument/2006/relationships/image" Target="media/image43.png"/><Relationship Id="rId12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dane.gov.co/files/sen/nomenclatura/ciiu/CIIU_Rev_4_AC2022.pdf" TargetMode="External"/><Relationship Id="rId18" Type="http://schemas.openxmlformats.org/officeDocument/2006/relationships/image" Target="media/image5.png"/><Relationship Id="rId39" Type="http://schemas.openxmlformats.org/officeDocument/2006/relationships/image" Target="media/image25.png"/><Relationship Id="rId109" Type="http://schemas.openxmlformats.org/officeDocument/2006/relationships/image" Target="media/image50.png"/><Relationship Id="rId34" Type="http://schemas.openxmlformats.org/officeDocument/2006/relationships/image" Target="media/image20.png"/><Relationship Id="rId50" Type="http://schemas.openxmlformats.org/officeDocument/2006/relationships/chart" Target="charts/chart10.xml"/><Relationship Id="rId55" Type="http://schemas.openxmlformats.org/officeDocument/2006/relationships/hyperlink" Target="https://www.contratos.gov.co/consultas/detalleProceso.do?numConstancia=24-21-48767" TargetMode="External"/><Relationship Id="rId76" Type="http://schemas.openxmlformats.org/officeDocument/2006/relationships/image" Target="media/image340.emf"/><Relationship Id="rId97" Type="http://schemas.openxmlformats.org/officeDocument/2006/relationships/image" Target="media/image44.png"/><Relationship Id="rId104" Type="http://schemas.openxmlformats.org/officeDocument/2006/relationships/image" Target="media/image600.png"/><Relationship Id="rId120" Type="http://schemas.openxmlformats.org/officeDocument/2006/relationships/image" Target="media/image61.emf"/><Relationship Id="rId125" Type="http://schemas.openxmlformats.org/officeDocument/2006/relationships/header" Target="header2.xml"/><Relationship Id="rId7" Type="http://schemas.openxmlformats.org/officeDocument/2006/relationships/styles" Target="styles.xml"/><Relationship Id="rId92"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hyperlink" Target="https://www.banrep.gov.co/es/glosario/tasa-cambio-trm" TargetMode="External"/><Relationship Id="rId24" Type="http://schemas.openxmlformats.org/officeDocument/2006/relationships/image" Target="media/image11.png"/><Relationship Id="rId40" Type="http://schemas.openxmlformats.org/officeDocument/2006/relationships/hyperlink" Target="https://www.reincorporacion.gov.co/es" TargetMode="External"/><Relationship Id="rId45" Type="http://schemas.openxmlformats.org/officeDocument/2006/relationships/chart" Target="charts/chart5.xml"/><Relationship Id="rId87" Type="http://schemas.openxmlformats.org/officeDocument/2006/relationships/image" Target="media/image38.emf"/><Relationship Id="rId110" Type="http://schemas.openxmlformats.org/officeDocument/2006/relationships/image" Target="media/image51.png"/><Relationship Id="rId115" Type="http://schemas.openxmlformats.org/officeDocument/2006/relationships/image" Target="media/image56.png"/><Relationship Id="rId82" Type="http://schemas.openxmlformats.org/officeDocument/2006/relationships/image" Target="media/image33.png"/><Relationship Id="rId19" Type="http://schemas.openxmlformats.org/officeDocument/2006/relationships/image" Target="media/image6.png"/><Relationship Id="rId14" Type="http://schemas.openxmlformats.org/officeDocument/2006/relationships/hyperlink" Target="https://www.dane.gov.co/files/sen/nomenclatura/ciiu/CIIU_Rev_4_AC2022.pdf"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hyperlink" Target="https://www.contratos.gov.co/consultas/detalleProceso.do?numConstancia=25-21-50283" TargetMode="External"/><Relationship Id="rId77" Type="http://schemas.openxmlformats.org/officeDocument/2006/relationships/image" Target="media/image350.emf"/><Relationship Id="rId105" Type="http://schemas.openxmlformats.org/officeDocument/2006/relationships/image" Target="media/image46.png"/><Relationship Id="rId12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yperlink" Target="https://community.secop.gov.co/Public/Tendering/OpportunityDetail/Index?noticeUID=CO1.NTC.961703&amp;isFromPublicArea=True&amp;isModal=true&amp;asPopupView=true" TargetMode="External"/><Relationship Id="rId93" Type="http://schemas.openxmlformats.org/officeDocument/2006/relationships/image" Target="media/image42.png"/><Relationship Id="rId98" Type="http://schemas.openxmlformats.org/officeDocument/2006/relationships/image" Target="media/image45.png"/><Relationship Id="rId121" Type="http://schemas.openxmlformats.org/officeDocument/2006/relationships/image" Target="media/image62.png"/><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chart" Target="charts/chart6.xml"/><Relationship Id="rId116" Type="http://schemas.openxmlformats.org/officeDocument/2006/relationships/image" Target="media/image57.png"/><Relationship Id="rId20" Type="http://schemas.openxmlformats.org/officeDocument/2006/relationships/image" Target="media/image7.png"/><Relationship Id="rId41" Type="http://schemas.openxmlformats.org/officeDocument/2006/relationships/chart" Target="charts/chart1.xml"/><Relationship Id="rId83" Type="http://schemas.openxmlformats.org/officeDocument/2006/relationships/image" Target="media/image34.png"/><Relationship Id="rId88" Type="http://schemas.openxmlformats.org/officeDocument/2006/relationships/chart" Target="charts/chart12.xml"/><Relationship Id="rId111" Type="http://schemas.openxmlformats.org/officeDocument/2006/relationships/image" Target="media/image52.png"/></Relationships>
</file>

<file path=word/_rels/footnotes.xml.rels><?xml version="1.0" encoding="UTF-8" standalone="yes"?>
<Relationships xmlns="http://schemas.openxmlformats.org/package/2006/relationships"><Relationship Id="rId13" Type="http://schemas.openxmlformats.org/officeDocument/2006/relationships/hyperlink" Target="https://www.dane.gov.co/files/operaciones/ICOCIV/bol-ICOCIV-mar2026.pdf" TargetMode="External"/><Relationship Id="rId18" Type="http://schemas.openxmlformats.org/officeDocument/2006/relationships/hyperlink" Target="https://dapre.presidencia.gov.co/normativa/normativa/DECRETO%20957%20DEL%2005%20DE%20JUNIO%20DE%202019.pdf" TargetMode="External"/><Relationship Id="rId26" Type="http://schemas.openxmlformats.org/officeDocument/2006/relationships/hyperlink" Target="https://cutt.ly/IwF3aCDl" TargetMode="External"/><Relationship Id="rId21" Type="http://schemas.openxmlformats.org/officeDocument/2006/relationships/hyperlink" Target="http://www.slideshare.net/Solfin/tablas-frmulas-y-conceptos-financieros" TargetMode="External"/><Relationship Id="rId34" Type="http://schemas.openxmlformats.org/officeDocument/2006/relationships/hyperlink" Target="http://documentacionmintranet.prosperidadsocial.gov.co/2025/Comunicaciones/Boletin/Noviembre/Boletin-Tecnico-Discapacidad.pdf" TargetMode="External"/><Relationship Id="rId7" Type="http://schemas.openxmlformats.org/officeDocument/2006/relationships/hyperlink" Target="https://www.dane.gov.co/index.php/estadisticas-por-tema/construccion/indicador-de-produccion-de-obras-civiles-ipo" TargetMode="External"/><Relationship Id="rId12" Type="http://schemas.openxmlformats.org/officeDocument/2006/relationships/hyperlink" Target="https://www.banrep.gov.co/es/glosario/tasa-cambio-trm" TargetMode="External"/><Relationship Id="rId17" Type="http://schemas.openxmlformats.org/officeDocument/2006/relationships/hyperlink" Target="https://www.funcionpublica.gov.co/eva/gestornormativo/norma.php?i=175187" TargetMode="External"/><Relationship Id="rId25" Type="http://schemas.openxmlformats.org/officeDocument/2006/relationships/hyperlink" Target="https://www.colombiacompra.gov.co/sites/cce_public/files/cce_documents/cce-eicp-ma-04._manual_requisitos_habilitantes_v3_29-09-2023.pdf" TargetMode="External"/><Relationship Id="rId33" Type="http://schemas.openxmlformats.org/officeDocument/2006/relationships/hyperlink" Target="http://documentacionmintranet.prosperidadsocial.gov.co/2025/Comunicaciones/Boletin/Noviembre/Boletin-Tecnico-Discapacidad.pdf" TargetMode="External"/><Relationship Id="rId2" Type="http://schemas.openxmlformats.org/officeDocument/2006/relationships/hyperlink" Target="https://www.dane.gov.co/files/sen/nomenclatura/ciiu/CIIU_Rev_4_AC2022.pdf" TargetMode="External"/><Relationship Id="rId16" Type="http://schemas.openxmlformats.org/officeDocument/2006/relationships/hyperlink" Target="http://www.rues.org.co/RUES_Web/Consultas" TargetMode="External"/><Relationship Id="rId20" Type="http://schemas.openxmlformats.org/officeDocument/2006/relationships/hyperlink" Target="https://www.colombiacompra.gov.co/sites/cce_public/files/cce_documents/cce_manual_requisitos_habilitantes.pdf" TargetMode="External"/><Relationship Id="rId29" Type="http://schemas.openxmlformats.org/officeDocument/2006/relationships/hyperlink" Target="https://cutt.ly/7wF7kPBl%20p.%201" TargetMode="External"/><Relationship Id="rId1" Type="http://schemas.openxmlformats.org/officeDocument/2006/relationships/hyperlink" Target="https://www.dane.gov.co/files/sen/nomenclatura/ciiu/CIIU_Rev_4_AC2022.pdf" TargetMode="External"/><Relationship Id="rId6" Type="http://schemas.openxmlformats.org/officeDocument/2006/relationships/hyperlink" Target="https://www.dane.gov.co/files/operaciones/ICOCIV/bol-ICOCIV-mar2026.pdf" TargetMode="External"/><Relationship Id="rId11" Type="http://schemas.openxmlformats.org/officeDocument/2006/relationships/hyperlink" Target="https://www.dane.gov.co/files/operaciones/ICOCIV/bol-ICOCIV-mar2026.pdf" TargetMode="External"/><Relationship Id="rId24" Type="http://schemas.openxmlformats.org/officeDocument/2006/relationships/hyperlink" Target="https://www.colombiacompra.gov.co/wp-content/uploads/2024/08/cce-eicp-ma-04._manual_requisitos_habilitantes_v3_29-09-2023.pdf" TargetMode="External"/><Relationship Id="rId32" Type="http://schemas.openxmlformats.org/officeDocument/2006/relationships/hyperlink" Target="https://confecamaras.org.co/wp-content/uploads/2024/03/panorama-mujeres-marzo-7-3.pdf" TargetMode="External"/><Relationship Id="rId37" Type="http://schemas.openxmlformats.org/officeDocument/2006/relationships/hyperlink" Target="https://administrativos.ut.edu.co/images/OBSERVATORIOS/Del_Empleo_y_Recursos_Humanos/Sector_construccion.pdf" TargetMode="External"/><Relationship Id="rId5" Type="http://schemas.openxmlformats.org/officeDocument/2006/relationships/hyperlink" Target="https://www.dane.gov.co/files/operaciones/PIB/bol-PIB-Itrim2026.pdf" TargetMode="External"/><Relationship Id="rId15" Type="http://schemas.openxmlformats.org/officeDocument/2006/relationships/hyperlink" Target="https://www.colombiacompra.gov.co/archivos/manual/manual-para-la-identificacion-y-cobertura-del-riesgo" TargetMode="External"/><Relationship Id="rId23" Type="http://schemas.openxmlformats.org/officeDocument/2006/relationships/hyperlink" Target="https://www.colombiacompra.gov.co/wp-content/uploads/2025/09/Guia-para-la-Elaboracion-de-Estudios-del-Sector-V3.pdf" TargetMode="External"/><Relationship Id="rId28" Type="http://schemas.openxmlformats.org/officeDocument/2006/relationships/hyperlink" Target="https://cutt.ly/eKioXyN" TargetMode="External"/><Relationship Id="rId36" Type="http://schemas.openxmlformats.org/officeDocument/2006/relationships/hyperlink" Target="https://www.dane.gov.co/index.php/estadisticas-por-tema/mercado-laboral/mercado-laboral-de-las-personas-con-discapacidad" TargetMode="External"/><Relationship Id="rId10" Type="http://schemas.openxmlformats.org/officeDocument/2006/relationships/hyperlink" Target="https://www.dane.gov.co/files/operaciones/IPC/abr2026/bol-IPC-abr2026.pdf" TargetMode="External"/><Relationship Id="rId19" Type="http://schemas.openxmlformats.org/officeDocument/2006/relationships/hyperlink" Target="https://www.colombiacompra.gov.co/sites/cce_public/files/cce_documents/cce-eicp-ma-04._manual_requisitos_habilitantes_v3_29-09-2023.pdf" TargetMode="External"/><Relationship Id="rId31" Type="http://schemas.openxmlformats.org/officeDocument/2006/relationships/hyperlink" Target="https://confecamaras.org.co/observatorio-movilidad-empresarial/" TargetMode="External"/><Relationship Id="rId4" Type="http://schemas.openxmlformats.org/officeDocument/2006/relationships/hyperlink" Target="https://investigaciones.corfi.com/documents/38211/0/05-2026%20Informe%20de%20din&#225;mica%20sectorial%20-%20Infraestructura%20(1).pdf/fb27c40d-8b1d-9a20-7561-3a4c8c9e19ca" TargetMode="External"/><Relationship Id="rId9" Type="http://schemas.openxmlformats.org/officeDocument/2006/relationships/hyperlink" Target="https://www.dane.gov.co/files/operaciones/IPC/dic2025/bol-IPC-dic2025.pdf" TargetMode="External"/><Relationship Id="rId14" Type="http://schemas.openxmlformats.org/officeDocument/2006/relationships/hyperlink" Target="https://geoportal.dane.gov.co/geovisores/economia/directorio-estadistico-de-empresas/" TargetMode="External"/><Relationship Id="rId22" Type="http://schemas.openxmlformats.org/officeDocument/2006/relationships/hyperlink" Target="http://descuadrando.com/Rentabilidad_econ%C3%B3mica" TargetMode="External"/><Relationship Id="rId27" Type="http://schemas.openxmlformats.org/officeDocument/2006/relationships/hyperlink" Target="https://cutt.ly/NKioA96" TargetMode="External"/><Relationship Id="rId30" Type="http://schemas.openxmlformats.org/officeDocument/2006/relationships/hyperlink" Target="https://confecamaras.org.co/wp-content/uploads/2025/08/dinamica-de-creacion-de-empresas-en-colombia-op2-web.pdf" TargetMode="External"/><Relationship Id="rId35" Type="http://schemas.openxmlformats.org/officeDocument/2006/relationships/hyperlink" Target="https://observatorio.desarrolloeconomico.gov.co/wp-content/uploads/2025/02/personas_con_discapacidad-vf.pdf" TargetMode="External"/><Relationship Id="rId8" Type="http://schemas.openxmlformats.org/officeDocument/2006/relationships/hyperlink" Target="https://www.banrep.gov.co/es/se-mide-inflacion" TargetMode="External"/><Relationship Id="rId3" Type="http://schemas.openxmlformats.org/officeDocument/2006/relationships/hyperlink" Target="https://camacol.co/sites/default/files/descargables/Cat&#225;logo%20de%20Cualificacione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3.png"/></Relationships>
</file>

<file path=word/_rels/header2.xml.rels><?xml version="1.0" encoding="UTF-8" standalone="yes"?>
<Relationships xmlns="http://schemas.openxmlformats.org/package/2006/relationships"><Relationship Id="rId1" Type="http://schemas.openxmlformats.org/officeDocument/2006/relationships/image" Target="media/image64.png"/></Relationships>
</file>

<file path=word/charts/_rels/chart1.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Users\lidamilena\Desktop\%20base%20transporte%20EMAE%20-%20Alexa%20Transp.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https://cceficiente-my.sharepoint.com/personal/duvan_anaya_colombiacompra_gov_co/Documents/Duvan/1.1%20INSUMOS%20ESTRATEGICOS%202025/4.%20CUBOS%20DEL%20GASTO/Cubo_2026_Clasificado_TP_SX_V2.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https://cceficiente-my.sharepoint.com/personal/duvan_anaya_colombiacompra_gov_co/Documents/Duvan/1.1%20INSUMOS%20ESTRATEGICOS%202025/4.%20CUBOS%20DEL%20GASTO/Cubo_2026_Clasificado_TP_SX_V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https://cceficiente-my.sharepoint.com/personal/duvan_anaya_colombiacompra_gov_co/Documents/Duvan/1.1%20INSUMOS%20ESTRATEGICOS%202025/4.%20CUBOS%20DEL%20GASTO/Cubo_2026_Clasificado_TP_SX_V2.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CN_SECOP_II_OBRA/BASE%20FILTRADA%20CONTRATOS%20EMAE%20(Obra_int_con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cceficiente-my.sharepoint.com/personal/alejandro_gamboa_colombiacompra_gov_co/Documents/2026/DT_APYSB/04_APYSB/ANALISIS_IND_FIN/OBRA/2025/BASE_2025_Obra_ApSb.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C_IND!$C$29</c:f>
              <c:strCache>
                <c:ptCount val="1"/>
                <c:pt idx="0">
                  <c:v>Manufacturero</c:v>
                </c:pt>
              </c:strCache>
            </c:strRef>
          </c:tx>
          <c:spPr>
            <a:solidFill>
              <a:schemeClr val="accent1"/>
            </a:solidFill>
            <a:ln>
              <a:noFill/>
            </a:ln>
            <a:effectLst/>
            <a:sp3d/>
          </c:spPr>
          <c:invertIfNegative val="0"/>
          <c:cat>
            <c:strRef>
              <c:f>C_IND!$B$30:$B$34</c:f>
              <c:strCache>
                <c:ptCount val="5"/>
                <c:pt idx="0">
                  <c:v>Microempresa</c:v>
                </c:pt>
                <c:pt idx="1">
                  <c:v>Pequeña empresa</c:v>
                </c:pt>
                <c:pt idx="2">
                  <c:v>Mediana empresa</c:v>
                </c:pt>
                <c:pt idx="3">
                  <c:v>Gran empresa </c:v>
                </c:pt>
                <c:pt idx="4">
                  <c:v>Inf no detallada </c:v>
                </c:pt>
              </c:strCache>
            </c:strRef>
          </c:cat>
          <c:val>
            <c:numRef>
              <c:f>C_IND!$C$30:$C$34</c:f>
              <c:numCache>
                <c:formatCode>General</c:formatCode>
                <c:ptCount val="5"/>
                <c:pt idx="0">
                  <c:v>0</c:v>
                </c:pt>
                <c:pt idx="1">
                  <c:v>1</c:v>
                </c:pt>
                <c:pt idx="2">
                  <c:v>0</c:v>
                </c:pt>
                <c:pt idx="3">
                  <c:v>0</c:v>
                </c:pt>
                <c:pt idx="4">
                  <c:v>0</c:v>
                </c:pt>
              </c:numCache>
            </c:numRef>
          </c:val>
          <c:extLst>
            <c:ext xmlns:c16="http://schemas.microsoft.com/office/drawing/2014/chart" uri="{C3380CC4-5D6E-409C-BE32-E72D297353CC}">
              <c16:uniqueId val="{00000000-1577-4554-A2C8-8AC9E387E05F}"/>
            </c:ext>
          </c:extLst>
        </c:ser>
        <c:ser>
          <c:idx val="1"/>
          <c:order val="1"/>
          <c:tx>
            <c:strRef>
              <c:f>C_IND!$D$29</c:f>
              <c:strCache>
                <c:ptCount val="1"/>
                <c:pt idx="0">
                  <c:v>Servicio</c:v>
                </c:pt>
              </c:strCache>
            </c:strRef>
          </c:tx>
          <c:spPr>
            <a:solidFill>
              <a:schemeClr val="accent2"/>
            </a:solidFill>
            <a:ln>
              <a:noFill/>
            </a:ln>
            <a:effectLst/>
            <a:sp3d/>
          </c:spPr>
          <c:invertIfNegative val="0"/>
          <c:cat>
            <c:strRef>
              <c:f>C_IND!$B$30:$B$34</c:f>
              <c:strCache>
                <c:ptCount val="5"/>
                <c:pt idx="0">
                  <c:v>Microempresa</c:v>
                </c:pt>
                <c:pt idx="1">
                  <c:v>Pequeña empresa</c:v>
                </c:pt>
                <c:pt idx="2">
                  <c:v>Mediana empresa</c:v>
                </c:pt>
                <c:pt idx="3">
                  <c:v>Gran empresa </c:v>
                </c:pt>
                <c:pt idx="4">
                  <c:v>Inf no detallada </c:v>
                </c:pt>
              </c:strCache>
            </c:strRef>
          </c:cat>
          <c:val>
            <c:numRef>
              <c:f>C_IND!$D$30:$D$34</c:f>
              <c:numCache>
                <c:formatCode>General</c:formatCode>
                <c:ptCount val="5"/>
                <c:pt idx="0">
                  <c:v>184</c:v>
                </c:pt>
                <c:pt idx="1">
                  <c:v>168</c:v>
                </c:pt>
                <c:pt idx="2">
                  <c:v>127</c:v>
                </c:pt>
                <c:pt idx="3">
                  <c:v>106</c:v>
                </c:pt>
                <c:pt idx="4">
                  <c:v>0</c:v>
                </c:pt>
              </c:numCache>
            </c:numRef>
          </c:val>
          <c:extLst>
            <c:ext xmlns:c16="http://schemas.microsoft.com/office/drawing/2014/chart" uri="{C3380CC4-5D6E-409C-BE32-E72D297353CC}">
              <c16:uniqueId val="{00000001-1577-4554-A2C8-8AC9E387E05F}"/>
            </c:ext>
          </c:extLst>
        </c:ser>
        <c:ser>
          <c:idx val="2"/>
          <c:order val="2"/>
          <c:tx>
            <c:strRef>
              <c:f>C_IND!$E$29</c:f>
              <c:strCache>
                <c:ptCount val="1"/>
                <c:pt idx="0">
                  <c:v>Comercio</c:v>
                </c:pt>
              </c:strCache>
            </c:strRef>
          </c:tx>
          <c:spPr>
            <a:solidFill>
              <a:schemeClr val="accent3"/>
            </a:solidFill>
            <a:ln>
              <a:noFill/>
            </a:ln>
            <a:effectLst/>
            <a:sp3d/>
          </c:spPr>
          <c:invertIfNegative val="0"/>
          <c:cat>
            <c:strRef>
              <c:f>C_IND!$B$30:$B$34</c:f>
              <c:strCache>
                <c:ptCount val="5"/>
                <c:pt idx="0">
                  <c:v>Microempresa</c:v>
                </c:pt>
                <c:pt idx="1">
                  <c:v>Pequeña empresa</c:v>
                </c:pt>
                <c:pt idx="2">
                  <c:v>Mediana empresa</c:v>
                </c:pt>
                <c:pt idx="3">
                  <c:v>Gran empresa </c:v>
                </c:pt>
                <c:pt idx="4">
                  <c:v>Inf no detallada </c:v>
                </c:pt>
              </c:strCache>
            </c:strRef>
          </c:cat>
          <c:val>
            <c:numRef>
              <c:f>C_IND!$E$30:$E$34</c:f>
              <c:numCache>
                <c:formatCode>General</c:formatCode>
                <c:ptCount val="5"/>
                <c:pt idx="0">
                  <c:v>1</c:v>
                </c:pt>
                <c:pt idx="1">
                  <c:v>0</c:v>
                </c:pt>
                <c:pt idx="2">
                  <c:v>2</c:v>
                </c:pt>
                <c:pt idx="3">
                  <c:v>0</c:v>
                </c:pt>
                <c:pt idx="4">
                  <c:v>0</c:v>
                </c:pt>
              </c:numCache>
            </c:numRef>
          </c:val>
          <c:extLst>
            <c:ext xmlns:c16="http://schemas.microsoft.com/office/drawing/2014/chart" uri="{C3380CC4-5D6E-409C-BE32-E72D297353CC}">
              <c16:uniqueId val="{00000002-1577-4554-A2C8-8AC9E387E05F}"/>
            </c:ext>
          </c:extLst>
        </c:ser>
        <c:dLbls>
          <c:showLegendKey val="0"/>
          <c:showVal val="0"/>
          <c:showCatName val="0"/>
          <c:showSerName val="0"/>
          <c:showPercent val="0"/>
          <c:showBubbleSize val="0"/>
        </c:dLbls>
        <c:gapWidth val="150"/>
        <c:shape val="box"/>
        <c:axId val="1397811887"/>
        <c:axId val="1397814799"/>
        <c:axId val="0"/>
      </c:bar3DChart>
      <c:catAx>
        <c:axId val="139781188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397814799"/>
        <c:crosses val="autoZero"/>
        <c:auto val="1"/>
        <c:lblAlgn val="ctr"/>
        <c:lblOffset val="100"/>
        <c:noMultiLvlLbl val="0"/>
      </c:catAx>
      <c:valAx>
        <c:axId val="13978147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crossAx val="1397811887"/>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latin typeface="Arial" panose="020B0604020202020204" pitchFamily="34" charset="0"/>
          <a:cs typeface="Arial" panose="020B0604020202020204" pitchFamily="34" charset="0"/>
        </a:defRPr>
      </a:pPr>
      <a:endParaRPr lang="es-CO"/>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C_IND!$D$53</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C_IND!$C$54:$C$60</c:f>
              <c:strCache>
                <c:ptCount val="7"/>
                <c:pt idx="0">
                  <c:v>&lt; 0,0</c:v>
                </c:pt>
                <c:pt idx="1">
                  <c:v>&gt;=0,0 - &lt;0,05</c:v>
                </c:pt>
                <c:pt idx="2">
                  <c:v>&gt;=0,05 - &lt;0,10</c:v>
                </c:pt>
                <c:pt idx="3">
                  <c:v>&gt;=0,10 - &lt;0,15</c:v>
                </c:pt>
                <c:pt idx="4">
                  <c:v>&gt;=0,15 - &lt;0,20</c:v>
                </c:pt>
                <c:pt idx="5">
                  <c:v>&gt;=0,20 - &lt;0,25</c:v>
                </c:pt>
                <c:pt idx="6">
                  <c:v>&gt;=0,25</c:v>
                </c:pt>
              </c:strCache>
            </c:strRef>
          </c:cat>
          <c:val>
            <c:numRef>
              <c:f>C_IND!$D$54:$D$60</c:f>
              <c:numCache>
                <c:formatCode>0</c:formatCode>
                <c:ptCount val="7"/>
                <c:pt idx="0">
                  <c:v>3</c:v>
                </c:pt>
                <c:pt idx="1">
                  <c:v>97</c:v>
                </c:pt>
                <c:pt idx="2">
                  <c:v>87</c:v>
                </c:pt>
                <c:pt idx="3">
                  <c:v>96</c:v>
                </c:pt>
                <c:pt idx="4">
                  <c:v>70</c:v>
                </c:pt>
                <c:pt idx="5">
                  <c:v>46</c:v>
                </c:pt>
                <c:pt idx="6">
                  <c:v>190</c:v>
                </c:pt>
              </c:numCache>
            </c:numRef>
          </c:val>
          <c:extLst>
            <c:ext xmlns:c16="http://schemas.microsoft.com/office/drawing/2014/chart" uri="{C3380CC4-5D6E-409C-BE32-E72D297353CC}">
              <c16:uniqueId val="{00000000-63A0-494D-84E0-7110E4780052}"/>
            </c:ext>
          </c:extLst>
        </c:ser>
        <c:dLbls>
          <c:showLegendKey val="0"/>
          <c:showVal val="1"/>
          <c:showCatName val="0"/>
          <c:showSerName val="0"/>
          <c:showPercent val="0"/>
          <c:showBubbleSize val="0"/>
        </c:dLbls>
        <c:gapWidth val="150"/>
        <c:shape val="box"/>
        <c:axId val="1086784095"/>
        <c:axId val="1086787935"/>
        <c:axId val="0"/>
      </c:bar3DChart>
      <c:catAx>
        <c:axId val="108678409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086787935"/>
        <c:crosses val="autoZero"/>
        <c:auto val="1"/>
        <c:lblAlgn val="ctr"/>
        <c:lblOffset val="100"/>
        <c:noMultiLvlLbl val="0"/>
      </c:catAx>
      <c:valAx>
        <c:axId val="10867879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08678409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r>
              <a:rPr lang="es-MX"/>
              <a:t>Cumplimiento Criterios Evaluación</a:t>
            </a:r>
          </a:p>
        </c:rich>
      </c:tx>
      <c:overlay val="0"/>
      <c:spPr>
        <a:noFill/>
        <a:ln>
          <a:noFill/>
        </a:ln>
        <a:effectLst/>
      </c:spPr>
      <c:txPr>
        <a:bodyPr rot="0" spcFirstLastPara="1" vertOverflow="ellipsis" vert="horz" wrap="square" anchor="ctr" anchorCtr="1"/>
        <a:lstStyle/>
        <a:p>
          <a:pPr>
            <a:defRPr sz="1600" b="1" i="0" u="none" strike="noStrike" kern="1200" spc="0" normalizeH="0" baseline="0">
              <a:solidFill>
                <a:schemeClr val="dk1">
                  <a:lumMod val="50000"/>
                  <a:lumOff val="50000"/>
                </a:schemeClr>
              </a:solidFill>
              <a:latin typeface="+mj-lt"/>
              <a:ea typeface="+mj-ea"/>
              <a:cs typeface="+mj-cs"/>
            </a:defRPr>
          </a:pPr>
          <a:endParaRPr lang="es-CO"/>
        </a:p>
      </c:txPr>
    </c:title>
    <c:autoTitleDeleted val="0"/>
    <c:view3D>
      <c:rotX val="30"/>
      <c:rotY val="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a:gsLst>
                  <a:gs pos="100000">
                    <a:schemeClr val="accent1">
                      <a:lumMod val="60000"/>
                      <a:lumOff val="40000"/>
                    </a:schemeClr>
                  </a:gs>
                  <a:gs pos="0">
                    <a:schemeClr val="accent1"/>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1-3623-4E7E-8B29-06D4B9C3B6E3}"/>
              </c:ext>
            </c:extLst>
          </c:dPt>
          <c:dPt>
            <c:idx val="1"/>
            <c:bubble3D val="0"/>
            <c:spPr>
              <a:gradFill>
                <a:gsLst>
                  <a:gs pos="100000">
                    <a:schemeClr val="accent2">
                      <a:lumMod val="60000"/>
                      <a:lumOff val="40000"/>
                    </a:schemeClr>
                  </a:gs>
                  <a:gs pos="0">
                    <a:schemeClr val="accent2"/>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3-3623-4E7E-8B29-06D4B9C3B6E3}"/>
              </c:ext>
            </c:extLst>
          </c:dPt>
          <c:dPt>
            <c:idx val="2"/>
            <c:bubble3D val="0"/>
            <c:spPr>
              <a:gradFill>
                <a:gsLst>
                  <a:gs pos="100000">
                    <a:schemeClr val="accent3">
                      <a:lumMod val="60000"/>
                      <a:lumOff val="40000"/>
                    </a:schemeClr>
                  </a:gs>
                  <a:gs pos="0">
                    <a:schemeClr val="accent3"/>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5-3623-4E7E-8B29-06D4B9C3B6E3}"/>
              </c:ext>
            </c:extLst>
          </c:dPt>
          <c:dPt>
            <c:idx val="3"/>
            <c:bubble3D val="0"/>
            <c:spPr>
              <a:gradFill>
                <a:gsLst>
                  <a:gs pos="100000">
                    <a:schemeClr val="accent4">
                      <a:lumMod val="60000"/>
                      <a:lumOff val="40000"/>
                    </a:schemeClr>
                  </a:gs>
                  <a:gs pos="0">
                    <a:schemeClr val="accent4"/>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7-3623-4E7E-8B29-06D4B9C3B6E3}"/>
              </c:ext>
            </c:extLst>
          </c:dPt>
          <c:dPt>
            <c:idx val="4"/>
            <c:bubble3D val="0"/>
            <c:spPr>
              <a:gradFill>
                <a:gsLst>
                  <a:gs pos="100000">
                    <a:schemeClr val="accent5">
                      <a:lumMod val="60000"/>
                      <a:lumOff val="40000"/>
                    </a:schemeClr>
                  </a:gs>
                  <a:gs pos="0">
                    <a:schemeClr val="accent5"/>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9-3623-4E7E-8B29-06D4B9C3B6E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CO"/>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Graficos!$C$18:$C$22</c:f>
              <c:strCache>
                <c:ptCount val="5"/>
                <c:pt idx="0">
                  <c:v>Apoyo Ind. Nacional</c:v>
                </c:pt>
                <c:pt idx="1">
                  <c:v>Discapacidad</c:v>
                </c:pt>
                <c:pt idx="2">
                  <c:v>OCCRE</c:v>
                </c:pt>
                <c:pt idx="3">
                  <c:v>Emprendimiento y E. Mujeres</c:v>
                </c:pt>
                <c:pt idx="4">
                  <c:v>Mipymes</c:v>
                </c:pt>
              </c:strCache>
            </c:strRef>
          </c:cat>
          <c:val>
            <c:numRef>
              <c:f>Graficos!$D$18:$D$22</c:f>
              <c:numCache>
                <c:formatCode>0%</c:formatCode>
                <c:ptCount val="5"/>
                <c:pt idx="0">
                  <c:v>1</c:v>
                </c:pt>
                <c:pt idx="1">
                  <c:v>0.6875</c:v>
                </c:pt>
                <c:pt idx="2">
                  <c:v>0</c:v>
                </c:pt>
                <c:pt idx="3">
                  <c:v>0.9375</c:v>
                </c:pt>
                <c:pt idx="4">
                  <c:v>0.9375</c:v>
                </c:pt>
              </c:numCache>
            </c:numRef>
          </c:val>
          <c:extLst>
            <c:ext xmlns:c16="http://schemas.microsoft.com/office/drawing/2014/chart" uri="{C3380CC4-5D6E-409C-BE32-E72D297353CC}">
              <c16:uniqueId val="{0000000A-3623-4E7E-8B29-06D4B9C3B6E3}"/>
            </c:ext>
          </c:extLst>
        </c:ser>
        <c:dLbls>
          <c:dLblPos val="inEnd"/>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s-CO"/>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C_IND!$B$8</c:f>
              <c:strCache>
                <c:ptCount val="1"/>
                <c:pt idx="0">
                  <c:v>Microempresa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Pt>
            <c:idx val="1"/>
            <c:invertIfNegative val="0"/>
            <c:bubble3D val="0"/>
            <c:extLst>
              <c:ext xmlns:c16="http://schemas.microsoft.com/office/drawing/2014/chart" uri="{C3380CC4-5D6E-409C-BE32-E72D297353CC}">
                <c16:uniqueId val="{00000000-C610-4B64-925C-501DEB4509FA}"/>
              </c:ext>
            </c:extLst>
          </c:dPt>
          <c:dPt>
            <c:idx val="2"/>
            <c:invertIfNegative val="0"/>
            <c:bubble3D val="0"/>
            <c:extLst>
              <c:ext xmlns:c16="http://schemas.microsoft.com/office/drawing/2014/chart" uri="{C3380CC4-5D6E-409C-BE32-E72D297353CC}">
                <c16:uniqueId val="{00000001-C610-4B64-925C-501DEB4509FA}"/>
              </c:ext>
            </c:extLst>
          </c:dPt>
          <c:dPt>
            <c:idx val="3"/>
            <c:invertIfNegative val="0"/>
            <c:bubble3D val="0"/>
            <c:extLst>
              <c:ext xmlns:c16="http://schemas.microsoft.com/office/drawing/2014/chart" uri="{C3380CC4-5D6E-409C-BE32-E72D297353CC}">
                <c16:uniqueId val="{00000002-C610-4B64-925C-501DEB4509FA}"/>
              </c:ext>
            </c:extLst>
          </c:dPt>
          <c:dPt>
            <c:idx val="4"/>
            <c:invertIfNegative val="0"/>
            <c:bubble3D val="0"/>
            <c:extLst>
              <c:ext xmlns:c16="http://schemas.microsoft.com/office/drawing/2014/chart" uri="{C3380CC4-5D6E-409C-BE32-E72D297353CC}">
                <c16:uniqueId val="{00000003-C610-4B64-925C-501DEB4509F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C_IND!$L$8</c:f>
              <c:numCache>
                <c:formatCode>0%</c:formatCode>
                <c:ptCount val="1"/>
                <c:pt idx="0">
                  <c:v>0.31452991452991452</c:v>
                </c:pt>
              </c:numCache>
            </c:numRef>
          </c:val>
          <c:extLst>
            <c:ext xmlns:c16="http://schemas.microsoft.com/office/drawing/2014/chart" uri="{C3380CC4-5D6E-409C-BE32-E72D297353CC}">
              <c16:uniqueId val="{00000004-C610-4B64-925C-501DEB4509FA}"/>
            </c:ext>
          </c:extLst>
        </c:ser>
        <c:ser>
          <c:idx val="1"/>
          <c:order val="1"/>
          <c:tx>
            <c:strRef>
              <c:f>C_IND!$B$9</c:f>
              <c:strCache>
                <c:ptCount val="1"/>
                <c:pt idx="0">
                  <c:v>Pequeña empresa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C_IND!$L$9</c:f>
              <c:numCache>
                <c:formatCode>0%</c:formatCode>
                <c:ptCount val="1"/>
                <c:pt idx="0">
                  <c:v>0.28717948717948716</c:v>
                </c:pt>
              </c:numCache>
            </c:numRef>
          </c:val>
          <c:extLst>
            <c:ext xmlns:c16="http://schemas.microsoft.com/office/drawing/2014/chart" uri="{C3380CC4-5D6E-409C-BE32-E72D297353CC}">
              <c16:uniqueId val="{00000005-C610-4B64-925C-501DEB4509FA}"/>
            </c:ext>
          </c:extLst>
        </c:ser>
        <c:ser>
          <c:idx val="2"/>
          <c:order val="2"/>
          <c:tx>
            <c:strRef>
              <c:f>C_IND!$B$10</c:f>
              <c:strCache>
                <c:ptCount val="1"/>
                <c:pt idx="0">
                  <c:v>Mediana empresa</c:v>
                </c:pt>
              </c:strCache>
            </c:strRef>
          </c:tx>
          <c:spPr>
            <a:gradFill flip="none" rotWithShape="1">
              <a:gsLst>
                <a:gs pos="0">
                  <a:schemeClr val="accent3"/>
                </a:gs>
                <a:gs pos="75000">
                  <a:schemeClr val="accent3">
                    <a:lumMod val="60000"/>
                    <a:lumOff val="40000"/>
                  </a:schemeClr>
                </a:gs>
                <a:gs pos="51000">
                  <a:schemeClr val="accent3">
                    <a:alpha val="75000"/>
                  </a:schemeClr>
                </a:gs>
                <a:gs pos="100000">
                  <a:schemeClr val="accent3">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C_IND!$L$10</c:f>
              <c:numCache>
                <c:formatCode>0%</c:formatCode>
                <c:ptCount val="1"/>
                <c:pt idx="0">
                  <c:v>0.2170940170940171</c:v>
                </c:pt>
              </c:numCache>
            </c:numRef>
          </c:val>
          <c:extLst>
            <c:ext xmlns:c16="http://schemas.microsoft.com/office/drawing/2014/chart" uri="{C3380CC4-5D6E-409C-BE32-E72D297353CC}">
              <c16:uniqueId val="{00000006-C610-4B64-925C-501DEB4509FA}"/>
            </c:ext>
          </c:extLst>
        </c:ser>
        <c:ser>
          <c:idx val="3"/>
          <c:order val="3"/>
          <c:tx>
            <c:strRef>
              <c:f>C_IND!$B$11</c:f>
              <c:strCache>
                <c:ptCount val="1"/>
                <c:pt idx="0">
                  <c:v>Gran empresa</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C_IND!$L$11</c:f>
              <c:numCache>
                <c:formatCode>0%</c:formatCode>
                <c:ptCount val="1"/>
                <c:pt idx="0">
                  <c:v>0.18119658119658119</c:v>
                </c:pt>
              </c:numCache>
            </c:numRef>
          </c:val>
          <c:extLst>
            <c:ext xmlns:c16="http://schemas.microsoft.com/office/drawing/2014/chart" uri="{C3380CC4-5D6E-409C-BE32-E72D297353CC}">
              <c16:uniqueId val="{00000007-C610-4B64-925C-501DEB4509FA}"/>
            </c:ext>
          </c:extLst>
        </c:ser>
        <c:ser>
          <c:idx val="4"/>
          <c:order val="4"/>
          <c:tx>
            <c:strRef>
              <c:f>C_IND!$B$12</c:f>
              <c:strCache>
                <c:ptCount val="1"/>
                <c:pt idx="0">
                  <c:v>Inf No Detallada</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C_IND!$L$12</c:f>
              <c:numCache>
                <c:formatCode>0%</c:formatCode>
                <c:ptCount val="1"/>
                <c:pt idx="0">
                  <c:v>0</c:v>
                </c:pt>
              </c:numCache>
            </c:numRef>
          </c:val>
          <c:extLst>
            <c:ext xmlns:c16="http://schemas.microsoft.com/office/drawing/2014/chart" uri="{C3380CC4-5D6E-409C-BE32-E72D297353CC}">
              <c16:uniqueId val="{00000008-C610-4B64-925C-501DEB4509FA}"/>
            </c:ext>
          </c:extLst>
        </c:ser>
        <c:dLbls>
          <c:showLegendKey val="0"/>
          <c:showVal val="1"/>
          <c:showCatName val="0"/>
          <c:showSerName val="0"/>
          <c:showPercent val="0"/>
          <c:showBubbleSize val="0"/>
        </c:dLbls>
        <c:gapWidth val="355"/>
        <c:overlap val="-70"/>
        <c:axId val="1107516495"/>
        <c:axId val="1107517455"/>
      </c:barChart>
      <c:catAx>
        <c:axId val="110751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7455"/>
        <c:crosses val="autoZero"/>
        <c:auto val="1"/>
        <c:lblAlgn val="ctr"/>
        <c:lblOffset val="100"/>
        <c:noMultiLvlLbl val="0"/>
      </c:catAx>
      <c:valAx>
        <c:axId val="1107517455"/>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649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[Cubo_2026_Clasificado_TP_SX_V2.xlsx]MiPymes!TablaDinámica1</c:name>
    <c:fmtId val="-1"/>
  </c:pivotSource>
  <c:chart>
    <c:autoTitleDeleted val="1"/>
    <c:pivotFmts>
      <c:pivotFmt>
        <c:idx val="0"/>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
        <c:spPr>
          <a:solidFill>
            <a:srgbClr val="003189">
              <a:alpha val="25098"/>
            </a:srgbClr>
          </a:solidFill>
          <a:ln w="19050">
            <a:solidFill>
              <a:schemeClr val="lt1"/>
            </a:solidFill>
          </a:ln>
          <a:effectLst/>
        </c:spPr>
      </c:pivotFmt>
      <c:pivotFmt>
        <c:idx val="3"/>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4"/>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5"/>
        <c:spPr>
          <a:solidFill>
            <a:srgbClr val="003189">
              <a:alpha val="25098"/>
            </a:srgbClr>
          </a:solidFill>
          <a:ln w="19050">
            <a:solidFill>
              <a:schemeClr val="lt1"/>
            </a:solidFill>
          </a:ln>
          <a:effectLst/>
        </c:spPr>
      </c:pivotFmt>
      <c:pivotFmt>
        <c:idx val="6"/>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7"/>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8"/>
        <c:spPr>
          <a:solidFill>
            <a:srgbClr val="003189">
              <a:alpha val="25098"/>
            </a:srgbClr>
          </a:solidFill>
          <a:ln w="19050">
            <a:solidFill>
              <a:schemeClr val="lt1"/>
            </a:solidFill>
          </a:ln>
          <a:effectLst/>
        </c:spPr>
      </c:pivotFmt>
    </c:pivotFmts>
    <c:plotArea>
      <c:layout/>
      <c:pieChart>
        <c:varyColors val="1"/>
        <c:ser>
          <c:idx val="0"/>
          <c:order val="0"/>
          <c:tx>
            <c:strRef>
              <c:f>MiPymes!$C$3</c:f>
              <c:strCache>
                <c:ptCount val="1"/>
                <c:pt idx="0">
                  <c:v>Total</c:v>
                </c:pt>
              </c:strCache>
            </c:strRef>
          </c:tx>
          <c:spPr>
            <a:solidFill>
              <a:srgbClr val="003189"/>
            </a:solidFill>
          </c:spPr>
          <c:dPt>
            <c:idx val="0"/>
            <c:bubble3D val="0"/>
            <c:spPr>
              <a:solidFill>
                <a:srgbClr val="003189"/>
              </a:solidFill>
              <a:ln w="19050">
                <a:solidFill>
                  <a:schemeClr val="lt1"/>
                </a:solidFill>
              </a:ln>
              <a:effectLst/>
            </c:spPr>
            <c:extLst>
              <c:ext xmlns:c16="http://schemas.microsoft.com/office/drawing/2014/chart" uri="{C3380CC4-5D6E-409C-BE32-E72D297353CC}">
                <c16:uniqueId val="{00000001-4625-4B2F-8B81-C59290F0C598}"/>
              </c:ext>
            </c:extLst>
          </c:dPt>
          <c:dPt>
            <c:idx val="1"/>
            <c:bubble3D val="0"/>
            <c:spPr>
              <a:solidFill>
                <a:srgbClr val="003189">
                  <a:alpha val="25098"/>
                </a:srgbClr>
              </a:solidFill>
              <a:ln w="19050">
                <a:solidFill>
                  <a:schemeClr val="lt1"/>
                </a:solidFill>
              </a:ln>
              <a:effectLst/>
            </c:spPr>
            <c:extLst>
              <c:ext xmlns:c16="http://schemas.microsoft.com/office/drawing/2014/chart" uri="{C3380CC4-5D6E-409C-BE32-E72D297353CC}">
                <c16:uniqueId val="{00000003-4625-4B2F-8B81-C59290F0C598}"/>
              </c:ext>
            </c:extLst>
          </c:dPt>
          <c:dLbls>
            <c:dLbl>
              <c:idx val="0"/>
              <c:layout>
                <c:manualLayout>
                  <c:x val="5.9997436079611131E-2"/>
                  <c:y val="-8.7781024470587207E-2"/>
                </c:manualLayout>
              </c:layout>
              <c:tx>
                <c:rich>
                  <a:bodyPr/>
                  <a:lstStyle/>
                  <a:p>
                    <a:fld id="{25B57952-24CD-4A43-B538-A973C7BED16E}" type="CATEGORYNAME">
                      <a:rPr lang="en-US"/>
                      <a:pPr/>
                      <a:t>[NOMBRE DE CATEGORÍA]</a:t>
                    </a:fld>
                    <a:r>
                      <a:rPr lang="en-US" baseline="0"/>
                      <a:t>
</a:t>
                    </a:r>
                    <a:fld id="{5F11ACDD-8853-44B7-B492-194DDE236C94}" type="VALUE">
                      <a:rPr lang="en-US" sz="800" baseline="0"/>
                      <a:pPr/>
                      <a:t>[VALOR]</a:t>
                    </a:fld>
                    <a:r>
                      <a:rPr lang="en-US" baseline="0"/>
                      <a:t>
</a:t>
                    </a:r>
                    <a:fld id="{FD6BB425-5F7B-4201-9277-1C9B7610E735}" type="PERCENTAGE">
                      <a:rPr lang="en-US" baseline="0"/>
                      <a:pPr/>
                      <a:t>[PORCENTAJE]</a:t>
                    </a:fld>
                    <a:endParaRPr lang="en-US" baseline="0"/>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3264937471051414"/>
                      <c:h val="0.29272581524099861"/>
                    </c:manualLayout>
                  </c15:layout>
                  <c15:dlblFieldTable/>
                  <c15:showDataLabelsRange val="0"/>
                </c:ext>
                <c:ext xmlns:c16="http://schemas.microsoft.com/office/drawing/2014/chart" uri="{C3380CC4-5D6E-409C-BE32-E72D297353CC}">
                  <c16:uniqueId val="{00000001-4625-4B2F-8B81-C59290F0C598}"/>
                </c:ext>
              </c:extLst>
            </c:dLbl>
            <c:dLbl>
              <c:idx val="1"/>
              <c:layout>
                <c:manualLayout>
                  <c:x val="-4.6259261033403609E-2"/>
                  <c:y val="0"/>
                </c:manualLayout>
              </c:layout>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3627373784159331"/>
                      <c:h val="0.23709751301147536"/>
                    </c:manualLayout>
                  </c15:layout>
                </c:ext>
                <c:ext xmlns:c16="http://schemas.microsoft.com/office/drawing/2014/chart" uri="{C3380CC4-5D6E-409C-BE32-E72D297353CC}">
                  <c16:uniqueId val="{00000003-4625-4B2F-8B81-C59290F0C598}"/>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MiPymes!$B$4:$B$5</c:f>
              <c:strCache>
                <c:ptCount val="2"/>
                <c:pt idx="0">
                  <c:v>No</c:v>
                </c:pt>
                <c:pt idx="1">
                  <c:v>Si</c:v>
                </c:pt>
              </c:strCache>
            </c:strRef>
          </c:cat>
          <c:val>
            <c:numRef>
              <c:f>MiPymes!$C$4:$C$5</c:f>
              <c:numCache>
                <c:formatCode>"$"\ #,##0.0,," M"</c:formatCode>
                <c:ptCount val="2"/>
                <c:pt idx="0">
                  <c:v>1428516158300.1926</c:v>
                </c:pt>
                <c:pt idx="1">
                  <c:v>516285315604.75012</c:v>
                </c:pt>
              </c:numCache>
            </c:numRef>
          </c:val>
          <c:extLst>
            <c:ext xmlns:c16="http://schemas.microsoft.com/office/drawing/2014/chart" uri="{C3380CC4-5D6E-409C-BE32-E72D297353CC}">
              <c16:uniqueId val="{00000004-4625-4B2F-8B81-C59290F0C598}"/>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s-MX"/>
        </a:p>
      </c:txPr>
    </c:legend>
    <c:plotVisOnly val="1"/>
    <c:dispBlanksAs val="gap"/>
    <c:showDLblsOverMax val="0"/>
    <c:extLst/>
  </c:chart>
  <c:spPr>
    <a:solidFill>
      <a:schemeClr val="lt1"/>
    </a:solidFill>
    <a:ln w="25400" cap="flat" cmpd="sng" algn="ctr">
      <a:noFill/>
      <a:prstDash val="solid"/>
      <a:round/>
    </a:ln>
    <a:effectLst/>
  </c:spPr>
  <c:txPr>
    <a:bodyPr/>
    <a:lstStyle/>
    <a:p>
      <a:pPr>
        <a:defRPr>
          <a:solidFill>
            <a:schemeClr val="dk1"/>
          </a:solidFill>
          <a:latin typeface="+mn-lt"/>
          <a:ea typeface="+mn-ea"/>
          <a:cs typeface="+mn-cs"/>
        </a:defRPr>
      </a:pPr>
      <a:endParaRPr lang="es-MX"/>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[Cubo_2026_Clasificado_TP_SX_V2.xlsx]Mujer!TablaDinámica9</c:name>
    <c:fmtId val="-1"/>
  </c:pivotSource>
  <c:chart>
    <c:autoTitleDeleted val="1"/>
    <c:pivotFmts>
      <c:pivotFmt>
        <c:idx val="0"/>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
        <c:spPr>
          <a:solidFill>
            <a:srgbClr val="003189">
              <a:alpha val="25098"/>
            </a:srgbClr>
          </a:solidFill>
          <a:ln w="19050">
            <a:solidFill>
              <a:schemeClr val="lt1"/>
            </a:solidFill>
          </a:ln>
          <a:effectLst/>
        </c:spPr>
      </c:pivotFmt>
      <c:pivotFmt>
        <c:idx val="3"/>
        <c:spPr>
          <a:solidFill>
            <a:srgbClr val="C0504D">
              <a:lumMod val="40000"/>
              <a:lumOff val="60000"/>
            </a:srgbClr>
          </a:solidFill>
          <a:ln w="19050">
            <a:solidFill>
              <a:schemeClr val="lt1"/>
            </a:solidFill>
          </a:ln>
          <a:effectLst/>
        </c:spPr>
      </c:pivotFmt>
      <c:pivotFmt>
        <c:idx val="4"/>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5"/>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6"/>
        <c:spPr>
          <a:solidFill>
            <a:srgbClr val="003189">
              <a:alpha val="25098"/>
            </a:srgbClr>
          </a:solidFill>
          <a:ln w="19050">
            <a:solidFill>
              <a:schemeClr val="lt1"/>
            </a:solidFill>
          </a:ln>
          <a:effectLst/>
        </c:spPr>
      </c:pivotFmt>
      <c:pivotFmt>
        <c:idx val="7"/>
        <c:spPr>
          <a:solidFill>
            <a:srgbClr val="C0504D">
              <a:lumMod val="40000"/>
              <a:lumOff val="60000"/>
            </a:srgbClr>
          </a:solidFill>
          <a:ln w="19050">
            <a:solidFill>
              <a:schemeClr val="lt1"/>
            </a:solidFill>
          </a:ln>
          <a:effectLst/>
        </c:spPr>
      </c:pivotFmt>
      <c:pivotFmt>
        <c:idx val="8"/>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9"/>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0"/>
        <c:spPr>
          <a:solidFill>
            <a:srgbClr val="003189">
              <a:alpha val="25098"/>
            </a:srgbClr>
          </a:solidFill>
          <a:ln w="19050">
            <a:solidFill>
              <a:schemeClr val="lt1"/>
            </a:solidFill>
          </a:ln>
          <a:effectLst/>
        </c:spPr>
      </c:pivotFmt>
      <c:pivotFmt>
        <c:idx val="11"/>
        <c:spPr>
          <a:solidFill>
            <a:srgbClr val="C0504D">
              <a:lumMod val="40000"/>
              <a:lumOff val="60000"/>
            </a:srgbClr>
          </a:solidFill>
          <a:ln w="19050">
            <a:solidFill>
              <a:schemeClr val="lt1"/>
            </a:solidFill>
          </a:ln>
          <a:effectLst/>
        </c:spPr>
      </c:pivotFmt>
      <c:pivotFmt>
        <c:idx val="12"/>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3"/>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4"/>
        <c:spPr>
          <a:solidFill>
            <a:srgbClr val="003189">
              <a:alpha val="25098"/>
            </a:srgbClr>
          </a:solidFill>
          <a:ln w="19050">
            <a:solidFill>
              <a:schemeClr val="lt1"/>
            </a:solidFill>
          </a:ln>
          <a:effectLst/>
        </c:spPr>
      </c:pivotFmt>
      <c:pivotFmt>
        <c:idx val="15"/>
        <c:spPr>
          <a:solidFill>
            <a:srgbClr val="C0504D">
              <a:lumMod val="40000"/>
              <a:lumOff val="60000"/>
            </a:srgbClr>
          </a:solidFill>
          <a:ln w="19050">
            <a:solidFill>
              <a:schemeClr val="lt1"/>
            </a:solidFill>
          </a:ln>
          <a:effectLst/>
        </c:spPr>
      </c:pivotFmt>
      <c:pivotFmt>
        <c:idx val="16"/>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7"/>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8"/>
        <c:spPr>
          <a:solidFill>
            <a:srgbClr val="003189">
              <a:alpha val="25098"/>
            </a:srgbClr>
          </a:solidFill>
          <a:ln w="19050">
            <a:solidFill>
              <a:schemeClr val="lt1"/>
            </a:solidFill>
          </a:ln>
          <a:effectLst/>
        </c:spPr>
      </c:pivotFmt>
      <c:pivotFmt>
        <c:idx val="19"/>
        <c:spPr>
          <a:solidFill>
            <a:srgbClr val="C0504D">
              <a:lumMod val="40000"/>
              <a:lumOff val="60000"/>
            </a:srgbClr>
          </a:solidFill>
          <a:ln w="19050">
            <a:solidFill>
              <a:schemeClr val="lt1"/>
            </a:solidFill>
          </a:ln>
          <a:effectLst/>
        </c:spPr>
      </c:pivotFmt>
      <c:pivotFmt>
        <c:idx val="20"/>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1"/>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2"/>
        <c:spPr>
          <a:solidFill>
            <a:srgbClr val="003189">
              <a:alpha val="25098"/>
            </a:srgbClr>
          </a:solidFill>
          <a:ln w="19050">
            <a:solidFill>
              <a:schemeClr val="lt1"/>
            </a:solidFill>
          </a:ln>
          <a:effectLst/>
        </c:spPr>
      </c:pivotFmt>
      <c:pivotFmt>
        <c:idx val="23"/>
        <c:spPr>
          <a:solidFill>
            <a:srgbClr val="C0504D">
              <a:lumMod val="40000"/>
              <a:lumOff val="60000"/>
            </a:srgbClr>
          </a:solidFill>
          <a:ln w="19050">
            <a:solidFill>
              <a:schemeClr val="lt1"/>
            </a:solidFill>
          </a:ln>
          <a:effectLst/>
        </c:spPr>
      </c:pivotFmt>
    </c:pivotFmts>
    <c:plotArea>
      <c:layout/>
      <c:pieChart>
        <c:varyColors val="1"/>
        <c:ser>
          <c:idx val="0"/>
          <c:order val="0"/>
          <c:tx>
            <c:strRef>
              <c:f>Mujer!$C$16</c:f>
              <c:strCache>
                <c:ptCount val="1"/>
                <c:pt idx="0">
                  <c:v>Total</c:v>
                </c:pt>
              </c:strCache>
            </c:strRef>
          </c:tx>
          <c:spPr>
            <a:solidFill>
              <a:srgbClr val="003189"/>
            </a:solidFill>
          </c:spPr>
          <c:dPt>
            <c:idx val="0"/>
            <c:bubble3D val="0"/>
            <c:spPr>
              <a:solidFill>
                <a:srgbClr val="003189"/>
              </a:solidFill>
              <a:ln w="19050">
                <a:solidFill>
                  <a:schemeClr val="lt1"/>
                </a:solidFill>
              </a:ln>
              <a:effectLst/>
            </c:spPr>
            <c:extLst>
              <c:ext xmlns:c16="http://schemas.microsoft.com/office/drawing/2014/chart" uri="{C3380CC4-5D6E-409C-BE32-E72D297353CC}">
                <c16:uniqueId val="{00000001-810D-441C-92B1-E13FB13A0BF2}"/>
              </c:ext>
            </c:extLst>
          </c:dPt>
          <c:dPt>
            <c:idx val="1"/>
            <c:bubble3D val="0"/>
            <c:spPr>
              <a:solidFill>
                <a:srgbClr val="003189">
                  <a:alpha val="25098"/>
                </a:srgbClr>
              </a:solidFill>
              <a:ln w="19050">
                <a:solidFill>
                  <a:schemeClr val="lt1"/>
                </a:solidFill>
              </a:ln>
              <a:effectLst/>
            </c:spPr>
            <c:extLst>
              <c:ext xmlns:c16="http://schemas.microsoft.com/office/drawing/2014/chart" uri="{C3380CC4-5D6E-409C-BE32-E72D297353CC}">
                <c16:uniqueId val="{00000003-810D-441C-92B1-E13FB13A0BF2}"/>
              </c:ext>
            </c:extLst>
          </c:dPt>
          <c:dPt>
            <c:idx val="2"/>
            <c:bubble3D val="0"/>
            <c:spPr>
              <a:solidFill>
                <a:srgbClr val="C0504D">
                  <a:lumMod val="40000"/>
                  <a:lumOff val="60000"/>
                </a:srgbClr>
              </a:solidFill>
              <a:ln w="19050">
                <a:solidFill>
                  <a:schemeClr val="lt1"/>
                </a:solidFill>
              </a:ln>
              <a:effectLst/>
            </c:spPr>
            <c:extLst>
              <c:ext xmlns:c16="http://schemas.microsoft.com/office/drawing/2014/chart" uri="{C3380CC4-5D6E-409C-BE32-E72D297353CC}">
                <c16:uniqueId val="{00000005-810D-441C-92B1-E13FB13A0BF2}"/>
              </c:ext>
            </c:extLst>
          </c:dPt>
          <c:dLbls>
            <c:dLbl>
              <c:idx val="0"/>
              <c:layout>
                <c:manualLayout>
                  <c:x val="7.6033067746868965E-2"/>
                  <c:y val="-8.7781051683046146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810D-441C-92B1-E13FB13A0BF2}"/>
                </c:ext>
              </c:extLst>
            </c:dLbl>
            <c:dLbl>
              <c:idx val="2"/>
              <c:layout>
                <c:manualLayout>
                  <c:x val="-6.3061642755793804E-2"/>
                  <c:y val="4.9900199600798403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810D-441C-92B1-E13FB13A0BF2}"/>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Mujer!$B$17:$B$19</c:f>
              <c:strCache>
                <c:ptCount val="3"/>
                <c:pt idx="0">
                  <c:v>Hombre</c:v>
                </c:pt>
                <c:pt idx="1">
                  <c:v>Mujer</c:v>
                </c:pt>
                <c:pt idx="2">
                  <c:v>No definido</c:v>
                </c:pt>
              </c:strCache>
            </c:strRef>
          </c:cat>
          <c:val>
            <c:numRef>
              <c:f>Mujer!$C$17:$C$19</c:f>
              <c:numCache>
                <c:formatCode>"$"\ #,##0.0,," M"</c:formatCode>
                <c:ptCount val="3"/>
                <c:pt idx="0">
                  <c:v>1014009978774.5917</c:v>
                </c:pt>
                <c:pt idx="1">
                  <c:v>575424495373.43005</c:v>
                </c:pt>
                <c:pt idx="2">
                  <c:v>355366999756.92004</c:v>
                </c:pt>
              </c:numCache>
            </c:numRef>
          </c:val>
          <c:extLst>
            <c:ext xmlns:c16="http://schemas.microsoft.com/office/drawing/2014/chart" uri="{C3380CC4-5D6E-409C-BE32-E72D297353CC}">
              <c16:uniqueId val="{00000006-810D-441C-92B1-E13FB13A0BF2}"/>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s-MX"/>
        </a:p>
      </c:txPr>
    </c:legend>
    <c:plotVisOnly val="1"/>
    <c:dispBlanksAs val="gap"/>
    <c:showDLblsOverMax val="0"/>
    <c:extLst/>
  </c:chart>
  <c:spPr>
    <a:solidFill>
      <a:schemeClr val="lt1"/>
    </a:solidFill>
    <a:ln w="25400" cap="flat" cmpd="sng" algn="ctr">
      <a:noFill/>
      <a:prstDash val="solid"/>
      <a:round/>
    </a:ln>
    <a:effectLst/>
  </c:spPr>
  <c:txPr>
    <a:bodyPr/>
    <a:lstStyle/>
    <a:p>
      <a:pPr>
        <a:defRPr>
          <a:solidFill>
            <a:schemeClr val="dk1"/>
          </a:solidFill>
          <a:latin typeface="+mn-lt"/>
          <a:ea typeface="+mn-ea"/>
          <a:cs typeface="+mn-cs"/>
        </a:defRPr>
      </a:pPr>
      <a:endParaRPr lang="es-MX"/>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[Cubo_2026_Clasificado_TP_SX_V2.xlsx]Mujer!TablaDinámica1</c:name>
    <c:fmtId val="-1"/>
  </c:pivotSource>
  <c:chart>
    <c:autoTitleDeleted val="1"/>
    <c:pivotFmts>
      <c:pivotFmt>
        <c:idx val="0"/>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
        <c:spPr>
          <a:solidFill>
            <a:srgbClr val="003189">
              <a:alpha val="25098"/>
            </a:srgbClr>
          </a:solidFill>
          <a:ln w="19050">
            <a:solidFill>
              <a:schemeClr val="lt1"/>
            </a:solidFill>
          </a:ln>
          <a:effectLst/>
        </c:spPr>
      </c:pivotFmt>
      <c:pivotFmt>
        <c:idx val="3"/>
        <c:spPr>
          <a:solidFill>
            <a:srgbClr val="C0504D">
              <a:lumMod val="40000"/>
              <a:lumOff val="60000"/>
            </a:srgbClr>
          </a:solidFill>
          <a:ln w="19050">
            <a:solidFill>
              <a:schemeClr val="lt1"/>
            </a:solidFill>
          </a:ln>
          <a:effectLst/>
        </c:spPr>
      </c:pivotFmt>
      <c:pivotFmt>
        <c:idx val="4"/>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5"/>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6"/>
        <c:spPr>
          <a:solidFill>
            <a:srgbClr val="003189">
              <a:alpha val="25098"/>
            </a:srgbClr>
          </a:solidFill>
          <a:ln w="19050">
            <a:solidFill>
              <a:schemeClr val="lt1"/>
            </a:solidFill>
          </a:ln>
          <a:effectLst/>
        </c:spPr>
      </c:pivotFmt>
      <c:pivotFmt>
        <c:idx val="7"/>
        <c:spPr>
          <a:solidFill>
            <a:srgbClr val="C0504D">
              <a:lumMod val="40000"/>
              <a:lumOff val="60000"/>
            </a:srgbClr>
          </a:solidFill>
          <a:ln w="19050">
            <a:solidFill>
              <a:schemeClr val="lt1"/>
            </a:solidFill>
          </a:ln>
          <a:effectLst/>
        </c:spPr>
      </c:pivotFmt>
      <c:pivotFmt>
        <c:idx val="8"/>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9"/>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0"/>
        <c:spPr>
          <a:solidFill>
            <a:srgbClr val="003189">
              <a:alpha val="25098"/>
            </a:srgbClr>
          </a:solidFill>
          <a:ln w="19050">
            <a:solidFill>
              <a:schemeClr val="lt1"/>
            </a:solidFill>
          </a:ln>
          <a:effectLst/>
        </c:spPr>
      </c:pivotFmt>
      <c:pivotFmt>
        <c:idx val="11"/>
        <c:spPr>
          <a:solidFill>
            <a:srgbClr val="C0504D">
              <a:lumMod val="40000"/>
              <a:lumOff val="60000"/>
            </a:srgbClr>
          </a:solidFill>
          <a:ln w="19050">
            <a:solidFill>
              <a:schemeClr val="lt1"/>
            </a:solidFill>
          </a:ln>
          <a:effectLst/>
        </c:spPr>
      </c:pivotFmt>
      <c:pivotFmt>
        <c:idx val="12"/>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3"/>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4"/>
        <c:spPr>
          <a:solidFill>
            <a:srgbClr val="003189">
              <a:alpha val="25098"/>
            </a:srgbClr>
          </a:solidFill>
          <a:ln w="19050">
            <a:solidFill>
              <a:schemeClr val="lt1"/>
            </a:solidFill>
          </a:ln>
          <a:effectLst/>
        </c:spPr>
      </c:pivotFmt>
      <c:pivotFmt>
        <c:idx val="15"/>
        <c:spPr>
          <a:solidFill>
            <a:srgbClr val="C0504D">
              <a:lumMod val="40000"/>
              <a:lumOff val="60000"/>
            </a:srgbClr>
          </a:solidFill>
          <a:ln w="19050">
            <a:solidFill>
              <a:schemeClr val="lt1"/>
            </a:solidFill>
          </a:ln>
          <a:effectLst/>
        </c:spPr>
      </c:pivotFmt>
      <c:pivotFmt>
        <c:idx val="16"/>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7"/>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18"/>
        <c:spPr>
          <a:solidFill>
            <a:srgbClr val="003189">
              <a:alpha val="25098"/>
            </a:srgbClr>
          </a:solidFill>
          <a:ln w="19050">
            <a:solidFill>
              <a:schemeClr val="lt1"/>
            </a:solidFill>
          </a:ln>
          <a:effectLst/>
        </c:spPr>
      </c:pivotFmt>
      <c:pivotFmt>
        <c:idx val="19"/>
        <c:spPr>
          <a:solidFill>
            <a:srgbClr val="C0504D">
              <a:lumMod val="40000"/>
              <a:lumOff val="60000"/>
            </a:srgbClr>
          </a:solidFill>
          <a:ln w="19050">
            <a:solidFill>
              <a:schemeClr val="lt1"/>
            </a:solidFill>
          </a:ln>
          <a:effectLst/>
        </c:spPr>
      </c:pivotFmt>
      <c:pivotFmt>
        <c:idx val="20"/>
        <c:spPr>
          <a:solidFill>
            <a:srgbClr val="003189"/>
          </a:solidFill>
          <a:ln w="19050">
            <a:solidFill>
              <a:schemeClr val="lt1"/>
            </a:solidFill>
          </a:ln>
          <a:effectLst/>
        </c:spPr>
        <c:marker>
          <c:symbol val="none"/>
        </c:marker>
        <c:dLbl>
          <c:idx val="0"/>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1"/>
        <c:spPr>
          <a:solidFill>
            <a:srgbClr val="003189"/>
          </a:solidFill>
          <a:ln w="19050">
            <a:solidFill>
              <a:schemeClr val="lt1"/>
            </a:solidFill>
          </a:ln>
          <a:effectLst/>
        </c:spPr>
        <c:dLbl>
          <c:idx val="0"/>
          <c:layout>
            <c:manualLayout>
              <c:x val="7.6033067746868965E-2"/>
              <c:y val="-8.7781051683046146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bestFit"/>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wedgeRectCallout">
                  <a:avLst/>
                </a:prstGeom>
                <a:noFill/>
                <a:ln>
                  <a:noFill/>
                </a:ln>
              </c15:spPr>
            </c:ext>
          </c:extLst>
        </c:dLbl>
      </c:pivotFmt>
      <c:pivotFmt>
        <c:idx val="22"/>
        <c:spPr>
          <a:solidFill>
            <a:srgbClr val="003189">
              <a:alpha val="25098"/>
            </a:srgbClr>
          </a:solidFill>
          <a:ln w="19050">
            <a:solidFill>
              <a:schemeClr val="lt1"/>
            </a:solidFill>
          </a:ln>
          <a:effectLst/>
        </c:spPr>
      </c:pivotFmt>
      <c:pivotFmt>
        <c:idx val="23"/>
        <c:spPr>
          <a:solidFill>
            <a:srgbClr val="C0504D">
              <a:lumMod val="40000"/>
              <a:lumOff val="60000"/>
            </a:srgbClr>
          </a:solidFill>
          <a:ln w="19050">
            <a:solidFill>
              <a:schemeClr val="lt1"/>
            </a:solidFill>
          </a:ln>
          <a:effectLst/>
        </c:spPr>
      </c:pivotFmt>
    </c:pivotFmts>
    <c:plotArea>
      <c:layout/>
      <c:pieChart>
        <c:varyColors val="1"/>
        <c:ser>
          <c:idx val="0"/>
          <c:order val="0"/>
          <c:tx>
            <c:strRef>
              <c:f>Mujer!$C$3</c:f>
              <c:strCache>
                <c:ptCount val="1"/>
                <c:pt idx="0">
                  <c:v>Total</c:v>
                </c:pt>
              </c:strCache>
            </c:strRef>
          </c:tx>
          <c:spPr>
            <a:solidFill>
              <a:srgbClr val="003189"/>
            </a:solidFill>
          </c:spPr>
          <c:dPt>
            <c:idx val="0"/>
            <c:bubble3D val="0"/>
            <c:spPr>
              <a:solidFill>
                <a:srgbClr val="003189"/>
              </a:solidFill>
              <a:ln w="19050">
                <a:solidFill>
                  <a:schemeClr val="lt1"/>
                </a:solidFill>
              </a:ln>
              <a:effectLst/>
            </c:spPr>
            <c:extLst>
              <c:ext xmlns:c16="http://schemas.microsoft.com/office/drawing/2014/chart" uri="{C3380CC4-5D6E-409C-BE32-E72D297353CC}">
                <c16:uniqueId val="{00000001-0885-44E6-B167-7701CEB83639}"/>
              </c:ext>
            </c:extLst>
          </c:dPt>
          <c:dPt>
            <c:idx val="1"/>
            <c:bubble3D val="0"/>
            <c:spPr>
              <a:solidFill>
                <a:srgbClr val="003189">
                  <a:alpha val="25098"/>
                </a:srgbClr>
              </a:solidFill>
              <a:ln w="19050">
                <a:solidFill>
                  <a:schemeClr val="lt1"/>
                </a:solidFill>
              </a:ln>
              <a:effectLst/>
            </c:spPr>
            <c:extLst>
              <c:ext xmlns:c16="http://schemas.microsoft.com/office/drawing/2014/chart" uri="{C3380CC4-5D6E-409C-BE32-E72D297353CC}">
                <c16:uniqueId val="{00000003-0885-44E6-B167-7701CEB83639}"/>
              </c:ext>
            </c:extLst>
          </c:dPt>
          <c:dPt>
            <c:idx val="2"/>
            <c:bubble3D val="0"/>
            <c:spPr>
              <a:solidFill>
                <a:srgbClr val="C0504D">
                  <a:lumMod val="40000"/>
                  <a:lumOff val="60000"/>
                </a:srgbClr>
              </a:solidFill>
              <a:ln w="19050">
                <a:solidFill>
                  <a:schemeClr val="lt1"/>
                </a:solidFill>
              </a:ln>
              <a:effectLst/>
            </c:spPr>
            <c:extLst>
              <c:ext xmlns:c16="http://schemas.microsoft.com/office/drawing/2014/chart" uri="{C3380CC4-5D6E-409C-BE32-E72D297353CC}">
                <c16:uniqueId val="{00000005-0885-44E6-B167-7701CEB83639}"/>
              </c:ext>
            </c:extLst>
          </c:dPt>
          <c:dLbls>
            <c:dLbl>
              <c:idx val="0"/>
              <c:layout>
                <c:manualLayout>
                  <c:x val="7.6033067746868965E-2"/>
                  <c:y val="-8.7781051683046146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0885-44E6-B167-7701CEB83639}"/>
                </c:ext>
              </c:extLst>
            </c:dLbl>
            <c:dLbl>
              <c:idx val="1"/>
              <c:layout>
                <c:manualLayout>
                  <c:x val="-4.9396610122547521E-2"/>
                  <c:y val="0.21551543096565157"/>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0885-44E6-B167-7701CEB83639}"/>
                </c:ext>
              </c:extLst>
            </c:dLbl>
            <c:dLbl>
              <c:idx val="2"/>
              <c:layout>
                <c:manualLayout>
                  <c:x val="-0.11133200795228629"/>
                  <c:y val="2.7613412228796843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0885-44E6-B167-7701CEB83639}"/>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solidFill>
                    <a:latin typeface="+mn-lt"/>
                    <a:ea typeface="+mn-ea"/>
                    <a:cs typeface="+mn-cs"/>
                  </a:defRPr>
                </a:pPr>
                <a:endParaRPr lang="es-MX"/>
              </a:p>
            </c:txPr>
            <c:dLblPos val="outEnd"/>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Mujer!$B$4:$B$6</c:f>
              <c:strCache>
                <c:ptCount val="3"/>
                <c:pt idx="0">
                  <c:v>Hombre</c:v>
                </c:pt>
                <c:pt idx="1">
                  <c:v>Mujer</c:v>
                </c:pt>
                <c:pt idx="2">
                  <c:v>No definido</c:v>
                </c:pt>
              </c:strCache>
            </c:strRef>
          </c:cat>
          <c:val>
            <c:numRef>
              <c:f>Mujer!$C$4:$C$6</c:f>
              <c:numCache>
                <c:formatCode>General</c:formatCode>
                <c:ptCount val="3"/>
                <c:pt idx="0">
                  <c:v>1705</c:v>
                </c:pt>
                <c:pt idx="1">
                  <c:v>534</c:v>
                </c:pt>
                <c:pt idx="2">
                  <c:v>177</c:v>
                </c:pt>
              </c:numCache>
            </c:numRef>
          </c:val>
          <c:extLst>
            <c:ext xmlns:c16="http://schemas.microsoft.com/office/drawing/2014/chart" uri="{C3380CC4-5D6E-409C-BE32-E72D297353CC}">
              <c16:uniqueId val="{00000006-0885-44E6-B167-7701CEB83639}"/>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solidFill>
              <a:latin typeface="+mn-lt"/>
              <a:ea typeface="+mn-ea"/>
              <a:cs typeface="+mn-cs"/>
            </a:defRPr>
          </a:pPr>
          <a:endParaRPr lang="es-MX"/>
        </a:p>
      </c:txPr>
    </c:legend>
    <c:plotVisOnly val="1"/>
    <c:dispBlanksAs val="gap"/>
    <c:showDLblsOverMax val="0"/>
    <c:extLst/>
  </c:chart>
  <c:spPr>
    <a:solidFill>
      <a:schemeClr val="lt1"/>
    </a:solidFill>
    <a:ln w="25400" cap="flat" cmpd="sng" algn="ctr">
      <a:noFill/>
      <a:prstDash val="solid"/>
      <a:round/>
    </a:ln>
    <a:effectLst/>
  </c:spPr>
  <c:txPr>
    <a:bodyPr/>
    <a:lstStyle/>
    <a:p>
      <a:pPr>
        <a:defRPr>
          <a:solidFill>
            <a:schemeClr val="dk1"/>
          </a:solidFill>
          <a:latin typeface="+mn-lt"/>
          <a:ea typeface="+mn-ea"/>
          <a:cs typeface="+mn-cs"/>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C_IND!$B$8</c:f>
              <c:strCache>
                <c:ptCount val="1"/>
                <c:pt idx="0">
                  <c:v>Microempresa</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Pt>
            <c:idx val="1"/>
            <c:invertIfNegative val="0"/>
            <c:bubble3D val="0"/>
            <c:extLst>
              <c:ext xmlns:c16="http://schemas.microsoft.com/office/drawing/2014/chart" uri="{C3380CC4-5D6E-409C-BE32-E72D297353CC}">
                <c16:uniqueId val="{00000000-17A6-476A-BDBE-DC4C98EDC88B}"/>
              </c:ext>
            </c:extLst>
          </c:dPt>
          <c:dPt>
            <c:idx val="2"/>
            <c:invertIfNegative val="0"/>
            <c:bubble3D val="0"/>
            <c:extLst>
              <c:ext xmlns:c16="http://schemas.microsoft.com/office/drawing/2014/chart" uri="{C3380CC4-5D6E-409C-BE32-E72D297353CC}">
                <c16:uniqueId val="{00000001-17A6-476A-BDBE-DC4C98EDC88B}"/>
              </c:ext>
            </c:extLst>
          </c:dPt>
          <c:dPt>
            <c:idx val="3"/>
            <c:invertIfNegative val="0"/>
            <c:bubble3D val="0"/>
            <c:extLst>
              <c:ext xmlns:c16="http://schemas.microsoft.com/office/drawing/2014/chart" uri="{C3380CC4-5D6E-409C-BE32-E72D297353CC}">
                <c16:uniqueId val="{00000002-17A6-476A-BDBE-DC4C98EDC88B}"/>
              </c:ext>
            </c:extLst>
          </c:dPt>
          <c:dPt>
            <c:idx val="4"/>
            <c:invertIfNegative val="0"/>
            <c:bubble3D val="0"/>
            <c:extLst>
              <c:ext xmlns:c16="http://schemas.microsoft.com/office/drawing/2014/chart" uri="{C3380CC4-5D6E-409C-BE32-E72D297353CC}">
                <c16:uniqueId val="{00000003-17A6-476A-BDBE-DC4C98EDC88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C_IND!$L$8</c:f>
              <c:numCache>
                <c:formatCode>0%</c:formatCode>
                <c:ptCount val="1"/>
                <c:pt idx="0">
                  <c:v>0.31452991452991452</c:v>
                </c:pt>
              </c:numCache>
            </c:numRef>
          </c:val>
          <c:extLst>
            <c:ext xmlns:c16="http://schemas.microsoft.com/office/drawing/2014/chart" uri="{C3380CC4-5D6E-409C-BE32-E72D297353CC}">
              <c16:uniqueId val="{00000004-17A6-476A-BDBE-DC4C98EDC88B}"/>
            </c:ext>
          </c:extLst>
        </c:ser>
        <c:ser>
          <c:idx val="1"/>
          <c:order val="1"/>
          <c:tx>
            <c:strRef>
              <c:f>C_IND!$B$9</c:f>
              <c:strCache>
                <c:ptCount val="1"/>
                <c:pt idx="0">
                  <c:v>Pequeña empresa</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C_IND!$L$9</c:f>
              <c:numCache>
                <c:formatCode>0%</c:formatCode>
                <c:ptCount val="1"/>
                <c:pt idx="0">
                  <c:v>0.28717948717948716</c:v>
                </c:pt>
              </c:numCache>
            </c:numRef>
          </c:val>
          <c:extLst>
            <c:ext xmlns:c16="http://schemas.microsoft.com/office/drawing/2014/chart" uri="{C3380CC4-5D6E-409C-BE32-E72D297353CC}">
              <c16:uniqueId val="{00000005-17A6-476A-BDBE-DC4C98EDC88B}"/>
            </c:ext>
          </c:extLst>
        </c:ser>
        <c:ser>
          <c:idx val="2"/>
          <c:order val="2"/>
          <c:tx>
            <c:strRef>
              <c:f>C_IND!$B$10</c:f>
              <c:strCache>
                <c:ptCount val="1"/>
                <c:pt idx="0">
                  <c:v>Mediana empresa</c:v>
                </c:pt>
              </c:strCache>
            </c:strRef>
          </c:tx>
          <c:spPr>
            <a:gradFill flip="none" rotWithShape="1">
              <a:gsLst>
                <a:gs pos="0">
                  <a:schemeClr val="accent3"/>
                </a:gs>
                <a:gs pos="75000">
                  <a:schemeClr val="accent3">
                    <a:lumMod val="60000"/>
                    <a:lumOff val="40000"/>
                  </a:schemeClr>
                </a:gs>
                <a:gs pos="51000">
                  <a:schemeClr val="accent3">
                    <a:alpha val="75000"/>
                  </a:schemeClr>
                </a:gs>
                <a:gs pos="100000">
                  <a:schemeClr val="accent3">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C_IND!$L$10</c:f>
              <c:numCache>
                <c:formatCode>0%</c:formatCode>
                <c:ptCount val="1"/>
                <c:pt idx="0">
                  <c:v>0.2170940170940171</c:v>
                </c:pt>
              </c:numCache>
            </c:numRef>
          </c:val>
          <c:extLst>
            <c:ext xmlns:c16="http://schemas.microsoft.com/office/drawing/2014/chart" uri="{C3380CC4-5D6E-409C-BE32-E72D297353CC}">
              <c16:uniqueId val="{00000006-17A6-476A-BDBE-DC4C98EDC88B}"/>
            </c:ext>
          </c:extLst>
        </c:ser>
        <c:ser>
          <c:idx val="3"/>
          <c:order val="3"/>
          <c:tx>
            <c:strRef>
              <c:f>C_IND!$B$11</c:f>
              <c:strCache>
                <c:ptCount val="1"/>
                <c:pt idx="0">
                  <c:v>Gran empresa</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C_IND!$L$11</c:f>
              <c:numCache>
                <c:formatCode>0%</c:formatCode>
                <c:ptCount val="1"/>
                <c:pt idx="0">
                  <c:v>0.18119658119658119</c:v>
                </c:pt>
              </c:numCache>
            </c:numRef>
          </c:val>
          <c:extLst>
            <c:ext xmlns:c16="http://schemas.microsoft.com/office/drawing/2014/chart" uri="{C3380CC4-5D6E-409C-BE32-E72D297353CC}">
              <c16:uniqueId val="{00000007-17A6-476A-BDBE-DC4C98EDC88B}"/>
            </c:ext>
          </c:extLst>
        </c:ser>
        <c:ser>
          <c:idx val="4"/>
          <c:order val="4"/>
          <c:tx>
            <c:strRef>
              <c:f>C_IND!$B$12</c:f>
              <c:strCache>
                <c:ptCount val="1"/>
                <c:pt idx="0">
                  <c:v>Inf No Detallada</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C_IND!$E$23</c:f>
              <c:strCache>
                <c:ptCount val="1"/>
                <c:pt idx="0">
                  <c:v>Servicio</c:v>
                </c:pt>
              </c:strCache>
            </c:strRef>
          </c:cat>
          <c:val>
            <c:numRef>
              <c:f>C_IND!$L$12</c:f>
              <c:numCache>
                <c:formatCode>0%</c:formatCode>
                <c:ptCount val="1"/>
                <c:pt idx="0">
                  <c:v>0</c:v>
                </c:pt>
              </c:numCache>
            </c:numRef>
          </c:val>
          <c:extLst>
            <c:ext xmlns:c16="http://schemas.microsoft.com/office/drawing/2014/chart" uri="{C3380CC4-5D6E-409C-BE32-E72D297353CC}">
              <c16:uniqueId val="{00000008-17A6-476A-BDBE-DC4C98EDC88B}"/>
            </c:ext>
          </c:extLst>
        </c:ser>
        <c:dLbls>
          <c:showLegendKey val="0"/>
          <c:showVal val="1"/>
          <c:showCatName val="0"/>
          <c:showSerName val="0"/>
          <c:showPercent val="0"/>
          <c:showBubbleSize val="0"/>
        </c:dLbls>
        <c:gapWidth val="355"/>
        <c:overlap val="-70"/>
        <c:axId val="1107516495"/>
        <c:axId val="1107517455"/>
      </c:barChart>
      <c:catAx>
        <c:axId val="110751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7455"/>
        <c:crosses val="autoZero"/>
        <c:auto val="1"/>
        <c:lblAlgn val="ctr"/>
        <c:lblOffset val="100"/>
        <c:noMultiLvlLbl val="0"/>
      </c:catAx>
      <c:valAx>
        <c:axId val="1107517455"/>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107516495"/>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[BASE FILTRADA CONTRATOS EMAE (Obra_int_cons).xlsx]TD Obra!TablaDinámica3</c:name>
    <c:fmtId val="-1"/>
  </c:pivotSource>
  <c:chart>
    <c:autoTitleDeleted val="1"/>
    <c:pivotFmts>
      <c:pivotFmt>
        <c:idx val="0"/>
        <c:spPr>
          <a:solidFill>
            <a:schemeClr val="accent1"/>
          </a:solidFill>
          <a:ln>
            <a:noFill/>
          </a:ln>
          <a:effectLst/>
          <a:sp3d/>
        </c:spPr>
        <c:marker>
          <c:symbol val="none"/>
        </c:marker>
      </c:pivotFmt>
      <c:pivotFmt>
        <c:idx val="1"/>
        <c:spPr>
          <a:solidFill>
            <a:schemeClr val="accent1"/>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a:sp3d/>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s>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'TD Obra'!$B$14</c:f>
              <c:strCache>
                <c:ptCount val="1"/>
                <c:pt idx="0">
                  <c:v>Total</c:v>
                </c:pt>
              </c:strCache>
            </c:strRef>
          </c:tx>
          <c:spPr>
            <a:solidFill>
              <a:schemeClr val="accent1"/>
            </a:solidFill>
            <a:ln>
              <a:noFill/>
            </a:ln>
            <a:effectLst/>
            <a:sp3d/>
          </c:spPr>
          <c:invertIfNegative val="0"/>
          <c:cat>
            <c:strRef>
              <c:f>'TD Obra'!$A$15:$A$18</c:f>
              <c:strCache>
                <c:ptCount val="3"/>
                <c:pt idx="0">
                  <c:v>Consorcio</c:v>
                </c:pt>
                <c:pt idx="1">
                  <c:v>Individual</c:v>
                </c:pt>
                <c:pt idx="2">
                  <c:v>Unión temporal</c:v>
                </c:pt>
              </c:strCache>
            </c:strRef>
          </c:cat>
          <c:val>
            <c:numRef>
              <c:f>'TD Obra'!$B$15:$B$18</c:f>
              <c:numCache>
                <c:formatCode>General</c:formatCode>
                <c:ptCount val="3"/>
                <c:pt idx="0">
                  <c:v>166</c:v>
                </c:pt>
                <c:pt idx="1">
                  <c:v>574</c:v>
                </c:pt>
                <c:pt idx="2">
                  <c:v>43</c:v>
                </c:pt>
              </c:numCache>
            </c:numRef>
          </c:val>
          <c:extLst>
            <c:ext xmlns:c16="http://schemas.microsoft.com/office/drawing/2014/chart" uri="{C3380CC4-5D6E-409C-BE32-E72D297353CC}">
              <c16:uniqueId val="{00000000-AE50-4462-9836-89C10D690A68}"/>
            </c:ext>
          </c:extLst>
        </c:ser>
        <c:dLbls>
          <c:showLegendKey val="0"/>
          <c:showVal val="0"/>
          <c:showCatName val="0"/>
          <c:showSerName val="0"/>
          <c:showPercent val="0"/>
          <c:showBubbleSize val="0"/>
        </c:dLbls>
        <c:gapWidth val="150"/>
        <c:shape val="box"/>
        <c:axId val="1017284032"/>
        <c:axId val="1017263872"/>
        <c:axId val="0"/>
      </c:bar3DChart>
      <c:catAx>
        <c:axId val="1017284032"/>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17263872"/>
        <c:crosses val="autoZero"/>
        <c:auto val="1"/>
        <c:lblAlgn val="ctr"/>
        <c:lblOffset val="100"/>
        <c:noMultiLvlLbl val="0"/>
      </c:catAx>
      <c:valAx>
        <c:axId val="1017263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0172840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s-CO"/>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C_IND!$D$41</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C_IND!$C$42:$C$51</c:f>
              <c:strCache>
                <c:ptCount val="10"/>
                <c:pt idx="0">
                  <c:v>&lt; 0,0</c:v>
                </c:pt>
                <c:pt idx="1">
                  <c:v>&gt;=0,0 - &lt;0,25</c:v>
                </c:pt>
                <c:pt idx="2">
                  <c:v>&gt;=0,25 - &lt;0,50</c:v>
                </c:pt>
                <c:pt idx="3">
                  <c:v>&gt;=0,50 - &lt;0,75</c:v>
                </c:pt>
                <c:pt idx="4">
                  <c:v>&gt;=0,75 - &lt;1</c:v>
                </c:pt>
                <c:pt idx="5">
                  <c:v>&gt;=1 - &lt;1,25</c:v>
                </c:pt>
                <c:pt idx="6">
                  <c:v>&gt;=1,25 - &lt;1,5</c:v>
                </c:pt>
                <c:pt idx="7">
                  <c:v>&gt;=1,5 - &lt;1,75</c:v>
                </c:pt>
                <c:pt idx="8">
                  <c:v>&gt;=1,75 - &lt;2</c:v>
                </c:pt>
                <c:pt idx="9">
                  <c:v>&gt;=2</c:v>
                </c:pt>
              </c:strCache>
            </c:strRef>
          </c:cat>
          <c:val>
            <c:numRef>
              <c:f>C_IND!$D$42:$D$51</c:f>
              <c:numCache>
                <c:formatCode>0</c:formatCode>
                <c:ptCount val="10"/>
                <c:pt idx="0">
                  <c:v>0</c:v>
                </c:pt>
                <c:pt idx="1">
                  <c:v>1</c:v>
                </c:pt>
                <c:pt idx="2">
                  <c:v>0</c:v>
                </c:pt>
                <c:pt idx="3">
                  <c:v>1</c:v>
                </c:pt>
                <c:pt idx="4">
                  <c:v>2</c:v>
                </c:pt>
                <c:pt idx="5">
                  <c:v>5</c:v>
                </c:pt>
                <c:pt idx="6">
                  <c:v>10</c:v>
                </c:pt>
                <c:pt idx="7">
                  <c:v>17</c:v>
                </c:pt>
                <c:pt idx="8">
                  <c:v>12</c:v>
                </c:pt>
                <c:pt idx="9">
                  <c:v>536</c:v>
                </c:pt>
              </c:numCache>
            </c:numRef>
          </c:val>
          <c:extLst>
            <c:ext xmlns:c16="http://schemas.microsoft.com/office/drawing/2014/chart" uri="{C3380CC4-5D6E-409C-BE32-E72D297353CC}">
              <c16:uniqueId val="{00000000-2C01-4688-8990-FA89836EBA33}"/>
            </c:ext>
          </c:extLst>
        </c:ser>
        <c:dLbls>
          <c:showLegendKey val="0"/>
          <c:showVal val="1"/>
          <c:showCatName val="0"/>
          <c:showSerName val="0"/>
          <c:showPercent val="0"/>
          <c:showBubbleSize val="0"/>
        </c:dLbls>
        <c:gapWidth val="150"/>
        <c:shape val="box"/>
        <c:axId val="1276282351"/>
        <c:axId val="1276280911"/>
        <c:axId val="0"/>
      </c:bar3DChart>
      <c:catAx>
        <c:axId val="1276282351"/>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276280911"/>
        <c:crosses val="autoZero"/>
        <c:auto val="1"/>
        <c:lblAlgn val="ctr"/>
        <c:lblOffset val="100"/>
        <c:noMultiLvlLbl val="0"/>
      </c:catAx>
      <c:valAx>
        <c:axId val="12762809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27628235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C_IND!$J$41</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C_IND!$I$42:$I$51</c:f>
              <c:strCache>
                <c:ptCount val="7"/>
                <c:pt idx="0">
                  <c:v>&lt; 0,0</c:v>
                </c:pt>
                <c:pt idx="1">
                  <c:v>&gt;=0,0 - &lt;0,50</c:v>
                </c:pt>
                <c:pt idx="2">
                  <c:v>&gt;=0,50 - &lt;1</c:v>
                </c:pt>
                <c:pt idx="3">
                  <c:v>&gt;=1 - &lt;1,50</c:v>
                </c:pt>
                <c:pt idx="4">
                  <c:v>&gt;=1,50 - &lt;2</c:v>
                </c:pt>
                <c:pt idx="5">
                  <c:v>&gt;=2</c:v>
                </c:pt>
                <c:pt idx="6">
                  <c:v>Indeterminado</c:v>
                </c:pt>
              </c:strCache>
            </c:strRef>
          </c:cat>
          <c:val>
            <c:numRef>
              <c:f>C_IND!$J$42:$J$50</c:f>
              <c:numCache>
                <c:formatCode>0</c:formatCode>
                <c:ptCount val="9"/>
                <c:pt idx="0">
                  <c:v>2</c:v>
                </c:pt>
                <c:pt idx="1">
                  <c:v>5</c:v>
                </c:pt>
                <c:pt idx="2">
                  <c:v>3</c:v>
                </c:pt>
                <c:pt idx="3">
                  <c:v>4</c:v>
                </c:pt>
                <c:pt idx="4">
                  <c:v>1</c:v>
                </c:pt>
                <c:pt idx="5">
                  <c:v>443</c:v>
                </c:pt>
                <c:pt idx="6">
                  <c:v>131</c:v>
                </c:pt>
              </c:numCache>
            </c:numRef>
          </c:val>
          <c:extLst>
            <c:ext xmlns:c16="http://schemas.microsoft.com/office/drawing/2014/chart" uri="{C3380CC4-5D6E-409C-BE32-E72D297353CC}">
              <c16:uniqueId val="{00000000-6071-4CB2-99F7-EDBBB58A0AD4}"/>
            </c:ext>
          </c:extLst>
        </c:ser>
        <c:dLbls>
          <c:showLegendKey val="0"/>
          <c:showVal val="1"/>
          <c:showCatName val="0"/>
          <c:showSerName val="0"/>
          <c:showPercent val="0"/>
          <c:showBubbleSize val="0"/>
        </c:dLbls>
        <c:gapWidth val="150"/>
        <c:shape val="box"/>
        <c:axId val="1411290896"/>
        <c:axId val="1411292336"/>
        <c:axId val="0"/>
      </c:bar3DChart>
      <c:catAx>
        <c:axId val="14112908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411292336"/>
        <c:crosses val="autoZero"/>
        <c:auto val="1"/>
        <c:lblAlgn val="ctr"/>
        <c:lblOffset val="100"/>
        <c:noMultiLvlLbl val="0"/>
      </c:catAx>
      <c:valAx>
        <c:axId val="1411292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4112908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C_IND!$G$41</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C_IND!$F$42:$F$47</c:f>
              <c:strCache>
                <c:ptCount val="6"/>
                <c:pt idx="0">
                  <c:v>&lt; 0,0</c:v>
                </c:pt>
                <c:pt idx="1">
                  <c:v>&gt;=0,0 - &lt;0,25</c:v>
                </c:pt>
                <c:pt idx="2">
                  <c:v>&gt;=0,25 - &lt;0,50</c:v>
                </c:pt>
                <c:pt idx="3">
                  <c:v>&gt;=0,50 - &lt;0,75</c:v>
                </c:pt>
                <c:pt idx="4">
                  <c:v>&gt;=0,75 - &lt;1</c:v>
                </c:pt>
                <c:pt idx="5">
                  <c:v>&gt;=1 </c:v>
                </c:pt>
              </c:strCache>
            </c:strRef>
          </c:cat>
          <c:val>
            <c:numRef>
              <c:f>C_IND!$G$42:$G$47</c:f>
              <c:numCache>
                <c:formatCode>0</c:formatCode>
                <c:ptCount val="6"/>
                <c:pt idx="0">
                  <c:v>0</c:v>
                </c:pt>
                <c:pt idx="1">
                  <c:v>276</c:v>
                </c:pt>
                <c:pt idx="2">
                  <c:v>185</c:v>
                </c:pt>
                <c:pt idx="3">
                  <c:v>112</c:v>
                </c:pt>
                <c:pt idx="4">
                  <c:v>14</c:v>
                </c:pt>
                <c:pt idx="5">
                  <c:v>2</c:v>
                </c:pt>
              </c:numCache>
            </c:numRef>
          </c:val>
          <c:extLst>
            <c:ext xmlns:c16="http://schemas.microsoft.com/office/drawing/2014/chart" uri="{C3380CC4-5D6E-409C-BE32-E72D297353CC}">
              <c16:uniqueId val="{00000000-B17F-433A-B265-9810A7A4046D}"/>
            </c:ext>
          </c:extLst>
        </c:ser>
        <c:dLbls>
          <c:showLegendKey val="0"/>
          <c:showVal val="1"/>
          <c:showCatName val="0"/>
          <c:showSerName val="0"/>
          <c:showPercent val="0"/>
          <c:showBubbleSize val="0"/>
        </c:dLbls>
        <c:gapWidth val="150"/>
        <c:shape val="box"/>
        <c:axId val="1461568671"/>
        <c:axId val="1461569631"/>
        <c:axId val="0"/>
      </c:bar3DChart>
      <c:catAx>
        <c:axId val="1461568671"/>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461569631"/>
        <c:crosses val="autoZero"/>
        <c:auto val="1"/>
        <c:lblAlgn val="ctr"/>
        <c:lblOffset val="100"/>
        <c:noMultiLvlLbl val="0"/>
      </c:catAx>
      <c:valAx>
        <c:axId val="14615696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46156867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C_IND!$G$53</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C_IND!$F$54:$F$63</c:f>
              <c:strCache>
                <c:ptCount val="10"/>
                <c:pt idx="0">
                  <c:v>&lt; 0,0</c:v>
                </c:pt>
                <c:pt idx="1">
                  <c:v>&gt;=0 - &lt;500.000.000</c:v>
                </c:pt>
                <c:pt idx="2">
                  <c:v>&gt;=500.000.000 - &lt;1.000.000.000</c:v>
                </c:pt>
                <c:pt idx="3">
                  <c:v>&gt;=1.000.000.000 - &lt;1.500.000.000</c:v>
                </c:pt>
                <c:pt idx="4">
                  <c:v>&gt;=1.500.000.000 - &lt;2.000.000.000</c:v>
                </c:pt>
                <c:pt idx="5">
                  <c:v>&gt;=2.000.000.000 - &lt;2.500.000.000</c:v>
                </c:pt>
                <c:pt idx="6">
                  <c:v>&gt;=2.500.000.000 - &lt;3.000.000.000</c:v>
                </c:pt>
                <c:pt idx="7">
                  <c:v>&gt;=3.000.000.000 - &lt;3.500.000.000</c:v>
                </c:pt>
                <c:pt idx="8">
                  <c:v>&gt;=3.500.000.000 - &lt;4.000.000.000</c:v>
                </c:pt>
                <c:pt idx="9">
                  <c:v>&gt;= 4.000.000.000</c:v>
                </c:pt>
              </c:strCache>
            </c:strRef>
          </c:cat>
          <c:val>
            <c:numRef>
              <c:f>C_IND!$G$54:$G$63</c:f>
              <c:numCache>
                <c:formatCode>0</c:formatCode>
                <c:ptCount val="10"/>
                <c:pt idx="0">
                  <c:v>4</c:v>
                </c:pt>
                <c:pt idx="1">
                  <c:v>83</c:v>
                </c:pt>
                <c:pt idx="2">
                  <c:v>85</c:v>
                </c:pt>
                <c:pt idx="3">
                  <c:v>66</c:v>
                </c:pt>
                <c:pt idx="4">
                  <c:v>51</c:v>
                </c:pt>
                <c:pt idx="5">
                  <c:v>30</c:v>
                </c:pt>
                <c:pt idx="6">
                  <c:v>24</c:v>
                </c:pt>
                <c:pt idx="7">
                  <c:v>23</c:v>
                </c:pt>
                <c:pt idx="8">
                  <c:v>23</c:v>
                </c:pt>
                <c:pt idx="9">
                  <c:v>200</c:v>
                </c:pt>
              </c:numCache>
            </c:numRef>
          </c:val>
          <c:extLst>
            <c:ext xmlns:c16="http://schemas.microsoft.com/office/drawing/2014/chart" uri="{C3380CC4-5D6E-409C-BE32-E72D297353CC}">
              <c16:uniqueId val="{00000000-4D40-4363-800D-029926FBE829}"/>
            </c:ext>
          </c:extLst>
        </c:ser>
        <c:dLbls>
          <c:showLegendKey val="0"/>
          <c:showVal val="1"/>
          <c:showCatName val="0"/>
          <c:showSerName val="0"/>
          <c:showPercent val="0"/>
          <c:showBubbleSize val="0"/>
        </c:dLbls>
        <c:gapWidth val="150"/>
        <c:shape val="box"/>
        <c:axId val="1545403520"/>
        <c:axId val="1545409760"/>
        <c:axId val="0"/>
      </c:bar3DChart>
      <c:catAx>
        <c:axId val="15454035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545409760"/>
        <c:crosses val="autoZero"/>
        <c:auto val="1"/>
        <c:lblAlgn val="ctr"/>
        <c:lblOffset val="100"/>
        <c:noMultiLvlLbl val="0"/>
      </c:catAx>
      <c:valAx>
        <c:axId val="1545409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5454035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C_IND!$J$53</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C_IND!$I$54:$I$63</c:f>
              <c:strCache>
                <c:ptCount val="10"/>
                <c:pt idx="0">
                  <c:v>&lt; 0,0</c:v>
                </c:pt>
                <c:pt idx="1">
                  <c:v>&gt;=0 - &lt;500.000.000</c:v>
                </c:pt>
                <c:pt idx="2">
                  <c:v>&gt;=500.000.000 - &lt;1.000.000.000</c:v>
                </c:pt>
                <c:pt idx="3">
                  <c:v>&gt;=1.000.000.000 - &lt;1.500.000.000</c:v>
                </c:pt>
                <c:pt idx="4">
                  <c:v>&gt;=1.500.000.000 - &lt;2.000.000.000</c:v>
                </c:pt>
                <c:pt idx="5">
                  <c:v>&gt;=2.000.000.000 - &lt;2.500.000.000</c:v>
                </c:pt>
                <c:pt idx="6">
                  <c:v>&gt;=2.500.000.000 - &lt;3.000.000.000</c:v>
                </c:pt>
                <c:pt idx="7">
                  <c:v>&gt;=3.000.000.000 - &lt;3.500.000.000</c:v>
                </c:pt>
                <c:pt idx="8">
                  <c:v>&gt;=3.500.000.000 - &lt;4.000.000.000</c:v>
                </c:pt>
                <c:pt idx="9">
                  <c:v>&gt;= 4.000.000.000</c:v>
                </c:pt>
              </c:strCache>
            </c:strRef>
          </c:cat>
          <c:val>
            <c:numRef>
              <c:f>C_IND!$J$54:$J$63</c:f>
              <c:numCache>
                <c:formatCode>0</c:formatCode>
                <c:ptCount val="10"/>
                <c:pt idx="0">
                  <c:v>2</c:v>
                </c:pt>
                <c:pt idx="1">
                  <c:v>78</c:v>
                </c:pt>
                <c:pt idx="2">
                  <c:v>81</c:v>
                </c:pt>
                <c:pt idx="3">
                  <c:v>63</c:v>
                </c:pt>
                <c:pt idx="4">
                  <c:v>51</c:v>
                </c:pt>
                <c:pt idx="5">
                  <c:v>41</c:v>
                </c:pt>
                <c:pt idx="6">
                  <c:v>22</c:v>
                </c:pt>
                <c:pt idx="7">
                  <c:v>29</c:v>
                </c:pt>
                <c:pt idx="8">
                  <c:v>19</c:v>
                </c:pt>
                <c:pt idx="9">
                  <c:v>203</c:v>
                </c:pt>
              </c:numCache>
            </c:numRef>
          </c:val>
          <c:extLst>
            <c:ext xmlns:c16="http://schemas.microsoft.com/office/drawing/2014/chart" uri="{C3380CC4-5D6E-409C-BE32-E72D297353CC}">
              <c16:uniqueId val="{00000000-7DA1-40BF-A3C1-EB360E881D1A}"/>
            </c:ext>
          </c:extLst>
        </c:ser>
        <c:dLbls>
          <c:showLegendKey val="0"/>
          <c:showVal val="1"/>
          <c:showCatName val="0"/>
          <c:showSerName val="0"/>
          <c:showPercent val="0"/>
          <c:showBubbleSize val="0"/>
        </c:dLbls>
        <c:gapWidth val="150"/>
        <c:shape val="box"/>
        <c:axId val="1328604560"/>
        <c:axId val="1419397952"/>
        <c:axId val="0"/>
      </c:bar3DChart>
      <c:catAx>
        <c:axId val="13286045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419397952"/>
        <c:crosses val="autoZero"/>
        <c:auto val="1"/>
        <c:lblAlgn val="ctr"/>
        <c:lblOffset val="100"/>
        <c:noMultiLvlLbl val="0"/>
      </c:catAx>
      <c:valAx>
        <c:axId val="1419397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3286045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C_IND!$M$41</c:f>
              <c:strCache>
                <c:ptCount val="1"/>
                <c:pt idx="0">
                  <c:v>Cantidad empresas</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C_IND!$L$42:$L$48</c:f>
              <c:strCache>
                <c:ptCount val="7"/>
                <c:pt idx="0">
                  <c:v>&lt; 0,0</c:v>
                </c:pt>
                <c:pt idx="1">
                  <c:v>&gt;=0,0 - &lt;0,05</c:v>
                </c:pt>
                <c:pt idx="2">
                  <c:v>&gt;=0,05 - &lt;0,10</c:v>
                </c:pt>
                <c:pt idx="3">
                  <c:v>&gt;=0,10 - &lt;0,15</c:v>
                </c:pt>
                <c:pt idx="4">
                  <c:v>&gt;=0,15 - &lt;0,20</c:v>
                </c:pt>
                <c:pt idx="5">
                  <c:v>&gt;=0,20 - &lt;0,25</c:v>
                </c:pt>
                <c:pt idx="6">
                  <c:v>&gt;=0,25</c:v>
                </c:pt>
              </c:strCache>
            </c:strRef>
          </c:cat>
          <c:val>
            <c:numRef>
              <c:f>C_IND!$M$42:$M$48</c:f>
              <c:numCache>
                <c:formatCode>0</c:formatCode>
                <c:ptCount val="7"/>
                <c:pt idx="0">
                  <c:v>5</c:v>
                </c:pt>
                <c:pt idx="1">
                  <c:v>55</c:v>
                </c:pt>
                <c:pt idx="2">
                  <c:v>59</c:v>
                </c:pt>
                <c:pt idx="3">
                  <c:v>66</c:v>
                </c:pt>
                <c:pt idx="4">
                  <c:v>71</c:v>
                </c:pt>
                <c:pt idx="5">
                  <c:v>47</c:v>
                </c:pt>
                <c:pt idx="6">
                  <c:v>286</c:v>
                </c:pt>
              </c:numCache>
            </c:numRef>
          </c:val>
          <c:extLst>
            <c:ext xmlns:c16="http://schemas.microsoft.com/office/drawing/2014/chart" uri="{C3380CC4-5D6E-409C-BE32-E72D297353CC}">
              <c16:uniqueId val="{00000000-6974-4FAF-9791-5E777A2479A8}"/>
            </c:ext>
          </c:extLst>
        </c:ser>
        <c:dLbls>
          <c:showLegendKey val="0"/>
          <c:showVal val="1"/>
          <c:showCatName val="0"/>
          <c:showSerName val="0"/>
          <c:showPercent val="0"/>
          <c:showBubbleSize val="0"/>
        </c:dLbls>
        <c:gapWidth val="150"/>
        <c:shape val="box"/>
        <c:axId val="1788033999"/>
        <c:axId val="1788031599"/>
        <c:axId val="0"/>
      </c:bar3DChart>
      <c:catAx>
        <c:axId val="1788033999"/>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788031599"/>
        <c:crosses val="autoZero"/>
        <c:auto val="1"/>
        <c:lblAlgn val="ctr"/>
        <c:lblOffset val="100"/>
        <c:noMultiLvlLbl val="0"/>
      </c:catAx>
      <c:valAx>
        <c:axId val="178803159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7880339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7">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BA9D9B5C-2ED7-4DE6-BB80-CD87578A8F68}">
    <t:Anchor>
      <t:Comment id="801004700"/>
    </t:Anchor>
    <t:History>
      <t:Event id="{55D29770-627C-42BF-9BEA-5DF2EE43FD85}" time="2024-08-23T21:14:26.228Z">
        <t:Attribution userId="S::martha.romero@colombiacompra.gov.co::1961e835-1baa-4841-a9ea-3923b8667f05" userProvider="AD" userName="Martha Alicia Romero Vargas"/>
        <t:Anchor>
          <t:Comment id="801004700"/>
        </t:Anchor>
        <t:Create/>
      </t:Event>
      <t:Event id="{7FFA2DF4-3AD7-4D82-9B91-17AFEB42E011}" time="2024-08-23T21:14:26.228Z">
        <t:Attribution userId="S::martha.romero@colombiacompra.gov.co::1961e835-1baa-4841-a9ea-3923b8667f05" userProvider="AD" userName="Martha Alicia Romero Vargas"/>
        <t:Anchor>
          <t:Comment id="801004700"/>
        </t:Anchor>
        <t:Assign userId="S::alejandro.gamboa@colombiacompra.gov.co::a69ed65c-89ee-45a3-a643-e6b62744f33a" userProvider="AD" userName="Alejandro Gamboa Cardenas"/>
      </t:Event>
      <t:Event id="{0B57D5AB-2844-4C5B-849A-277D73F37C40}" time="2024-08-23T21:14:26.228Z">
        <t:Attribution userId="S::martha.romero@colombiacompra.gov.co::1961e835-1baa-4841-a9ea-3923b8667f05" userProvider="AD" userName="Martha Alicia Romero Vargas"/>
        <t:Anchor>
          <t:Comment id="801004700"/>
        </t:Anchor>
        <t:SetTitle title="@Alejandro Gamboa Cardenas importante actualizar a 2023"/>
      </t:Event>
    </t:History>
  </t:Task>
  <t:Task id="{B387CEDC-F918-491C-9221-DA03C6F27FB0}">
    <t:Anchor>
      <t:Comment id="2051514427"/>
    </t:Anchor>
    <t:History>
      <t:Event id="{78E7E563-994D-4058-B9EB-71FF1741F3ED}" time="2024-08-23T21:50:29.626Z">
        <t:Attribution userId="S::martha.romero@colombiacompra.gov.co::1961e835-1baa-4841-a9ea-3923b8667f05" userProvider="AD" userName="Martha Alicia Romero Vargas"/>
        <t:Anchor>
          <t:Comment id="2051514427"/>
        </t:Anchor>
        <t:Create/>
      </t:Event>
      <t:Event id="{638B0551-052D-4775-8E83-AC9EF9843727}" time="2024-08-23T21:50:29.626Z">
        <t:Attribution userId="S::martha.romero@colombiacompra.gov.co::1961e835-1baa-4841-a9ea-3923b8667f05" userProvider="AD" userName="Martha Alicia Romero Vargas"/>
        <t:Anchor>
          <t:Comment id="2051514427"/>
        </t:Anchor>
        <t:Assign userId="S::alejandro.gamboa@colombiacompra.gov.co::a69ed65c-89ee-45a3-a643-e6b62744f33a" userProvider="AD" userName="Alejandro Gamboa Cardenas"/>
      </t:Event>
      <t:Event id="{FF71DED2-DC18-4CC0-BC92-BA7BB91BDA52}" time="2024-08-23T21:50:29.626Z">
        <t:Attribution userId="S::martha.romero@colombiacompra.gov.co::1961e835-1baa-4841-a9ea-3923b8667f05" userProvider="AD" userName="Martha Alicia Romero Vargas"/>
        <t:Anchor>
          <t:Comment id="2051514427"/>
        </t:Anchor>
        <t:SetTitle title="@Alejandro Gamboa Cardenas esta información ya esta arriba por favor revisar y unificar"/>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EPQ3vR+2Gp1iRq532yTinTjM9CA==">AMUW2mUGTfk7K3W/1iR+gzGuk+QM1CZf18fclOUtmTfAOfMFTlR/W2K53hUi4x5zeZN4sIuzZmpWz9iQV3XESlQvvB4no2cR7Jv8qP3H/4/ubOlZ76FvtnthDOyfJ1/en3Qm+xpvQ2+WNVhf/Oo8bcqCQ9oGBMt7Dk14KtJMgZZxx7LuJBNEJI5M3g1DBI2AKmy13C+MJHMq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SharedWithUsers xmlns="a6cb9e4b-f1d1-4245-83ec-6cad768d538a">
      <UserInfo>
        <DisplayName>Kevin Arlid Herrera Santa</DisplayName>
        <AccountId>353</AccountId>
        <AccountType/>
      </UserInfo>
      <UserInfo>
        <DisplayName>Alejandro Gamboa Cardenas</DisplayName>
        <AccountId>2942</AccountId>
        <AccountType/>
      </UserInfo>
      <UserInfo>
        <DisplayName>Sergio Enrique Caballero Lesmes</DisplayName>
        <AccountId>1562</AccountId>
        <AccountType/>
      </UserInfo>
      <UserInfo>
        <DisplayName>Gabriel Alejandro Murcia Taboada</DisplayName>
        <AccountId>983</AccountId>
        <AccountType/>
      </UserInfo>
      <UserInfo>
        <DisplayName>Martha Alicia Romero Vargas</DisplayName>
        <AccountId>1497</AccountId>
        <AccountType/>
      </UserInfo>
      <UserInfo>
        <DisplayName>Juan David Cárdenas Cabeza</DisplayName>
        <AccountId>1893</AccountId>
        <AccountType/>
      </UserInfo>
      <UserInfo>
        <DisplayName>Lida Milena Guanumen Pacheco</DisplayName>
        <AccountId>1658</AccountId>
        <AccountType/>
      </UserInfo>
      <UserInfo>
        <DisplayName>Adriana Katerine Lopez Rodriguez</DisplayName>
        <AccountId>2749</AccountId>
        <AccountType/>
      </UserInfo>
      <UserInfo>
        <DisplayName>Alexandra Rodriguez Motta</DisplayName>
        <AccountId>1671</AccountId>
        <AccountType/>
      </UserInfo>
      <UserInfo>
        <DisplayName>Cesar Augusto Henao Trujillo</DisplayName>
        <AccountId>2937</AccountId>
        <AccountType/>
      </UserInfo>
    </SharedWithUsers>
    <No xmlns="9d85dbaf-23eb-4e57-a637-93dcacc8b1a1" xsi:nil="true"/>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aa158c1e2510b50ba9620437d74e4ff">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41aa8ca4bdcfc2e304923d637cfc37a1"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EF7D86-B64A-45A2-BB78-D59446BDAAAE}">
  <ds:schemaRefs>
    <ds:schemaRef ds:uri="http://schemas.microsoft.com/office/2006/metadata/properties"/>
    <ds:schemaRef ds:uri="http://schemas.microsoft.com/office/infopath/2007/PartnerControls"/>
    <ds:schemaRef ds:uri="a6cb9e4b-f1d1-4245-83ec-6cad768d538a"/>
    <ds:schemaRef ds:uri="9d85dbaf-23eb-4e57-a637-93dcacc8b1a1"/>
  </ds:schemaRefs>
</ds:datastoreItem>
</file>

<file path=customXml/itemProps3.xml><?xml version="1.0" encoding="utf-8"?>
<ds:datastoreItem xmlns:ds="http://schemas.openxmlformats.org/officeDocument/2006/customXml" ds:itemID="{BDC95DF6-9885-4AE1-98AF-D2297EC50C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C33FBB-2C1C-49A0-BEA3-9E2AEB2F06DF}">
  <ds:schemaRefs>
    <ds:schemaRef ds:uri="http://schemas.openxmlformats.org/officeDocument/2006/bibliography"/>
  </ds:schemaRefs>
</ds:datastoreItem>
</file>

<file path=customXml/itemProps5.xml><?xml version="1.0" encoding="utf-8"?>
<ds:datastoreItem xmlns:ds="http://schemas.openxmlformats.org/officeDocument/2006/customXml" ds:itemID="{168A9D62-9B94-40F9-A761-2454E7AFEFBE}">
  <ds:schemaRefs>
    <ds:schemaRef ds:uri="http://schemas.microsoft.com/sharepoint/v3/contenttype/forms"/>
  </ds:schemaRefs>
</ds:datastoreItem>
</file>

<file path=docMetadata/LabelInfo.xml><?xml version="1.0" encoding="utf-8"?>
<clbl:labelList xmlns:clbl="http://schemas.microsoft.com/office/2020/mipLabelMetadata">
  <clbl:label id="{7b09041e-2451-49d0-8cb1-79d5e3d8c1be}" enabled="0" method="" siteId="{7b09041e-2451-49d0-8cb1-79d5e3d8c1be}" removed="1"/>
</clbl:labelList>
</file>

<file path=docProps/app.xml><?xml version="1.0" encoding="utf-8"?>
<Properties xmlns="http://schemas.openxmlformats.org/officeDocument/2006/extended-properties" xmlns:vt="http://schemas.openxmlformats.org/officeDocument/2006/docPropsVTypes">
  <Template>Normal</Template>
  <TotalTime>2020</TotalTime>
  <Pages>182</Pages>
  <Words>46806</Words>
  <Characters>257433</Characters>
  <Application>Microsoft Office Word</Application>
  <DocSecurity>0</DocSecurity>
  <Lines>2145</Lines>
  <Paragraphs>607</Paragraphs>
  <ScaleCrop>false</ScaleCrop>
  <Company/>
  <LinksUpToDate>false</LinksUpToDate>
  <CharactersWithSpaces>303632</CharactersWithSpaces>
  <SharedDoc>false</SharedDoc>
  <HLinks>
    <vt:vector size="1056" baseType="variant">
      <vt:variant>
        <vt:i4>8257641</vt:i4>
      </vt:variant>
      <vt:variant>
        <vt:i4>951</vt:i4>
      </vt:variant>
      <vt:variant>
        <vt:i4>0</vt:i4>
      </vt:variant>
      <vt:variant>
        <vt:i4>5</vt:i4>
      </vt:variant>
      <vt:variant>
        <vt:lpwstr>https://www.contratos.gov.co/consultas/detalleProceso.do?numConstancia=25-21-50283</vt:lpwstr>
      </vt:variant>
      <vt:variant>
        <vt:lpwstr/>
      </vt:variant>
      <vt:variant>
        <vt:i4>8257646</vt:i4>
      </vt:variant>
      <vt:variant>
        <vt:i4>945</vt:i4>
      </vt:variant>
      <vt:variant>
        <vt:i4>0</vt:i4>
      </vt:variant>
      <vt:variant>
        <vt:i4>5</vt:i4>
      </vt:variant>
      <vt:variant>
        <vt:lpwstr>https://www.contratos.gov.co/consultas/detalleProceso.do?numConstancia=24-21-48767</vt:lpwstr>
      </vt:variant>
      <vt:variant>
        <vt:lpwstr/>
      </vt:variant>
      <vt:variant>
        <vt:i4>458846</vt:i4>
      </vt:variant>
      <vt:variant>
        <vt:i4>939</vt:i4>
      </vt:variant>
      <vt:variant>
        <vt:i4>0</vt:i4>
      </vt:variant>
      <vt:variant>
        <vt:i4>5</vt:i4>
      </vt:variant>
      <vt:variant>
        <vt:lpwstr>https://community.secop.gov.co/Public/Tendering/OpportunityDetail/Index?noticeUID=CO1.NTC.956139&amp;isFromPublicArea=True&amp;isModal=true&amp;asPopupView=true</vt:lpwstr>
      </vt:variant>
      <vt:variant>
        <vt:lpwstr/>
      </vt:variant>
      <vt:variant>
        <vt:i4>1703965</vt:i4>
      </vt:variant>
      <vt:variant>
        <vt:i4>933</vt:i4>
      </vt:variant>
      <vt:variant>
        <vt:i4>0</vt:i4>
      </vt:variant>
      <vt:variant>
        <vt:i4>5</vt:i4>
      </vt:variant>
      <vt:variant>
        <vt:lpwstr>https://community.secop.gov.co/Public/Tendering/OpportunityDetail/Index?noticeUID=CO1.NTC.2968429&amp;isFromPublicArea=True&amp;isModal=true&amp;asPopupView=true</vt:lpwstr>
      </vt:variant>
      <vt:variant>
        <vt:lpwstr/>
      </vt:variant>
      <vt:variant>
        <vt:i4>852059</vt:i4>
      </vt:variant>
      <vt:variant>
        <vt:i4>927</vt:i4>
      </vt:variant>
      <vt:variant>
        <vt:i4>0</vt:i4>
      </vt:variant>
      <vt:variant>
        <vt:i4>5</vt:i4>
      </vt:variant>
      <vt:variant>
        <vt:lpwstr>https://community.secop.gov.co/Public/Tendering/OpportunityDetail/Index?noticeUID=CO1.NTC.941211&amp;isFromPublicArea=True&amp;isModal=true&amp;asPopupView=true</vt:lpwstr>
      </vt:variant>
      <vt:variant>
        <vt:lpwstr/>
      </vt:variant>
      <vt:variant>
        <vt:i4>524378</vt:i4>
      </vt:variant>
      <vt:variant>
        <vt:i4>921</vt:i4>
      </vt:variant>
      <vt:variant>
        <vt:i4>0</vt:i4>
      </vt:variant>
      <vt:variant>
        <vt:i4>5</vt:i4>
      </vt:variant>
      <vt:variant>
        <vt:lpwstr>https://community.secop.gov.co/Public/Tendering/OpportunityDetail/Index?noticeUID=CO1.NTC.961703&amp;isFromPublicArea=True&amp;isModal=true&amp;asPopupView=true</vt:lpwstr>
      </vt:variant>
      <vt:variant>
        <vt:lpwstr/>
      </vt:variant>
      <vt:variant>
        <vt:i4>4653086</vt:i4>
      </vt:variant>
      <vt:variant>
        <vt:i4>834</vt:i4>
      </vt:variant>
      <vt:variant>
        <vt:i4>0</vt:i4>
      </vt:variant>
      <vt:variant>
        <vt:i4>5</vt:i4>
      </vt:variant>
      <vt:variant>
        <vt:lpwstr>https://www.reincorporacion.gov.co/es</vt:lpwstr>
      </vt:variant>
      <vt:variant>
        <vt:lpwstr/>
      </vt:variant>
      <vt:variant>
        <vt:i4>1179731</vt:i4>
      </vt:variant>
      <vt:variant>
        <vt:i4>798</vt:i4>
      </vt:variant>
      <vt:variant>
        <vt:i4>0</vt:i4>
      </vt:variant>
      <vt:variant>
        <vt:i4>5</vt:i4>
      </vt:variant>
      <vt:variant>
        <vt:lpwstr>https://www.banrep.gov.co/es/glosario/tasa-cambio-trm</vt:lpwstr>
      </vt:variant>
      <vt:variant>
        <vt:lpwstr/>
      </vt:variant>
      <vt:variant>
        <vt:i4>4587579</vt:i4>
      </vt:variant>
      <vt:variant>
        <vt:i4>732</vt:i4>
      </vt:variant>
      <vt:variant>
        <vt:i4>0</vt:i4>
      </vt:variant>
      <vt:variant>
        <vt:i4>5</vt:i4>
      </vt:variant>
      <vt:variant>
        <vt:lpwstr>https://www.dane.gov.co/files/sen/nomenclatura/ciiu/CIIU_Rev_4_AC2022.pdf</vt:lpwstr>
      </vt:variant>
      <vt:variant>
        <vt:lpwstr/>
      </vt:variant>
      <vt:variant>
        <vt:i4>4587579</vt:i4>
      </vt:variant>
      <vt:variant>
        <vt:i4>726</vt:i4>
      </vt:variant>
      <vt:variant>
        <vt:i4>0</vt:i4>
      </vt:variant>
      <vt:variant>
        <vt:i4>5</vt:i4>
      </vt:variant>
      <vt:variant>
        <vt:lpwstr>https://www.dane.gov.co/files/sen/nomenclatura/ciiu/CIIU_Rev_4_AC2022.pdf</vt:lpwstr>
      </vt:variant>
      <vt:variant>
        <vt:lpwstr/>
      </vt:variant>
      <vt:variant>
        <vt:i4>1507379</vt:i4>
      </vt:variant>
      <vt:variant>
        <vt:i4>716</vt:i4>
      </vt:variant>
      <vt:variant>
        <vt:i4>0</vt:i4>
      </vt:variant>
      <vt:variant>
        <vt:i4>5</vt:i4>
      </vt:variant>
      <vt:variant>
        <vt:lpwstr/>
      </vt:variant>
      <vt:variant>
        <vt:lpwstr>_Toc230962786</vt:lpwstr>
      </vt:variant>
      <vt:variant>
        <vt:i4>1507379</vt:i4>
      </vt:variant>
      <vt:variant>
        <vt:i4>710</vt:i4>
      </vt:variant>
      <vt:variant>
        <vt:i4>0</vt:i4>
      </vt:variant>
      <vt:variant>
        <vt:i4>5</vt:i4>
      </vt:variant>
      <vt:variant>
        <vt:lpwstr/>
      </vt:variant>
      <vt:variant>
        <vt:lpwstr>_Toc230962785</vt:lpwstr>
      </vt:variant>
      <vt:variant>
        <vt:i4>1507379</vt:i4>
      </vt:variant>
      <vt:variant>
        <vt:i4>704</vt:i4>
      </vt:variant>
      <vt:variant>
        <vt:i4>0</vt:i4>
      </vt:variant>
      <vt:variant>
        <vt:i4>5</vt:i4>
      </vt:variant>
      <vt:variant>
        <vt:lpwstr/>
      </vt:variant>
      <vt:variant>
        <vt:lpwstr>_Toc230962784</vt:lpwstr>
      </vt:variant>
      <vt:variant>
        <vt:i4>1507379</vt:i4>
      </vt:variant>
      <vt:variant>
        <vt:i4>698</vt:i4>
      </vt:variant>
      <vt:variant>
        <vt:i4>0</vt:i4>
      </vt:variant>
      <vt:variant>
        <vt:i4>5</vt:i4>
      </vt:variant>
      <vt:variant>
        <vt:lpwstr/>
      </vt:variant>
      <vt:variant>
        <vt:lpwstr>_Toc230962783</vt:lpwstr>
      </vt:variant>
      <vt:variant>
        <vt:i4>1507379</vt:i4>
      </vt:variant>
      <vt:variant>
        <vt:i4>692</vt:i4>
      </vt:variant>
      <vt:variant>
        <vt:i4>0</vt:i4>
      </vt:variant>
      <vt:variant>
        <vt:i4>5</vt:i4>
      </vt:variant>
      <vt:variant>
        <vt:lpwstr/>
      </vt:variant>
      <vt:variant>
        <vt:lpwstr>_Toc230962782</vt:lpwstr>
      </vt:variant>
      <vt:variant>
        <vt:i4>1507379</vt:i4>
      </vt:variant>
      <vt:variant>
        <vt:i4>686</vt:i4>
      </vt:variant>
      <vt:variant>
        <vt:i4>0</vt:i4>
      </vt:variant>
      <vt:variant>
        <vt:i4>5</vt:i4>
      </vt:variant>
      <vt:variant>
        <vt:lpwstr/>
      </vt:variant>
      <vt:variant>
        <vt:lpwstr>_Toc230962781</vt:lpwstr>
      </vt:variant>
      <vt:variant>
        <vt:i4>1507379</vt:i4>
      </vt:variant>
      <vt:variant>
        <vt:i4>680</vt:i4>
      </vt:variant>
      <vt:variant>
        <vt:i4>0</vt:i4>
      </vt:variant>
      <vt:variant>
        <vt:i4>5</vt:i4>
      </vt:variant>
      <vt:variant>
        <vt:lpwstr/>
      </vt:variant>
      <vt:variant>
        <vt:lpwstr>_Toc230962780</vt:lpwstr>
      </vt:variant>
      <vt:variant>
        <vt:i4>1572915</vt:i4>
      </vt:variant>
      <vt:variant>
        <vt:i4>674</vt:i4>
      </vt:variant>
      <vt:variant>
        <vt:i4>0</vt:i4>
      </vt:variant>
      <vt:variant>
        <vt:i4>5</vt:i4>
      </vt:variant>
      <vt:variant>
        <vt:lpwstr/>
      </vt:variant>
      <vt:variant>
        <vt:lpwstr>_Toc230962779</vt:lpwstr>
      </vt:variant>
      <vt:variant>
        <vt:i4>1572915</vt:i4>
      </vt:variant>
      <vt:variant>
        <vt:i4>668</vt:i4>
      </vt:variant>
      <vt:variant>
        <vt:i4>0</vt:i4>
      </vt:variant>
      <vt:variant>
        <vt:i4>5</vt:i4>
      </vt:variant>
      <vt:variant>
        <vt:lpwstr/>
      </vt:variant>
      <vt:variant>
        <vt:lpwstr>_Toc230962778</vt:lpwstr>
      </vt:variant>
      <vt:variant>
        <vt:i4>1572915</vt:i4>
      </vt:variant>
      <vt:variant>
        <vt:i4>662</vt:i4>
      </vt:variant>
      <vt:variant>
        <vt:i4>0</vt:i4>
      </vt:variant>
      <vt:variant>
        <vt:i4>5</vt:i4>
      </vt:variant>
      <vt:variant>
        <vt:lpwstr/>
      </vt:variant>
      <vt:variant>
        <vt:lpwstr>_Toc230962777</vt:lpwstr>
      </vt:variant>
      <vt:variant>
        <vt:i4>1572915</vt:i4>
      </vt:variant>
      <vt:variant>
        <vt:i4>656</vt:i4>
      </vt:variant>
      <vt:variant>
        <vt:i4>0</vt:i4>
      </vt:variant>
      <vt:variant>
        <vt:i4>5</vt:i4>
      </vt:variant>
      <vt:variant>
        <vt:lpwstr/>
      </vt:variant>
      <vt:variant>
        <vt:lpwstr>_Toc230962776</vt:lpwstr>
      </vt:variant>
      <vt:variant>
        <vt:i4>1572915</vt:i4>
      </vt:variant>
      <vt:variant>
        <vt:i4>650</vt:i4>
      </vt:variant>
      <vt:variant>
        <vt:i4>0</vt:i4>
      </vt:variant>
      <vt:variant>
        <vt:i4>5</vt:i4>
      </vt:variant>
      <vt:variant>
        <vt:lpwstr/>
      </vt:variant>
      <vt:variant>
        <vt:lpwstr>_Toc230962775</vt:lpwstr>
      </vt:variant>
      <vt:variant>
        <vt:i4>1572915</vt:i4>
      </vt:variant>
      <vt:variant>
        <vt:i4>644</vt:i4>
      </vt:variant>
      <vt:variant>
        <vt:i4>0</vt:i4>
      </vt:variant>
      <vt:variant>
        <vt:i4>5</vt:i4>
      </vt:variant>
      <vt:variant>
        <vt:lpwstr/>
      </vt:variant>
      <vt:variant>
        <vt:lpwstr>_Toc230962774</vt:lpwstr>
      </vt:variant>
      <vt:variant>
        <vt:i4>1572915</vt:i4>
      </vt:variant>
      <vt:variant>
        <vt:i4>638</vt:i4>
      </vt:variant>
      <vt:variant>
        <vt:i4>0</vt:i4>
      </vt:variant>
      <vt:variant>
        <vt:i4>5</vt:i4>
      </vt:variant>
      <vt:variant>
        <vt:lpwstr/>
      </vt:variant>
      <vt:variant>
        <vt:lpwstr>_Toc230962773</vt:lpwstr>
      </vt:variant>
      <vt:variant>
        <vt:i4>1572915</vt:i4>
      </vt:variant>
      <vt:variant>
        <vt:i4>632</vt:i4>
      </vt:variant>
      <vt:variant>
        <vt:i4>0</vt:i4>
      </vt:variant>
      <vt:variant>
        <vt:i4>5</vt:i4>
      </vt:variant>
      <vt:variant>
        <vt:lpwstr/>
      </vt:variant>
      <vt:variant>
        <vt:lpwstr>_Toc230962772</vt:lpwstr>
      </vt:variant>
      <vt:variant>
        <vt:i4>1572915</vt:i4>
      </vt:variant>
      <vt:variant>
        <vt:i4>626</vt:i4>
      </vt:variant>
      <vt:variant>
        <vt:i4>0</vt:i4>
      </vt:variant>
      <vt:variant>
        <vt:i4>5</vt:i4>
      </vt:variant>
      <vt:variant>
        <vt:lpwstr/>
      </vt:variant>
      <vt:variant>
        <vt:lpwstr>_Toc230962771</vt:lpwstr>
      </vt:variant>
      <vt:variant>
        <vt:i4>1572915</vt:i4>
      </vt:variant>
      <vt:variant>
        <vt:i4>620</vt:i4>
      </vt:variant>
      <vt:variant>
        <vt:i4>0</vt:i4>
      </vt:variant>
      <vt:variant>
        <vt:i4>5</vt:i4>
      </vt:variant>
      <vt:variant>
        <vt:lpwstr/>
      </vt:variant>
      <vt:variant>
        <vt:lpwstr>_Toc230962770</vt:lpwstr>
      </vt:variant>
      <vt:variant>
        <vt:i4>1638451</vt:i4>
      </vt:variant>
      <vt:variant>
        <vt:i4>614</vt:i4>
      </vt:variant>
      <vt:variant>
        <vt:i4>0</vt:i4>
      </vt:variant>
      <vt:variant>
        <vt:i4>5</vt:i4>
      </vt:variant>
      <vt:variant>
        <vt:lpwstr/>
      </vt:variant>
      <vt:variant>
        <vt:lpwstr>_Toc230962769</vt:lpwstr>
      </vt:variant>
      <vt:variant>
        <vt:i4>1638451</vt:i4>
      </vt:variant>
      <vt:variant>
        <vt:i4>608</vt:i4>
      </vt:variant>
      <vt:variant>
        <vt:i4>0</vt:i4>
      </vt:variant>
      <vt:variant>
        <vt:i4>5</vt:i4>
      </vt:variant>
      <vt:variant>
        <vt:lpwstr/>
      </vt:variant>
      <vt:variant>
        <vt:lpwstr>_Toc230962768</vt:lpwstr>
      </vt:variant>
      <vt:variant>
        <vt:i4>1638451</vt:i4>
      </vt:variant>
      <vt:variant>
        <vt:i4>602</vt:i4>
      </vt:variant>
      <vt:variant>
        <vt:i4>0</vt:i4>
      </vt:variant>
      <vt:variant>
        <vt:i4>5</vt:i4>
      </vt:variant>
      <vt:variant>
        <vt:lpwstr/>
      </vt:variant>
      <vt:variant>
        <vt:lpwstr>_Toc230962767</vt:lpwstr>
      </vt:variant>
      <vt:variant>
        <vt:i4>1638451</vt:i4>
      </vt:variant>
      <vt:variant>
        <vt:i4>596</vt:i4>
      </vt:variant>
      <vt:variant>
        <vt:i4>0</vt:i4>
      </vt:variant>
      <vt:variant>
        <vt:i4>5</vt:i4>
      </vt:variant>
      <vt:variant>
        <vt:lpwstr/>
      </vt:variant>
      <vt:variant>
        <vt:lpwstr>_Toc230962766</vt:lpwstr>
      </vt:variant>
      <vt:variant>
        <vt:i4>1638451</vt:i4>
      </vt:variant>
      <vt:variant>
        <vt:i4>590</vt:i4>
      </vt:variant>
      <vt:variant>
        <vt:i4>0</vt:i4>
      </vt:variant>
      <vt:variant>
        <vt:i4>5</vt:i4>
      </vt:variant>
      <vt:variant>
        <vt:lpwstr/>
      </vt:variant>
      <vt:variant>
        <vt:lpwstr>_Toc230962765</vt:lpwstr>
      </vt:variant>
      <vt:variant>
        <vt:i4>1638451</vt:i4>
      </vt:variant>
      <vt:variant>
        <vt:i4>584</vt:i4>
      </vt:variant>
      <vt:variant>
        <vt:i4>0</vt:i4>
      </vt:variant>
      <vt:variant>
        <vt:i4>5</vt:i4>
      </vt:variant>
      <vt:variant>
        <vt:lpwstr/>
      </vt:variant>
      <vt:variant>
        <vt:lpwstr>_Toc230962764</vt:lpwstr>
      </vt:variant>
      <vt:variant>
        <vt:i4>1638451</vt:i4>
      </vt:variant>
      <vt:variant>
        <vt:i4>578</vt:i4>
      </vt:variant>
      <vt:variant>
        <vt:i4>0</vt:i4>
      </vt:variant>
      <vt:variant>
        <vt:i4>5</vt:i4>
      </vt:variant>
      <vt:variant>
        <vt:lpwstr/>
      </vt:variant>
      <vt:variant>
        <vt:lpwstr>_Toc230962763</vt:lpwstr>
      </vt:variant>
      <vt:variant>
        <vt:i4>1638451</vt:i4>
      </vt:variant>
      <vt:variant>
        <vt:i4>572</vt:i4>
      </vt:variant>
      <vt:variant>
        <vt:i4>0</vt:i4>
      </vt:variant>
      <vt:variant>
        <vt:i4>5</vt:i4>
      </vt:variant>
      <vt:variant>
        <vt:lpwstr/>
      </vt:variant>
      <vt:variant>
        <vt:lpwstr>_Toc230962762</vt:lpwstr>
      </vt:variant>
      <vt:variant>
        <vt:i4>1638451</vt:i4>
      </vt:variant>
      <vt:variant>
        <vt:i4>566</vt:i4>
      </vt:variant>
      <vt:variant>
        <vt:i4>0</vt:i4>
      </vt:variant>
      <vt:variant>
        <vt:i4>5</vt:i4>
      </vt:variant>
      <vt:variant>
        <vt:lpwstr/>
      </vt:variant>
      <vt:variant>
        <vt:lpwstr>_Toc230962761</vt:lpwstr>
      </vt:variant>
      <vt:variant>
        <vt:i4>1638451</vt:i4>
      </vt:variant>
      <vt:variant>
        <vt:i4>560</vt:i4>
      </vt:variant>
      <vt:variant>
        <vt:i4>0</vt:i4>
      </vt:variant>
      <vt:variant>
        <vt:i4>5</vt:i4>
      </vt:variant>
      <vt:variant>
        <vt:lpwstr/>
      </vt:variant>
      <vt:variant>
        <vt:lpwstr>_Toc230962760</vt:lpwstr>
      </vt:variant>
      <vt:variant>
        <vt:i4>1703987</vt:i4>
      </vt:variant>
      <vt:variant>
        <vt:i4>554</vt:i4>
      </vt:variant>
      <vt:variant>
        <vt:i4>0</vt:i4>
      </vt:variant>
      <vt:variant>
        <vt:i4>5</vt:i4>
      </vt:variant>
      <vt:variant>
        <vt:lpwstr/>
      </vt:variant>
      <vt:variant>
        <vt:lpwstr>_Toc230962759</vt:lpwstr>
      </vt:variant>
      <vt:variant>
        <vt:i4>1703987</vt:i4>
      </vt:variant>
      <vt:variant>
        <vt:i4>548</vt:i4>
      </vt:variant>
      <vt:variant>
        <vt:i4>0</vt:i4>
      </vt:variant>
      <vt:variant>
        <vt:i4>5</vt:i4>
      </vt:variant>
      <vt:variant>
        <vt:lpwstr/>
      </vt:variant>
      <vt:variant>
        <vt:lpwstr>_Toc230962758</vt:lpwstr>
      </vt:variant>
      <vt:variant>
        <vt:i4>1703987</vt:i4>
      </vt:variant>
      <vt:variant>
        <vt:i4>542</vt:i4>
      </vt:variant>
      <vt:variant>
        <vt:i4>0</vt:i4>
      </vt:variant>
      <vt:variant>
        <vt:i4>5</vt:i4>
      </vt:variant>
      <vt:variant>
        <vt:lpwstr/>
      </vt:variant>
      <vt:variant>
        <vt:lpwstr>_Toc230962757</vt:lpwstr>
      </vt:variant>
      <vt:variant>
        <vt:i4>1703987</vt:i4>
      </vt:variant>
      <vt:variant>
        <vt:i4>536</vt:i4>
      </vt:variant>
      <vt:variant>
        <vt:i4>0</vt:i4>
      </vt:variant>
      <vt:variant>
        <vt:i4>5</vt:i4>
      </vt:variant>
      <vt:variant>
        <vt:lpwstr/>
      </vt:variant>
      <vt:variant>
        <vt:lpwstr>_Toc230962756</vt:lpwstr>
      </vt:variant>
      <vt:variant>
        <vt:i4>1703987</vt:i4>
      </vt:variant>
      <vt:variant>
        <vt:i4>530</vt:i4>
      </vt:variant>
      <vt:variant>
        <vt:i4>0</vt:i4>
      </vt:variant>
      <vt:variant>
        <vt:i4>5</vt:i4>
      </vt:variant>
      <vt:variant>
        <vt:lpwstr/>
      </vt:variant>
      <vt:variant>
        <vt:lpwstr>_Toc230962755</vt:lpwstr>
      </vt:variant>
      <vt:variant>
        <vt:i4>1703987</vt:i4>
      </vt:variant>
      <vt:variant>
        <vt:i4>524</vt:i4>
      </vt:variant>
      <vt:variant>
        <vt:i4>0</vt:i4>
      </vt:variant>
      <vt:variant>
        <vt:i4>5</vt:i4>
      </vt:variant>
      <vt:variant>
        <vt:lpwstr/>
      </vt:variant>
      <vt:variant>
        <vt:lpwstr>_Toc230962754</vt:lpwstr>
      </vt:variant>
      <vt:variant>
        <vt:i4>1703987</vt:i4>
      </vt:variant>
      <vt:variant>
        <vt:i4>518</vt:i4>
      </vt:variant>
      <vt:variant>
        <vt:i4>0</vt:i4>
      </vt:variant>
      <vt:variant>
        <vt:i4>5</vt:i4>
      </vt:variant>
      <vt:variant>
        <vt:lpwstr/>
      </vt:variant>
      <vt:variant>
        <vt:lpwstr>_Toc230962753</vt:lpwstr>
      </vt:variant>
      <vt:variant>
        <vt:i4>1703987</vt:i4>
      </vt:variant>
      <vt:variant>
        <vt:i4>512</vt:i4>
      </vt:variant>
      <vt:variant>
        <vt:i4>0</vt:i4>
      </vt:variant>
      <vt:variant>
        <vt:i4>5</vt:i4>
      </vt:variant>
      <vt:variant>
        <vt:lpwstr/>
      </vt:variant>
      <vt:variant>
        <vt:lpwstr>_Toc230962752</vt:lpwstr>
      </vt:variant>
      <vt:variant>
        <vt:i4>1703987</vt:i4>
      </vt:variant>
      <vt:variant>
        <vt:i4>506</vt:i4>
      </vt:variant>
      <vt:variant>
        <vt:i4>0</vt:i4>
      </vt:variant>
      <vt:variant>
        <vt:i4>5</vt:i4>
      </vt:variant>
      <vt:variant>
        <vt:lpwstr/>
      </vt:variant>
      <vt:variant>
        <vt:lpwstr>_Toc230962751</vt:lpwstr>
      </vt:variant>
      <vt:variant>
        <vt:i4>1703987</vt:i4>
      </vt:variant>
      <vt:variant>
        <vt:i4>500</vt:i4>
      </vt:variant>
      <vt:variant>
        <vt:i4>0</vt:i4>
      </vt:variant>
      <vt:variant>
        <vt:i4>5</vt:i4>
      </vt:variant>
      <vt:variant>
        <vt:lpwstr/>
      </vt:variant>
      <vt:variant>
        <vt:lpwstr>_Toc230962750</vt:lpwstr>
      </vt:variant>
      <vt:variant>
        <vt:i4>1769523</vt:i4>
      </vt:variant>
      <vt:variant>
        <vt:i4>494</vt:i4>
      </vt:variant>
      <vt:variant>
        <vt:i4>0</vt:i4>
      </vt:variant>
      <vt:variant>
        <vt:i4>5</vt:i4>
      </vt:variant>
      <vt:variant>
        <vt:lpwstr/>
      </vt:variant>
      <vt:variant>
        <vt:lpwstr>_Toc230962749</vt:lpwstr>
      </vt:variant>
      <vt:variant>
        <vt:i4>1769523</vt:i4>
      </vt:variant>
      <vt:variant>
        <vt:i4>488</vt:i4>
      </vt:variant>
      <vt:variant>
        <vt:i4>0</vt:i4>
      </vt:variant>
      <vt:variant>
        <vt:i4>5</vt:i4>
      </vt:variant>
      <vt:variant>
        <vt:lpwstr/>
      </vt:variant>
      <vt:variant>
        <vt:lpwstr>_Toc230962748</vt:lpwstr>
      </vt:variant>
      <vt:variant>
        <vt:i4>1769523</vt:i4>
      </vt:variant>
      <vt:variant>
        <vt:i4>482</vt:i4>
      </vt:variant>
      <vt:variant>
        <vt:i4>0</vt:i4>
      </vt:variant>
      <vt:variant>
        <vt:i4>5</vt:i4>
      </vt:variant>
      <vt:variant>
        <vt:lpwstr/>
      </vt:variant>
      <vt:variant>
        <vt:lpwstr>_Toc230962747</vt:lpwstr>
      </vt:variant>
      <vt:variant>
        <vt:i4>1769523</vt:i4>
      </vt:variant>
      <vt:variant>
        <vt:i4>476</vt:i4>
      </vt:variant>
      <vt:variant>
        <vt:i4>0</vt:i4>
      </vt:variant>
      <vt:variant>
        <vt:i4>5</vt:i4>
      </vt:variant>
      <vt:variant>
        <vt:lpwstr/>
      </vt:variant>
      <vt:variant>
        <vt:lpwstr>_Toc230962746</vt:lpwstr>
      </vt:variant>
      <vt:variant>
        <vt:i4>1769523</vt:i4>
      </vt:variant>
      <vt:variant>
        <vt:i4>470</vt:i4>
      </vt:variant>
      <vt:variant>
        <vt:i4>0</vt:i4>
      </vt:variant>
      <vt:variant>
        <vt:i4>5</vt:i4>
      </vt:variant>
      <vt:variant>
        <vt:lpwstr/>
      </vt:variant>
      <vt:variant>
        <vt:lpwstr>_Toc230962745</vt:lpwstr>
      </vt:variant>
      <vt:variant>
        <vt:i4>1769523</vt:i4>
      </vt:variant>
      <vt:variant>
        <vt:i4>464</vt:i4>
      </vt:variant>
      <vt:variant>
        <vt:i4>0</vt:i4>
      </vt:variant>
      <vt:variant>
        <vt:i4>5</vt:i4>
      </vt:variant>
      <vt:variant>
        <vt:lpwstr/>
      </vt:variant>
      <vt:variant>
        <vt:lpwstr>_Toc230962744</vt:lpwstr>
      </vt:variant>
      <vt:variant>
        <vt:i4>1769523</vt:i4>
      </vt:variant>
      <vt:variant>
        <vt:i4>458</vt:i4>
      </vt:variant>
      <vt:variant>
        <vt:i4>0</vt:i4>
      </vt:variant>
      <vt:variant>
        <vt:i4>5</vt:i4>
      </vt:variant>
      <vt:variant>
        <vt:lpwstr/>
      </vt:variant>
      <vt:variant>
        <vt:lpwstr>_Toc230962743</vt:lpwstr>
      </vt:variant>
      <vt:variant>
        <vt:i4>1769523</vt:i4>
      </vt:variant>
      <vt:variant>
        <vt:i4>452</vt:i4>
      </vt:variant>
      <vt:variant>
        <vt:i4>0</vt:i4>
      </vt:variant>
      <vt:variant>
        <vt:i4>5</vt:i4>
      </vt:variant>
      <vt:variant>
        <vt:lpwstr/>
      </vt:variant>
      <vt:variant>
        <vt:lpwstr>_Toc230962742</vt:lpwstr>
      </vt:variant>
      <vt:variant>
        <vt:i4>1769523</vt:i4>
      </vt:variant>
      <vt:variant>
        <vt:i4>446</vt:i4>
      </vt:variant>
      <vt:variant>
        <vt:i4>0</vt:i4>
      </vt:variant>
      <vt:variant>
        <vt:i4>5</vt:i4>
      </vt:variant>
      <vt:variant>
        <vt:lpwstr/>
      </vt:variant>
      <vt:variant>
        <vt:lpwstr>_Toc230962741</vt:lpwstr>
      </vt:variant>
      <vt:variant>
        <vt:i4>1769523</vt:i4>
      </vt:variant>
      <vt:variant>
        <vt:i4>440</vt:i4>
      </vt:variant>
      <vt:variant>
        <vt:i4>0</vt:i4>
      </vt:variant>
      <vt:variant>
        <vt:i4>5</vt:i4>
      </vt:variant>
      <vt:variant>
        <vt:lpwstr/>
      </vt:variant>
      <vt:variant>
        <vt:lpwstr>_Toc230962740</vt:lpwstr>
      </vt:variant>
      <vt:variant>
        <vt:i4>1835059</vt:i4>
      </vt:variant>
      <vt:variant>
        <vt:i4>434</vt:i4>
      </vt:variant>
      <vt:variant>
        <vt:i4>0</vt:i4>
      </vt:variant>
      <vt:variant>
        <vt:i4>5</vt:i4>
      </vt:variant>
      <vt:variant>
        <vt:lpwstr/>
      </vt:variant>
      <vt:variant>
        <vt:lpwstr>_Toc230962739</vt:lpwstr>
      </vt:variant>
      <vt:variant>
        <vt:i4>1835059</vt:i4>
      </vt:variant>
      <vt:variant>
        <vt:i4>428</vt:i4>
      </vt:variant>
      <vt:variant>
        <vt:i4>0</vt:i4>
      </vt:variant>
      <vt:variant>
        <vt:i4>5</vt:i4>
      </vt:variant>
      <vt:variant>
        <vt:lpwstr/>
      </vt:variant>
      <vt:variant>
        <vt:lpwstr>_Toc230962738</vt:lpwstr>
      </vt:variant>
      <vt:variant>
        <vt:i4>1835059</vt:i4>
      </vt:variant>
      <vt:variant>
        <vt:i4>422</vt:i4>
      </vt:variant>
      <vt:variant>
        <vt:i4>0</vt:i4>
      </vt:variant>
      <vt:variant>
        <vt:i4>5</vt:i4>
      </vt:variant>
      <vt:variant>
        <vt:lpwstr/>
      </vt:variant>
      <vt:variant>
        <vt:lpwstr>_Toc230962737</vt:lpwstr>
      </vt:variant>
      <vt:variant>
        <vt:i4>1835059</vt:i4>
      </vt:variant>
      <vt:variant>
        <vt:i4>416</vt:i4>
      </vt:variant>
      <vt:variant>
        <vt:i4>0</vt:i4>
      </vt:variant>
      <vt:variant>
        <vt:i4>5</vt:i4>
      </vt:variant>
      <vt:variant>
        <vt:lpwstr/>
      </vt:variant>
      <vt:variant>
        <vt:lpwstr>_Toc230962736</vt:lpwstr>
      </vt:variant>
      <vt:variant>
        <vt:i4>1835059</vt:i4>
      </vt:variant>
      <vt:variant>
        <vt:i4>410</vt:i4>
      </vt:variant>
      <vt:variant>
        <vt:i4>0</vt:i4>
      </vt:variant>
      <vt:variant>
        <vt:i4>5</vt:i4>
      </vt:variant>
      <vt:variant>
        <vt:lpwstr/>
      </vt:variant>
      <vt:variant>
        <vt:lpwstr>_Toc230962735</vt:lpwstr>
      </vt:variant>
      <vt:variant>
        <vt:i4>1835059</vt:i4>
      </vt:variant>
      <vt:variant>
        <vt:i4>404</vt:i4>
      </vt:variant>
      <vt:variant>
        <vt:i4>0</vt:i4>
      </vt:variant>
      <vt:variant>
        <vt:i4>5</vt:i4>
      </vt:variant>
      <vt:variant>
        <vt:lpwstr/>
      </vt:variant>
      <vt:variant>
        <vt:lpwstr>_Toc230962734</vt:lpwstr>
      </vt:variant>
      <vt:variant>
        <vt:i4>1835059</vt:i4>
      </vt:variant>
      <vt:variant>
        <vt:i4>398</vt:i4>
      </vt:variant>
      <vt:variant>
        <vt:i4>0</vt:i4>
      </vt:variant>
      <vt:variant>
        <vt:i4>5</vt:i4>
      </vt:variant>
      <vt:variant>
        <vt:lpwstr/>
      </vt:variant>
      <vt:variant>
        <vt:lpwstr>_Toc230962733</vt:lpwstr>
      </vt:variant>
      <vt:variant>
        <vt:i4>1835059</vt:i4>
      </vt:variant>
      <vt:variant>
        <vt:i4>392</vt:i4>
      </vt:variant>
      <vt:variant>
        <vt:i4>0</vt:i4>
      </vt:variant>
      <vt:variant>
        <vt:i4>5</vt:i4>
      </vt:variant>
      <vt:variant>
        <vt:lpwstr/>
      </vt:variant>
      <vt:variant>
        <vt:lpwstr>_Toc230962732</vt:lpwstr>
      </vt:variant>
      <vt:variant>
        <vt:i4>1835059</vt:i4>
      </vt:variant>
      <vt:variant>
        <vt:i4>386</vt:i4>
      </vt:variant>
      <vt:variant>
        <vt:i4>0</vt:i4>
      </vt:variant>
      <vt:variant>
        <vt:i4>5</vt:i4>
      </vt:variant>
      <vt:variant>
        <vt:lpwstr/>
      </vt:variant>
      <vt:variant>
        <vt:lpwstr>_Toc230962731</vt:lpwstr>
      </vt:variant>
      <vt:variant>
        <vt:i4>1835059</vt:i4>
      </vt:variant>
      <vt:variant>
        <vt:i4>380</vt:i4>
      </vt:variant>
      <vt:variant>
        <vt:i4>0</vt:i4>
      </vt:variant>
      <vt:variant>
        <vt:i4>5</vt:i4>
      </vt:variant>
      <vt:variant>
        <vt:lpwstr/>
      </vt:variant>
      <vt:variant>
        <vt:lpwstr>_Toc230962730</vt:lpwstr>
      </vt:variant>
      <vt:variant>
        <vt:i4>1900595</vt:i4>
      </vt:variant>
      <vt:variant>
        <vt:i4>374</vt:i4>
      </vt:variant>
      <vt:variant>
        <vt:i4>0</vt:i4>
      </vt:variant>
      <vt:variant>
        <vt:i4>5</vt:i4>
      </vt:variant>
      <vt:variant>
        <vt:lpwstr/>
      </vt:variant>
      <vt:variant>
        <vt:lpwstr>_Toc230962729</vt:lpwstr>
      </vt:variant>
      <vt:variant>
        <vt:i4>1900595</vt:i4>
      </vt:variant>
      <vt:variant>
        <vt:i4>368</vt:i4>
      </vt:variant>
      <vt:variant>
        <vt:i4>0</vt:i4>
      </vt:variant>
      <vt:variant>
        <vt:i4>5</vt:i4>
      </vt:variant>
      <vt:variant>
        <vt:lpwstr/>
      </vt:variant>
      <vt:variant>
        <vt:lpwstr>_Toc230962728</vt:lpwstr>
      </vt:variant>
      <vt:variant>
        <vt:i4>1900595</vt:i4>
      </vt:variant>
      <vt:variant>
        <vt:i4>362</vt:i4>
      </vt:variant>
      <vt:variant>
        <vt:i4>0</vt:i4>
      </vt:variant>
      <vt:variant>
        <vt:i4>5</vt:i4>
      </vt:variant>
      <vt:variant>
        <vt:lpwstr/>
      </vt:variant>
      <vt:variant>
        <vt:lpwstr>_Toc230962727</vt:lpwstr>
      </vt:variant>
      <vt:variant>
        <vt:i4>1900595</vt:i4>
      </vt:variant>
      <vt:variant>
        <vt:i4>356</vt:i4>
      </vt:variant>
      <vt:variant>
        <vt:i4>0</vt:i4>
      </vt:variant>
      <vt:variant>
        <vt:i4>5</vt:i4>
      </vt:variant>
      <vt:variant>
        <vt:lpwstr/>
      </vt:variant>
      <vt:variant>
        <vt:lpwstr>_Toc230962726</vt:lpwstr>
      </vt:variant>
      <vt:variant>
        <vt:i4>1900595</vt:i4>
      </vt:variant>
      <vt:variant>
        <vt:i4>350</vt:i4>
      </vt:variant>
      <vt:variant>
        <vt:i4>0</vt:i4>
      </vt:variant>
      <vt:variant>
        <vt:i4>5</vt:i4>
      </vt:variant>
      <vt:variant>
        <vt:lpwstr/>
      </vt:variant>
      <vt:variant>
        <vt:lpwstr>_Toc230962725</vt:lpwstr>
      </vt:variant>
      <vt:variant>
        <vt:i4>1900595</vt:i4>
      </vt:variant>
      <vt:variant>
        <vt:i4>344</vt:i4>
      </vt:variant>
      <vt:variant>
        <vt:i4>0</vt:i4>
      </vt:variant>
      <vt:variant>
        <vt:i4>5</vt:i4>
      </vt:variant>
      <vt:variant>
        <vt:lpwstr/>
      </vt:variant>
      <vt:variant>
        <vt:lpwstr>_Toc230962724</vt:lpwstr>
      </vt:variant>
      <vt:variant>
        <vt:i4>1900595</vt:i4>
      </vt:variant>
      <vt:variant>
        <vt:i4>338</vt:i4>
      </vt:variant>
      <vt:variant>
        <vt:i4>0</vt:i4>
      </vt:variant>
      <vt:variant>
        <vt:i4>5</vt:i4>
      </vt:variant>
      <vt:variant>
        <vt:lpwstr/>
      </vt:variant>
      <vt:variant>
        <vt:lpwstr>_Toc230962723</vt:lpwstr>
      </vt:variant>
      <vt:variant>
        <vt:i4>1900595</vt:i4>
      </vt:variant>
      <vt:variant>
        <vt:i4>332</vt:i4>
      </vt:variant>
      <vt:variant>
        <vt:i4>0</vt:i4>
      </vt:variant>
      <vt:variant>
        <vt:i4>5</vt:i4>
      </vt:variant>
      <vt:variant>
        <vt:lpwstr/>
      </vt:variant>
      <vt:variant>
        <vt:lpwstr>_Toc230962722</vt:lpwstr>
      </vt:variant>
      <vt:variant>
        <vt:i4>1966128</vt:i4>
      </vt:variant>
      <vt:variant>
        <vt:i4>323</vt:i4>
      </vt:variant>
      <vt:variant>
        <vt:i4>0</vt:i4>
      </vt:variant>
      <vt:variant>
        <vt:i4>5</vt:i4>
      </vt:variant>
      <vt:variant>
        <vt:lpwstr/>
      </vt:variant>
      <vt:variant>
        <vt:lpwstr>_Toc230962411</vt:lpwstr>
      </vt:variant>
      <vt:variant>
        <vt:i4>1966128</vt:i4>
      </vt:variant>
      <vt:variant>
        <vt:i4>317</vt:i4>
      </vt:variant>
      <vt:variant>
        <vt:i4>0</vt:i4>
      </vt:variant>
      <vt:variant>
        <vt:i4>5</vt:i4>
      </vt:variant>
      <vt:variant>
        <vt:lpwstr/>
      </vt:variant>
      <vt:variant>
        <vt:lpwstr>_Toc230962410</vt:lpwstr>
      </vt:variant>
      <vt:variant>
        <vt:i4>2031664</vt:i4>
      </vt:variant>
      <vt:variant>
        <vt:i4>311</vt:i4>
      </vt:variant>
      <vt:variant>
        <vt:i4>0</vt:i4>
      </vt:variant>
      <vt:variant>
        <vt:i4>5</vt:i4>
      </vt:variant>
      <vt:variant>
        <vt:lpwstr/>
      </vt:variant>
      <vt:variant>
        <vt:lpwstr>_Toc230962409</vt:lpwstr>
      </vt:variant>
      <vt:variant>
        <vt:i4>2031664</vt:i4>
      </vt:variant>
      <vt:variant>
        <vt:i4>305</vt:i4>
      </vt:variant>
      <vt:variant>
        <vt:i4>0</vt:i4>
      </vt:variant>
      <vt:variant>
        <vt:i4>5</vt:i4>
      </vt:variant>
      <vt:variant>
        <vt:lpwstr/>
      </vt:variant>
      <vt:variant>
        <vt:lpwstr>_Toc230962408</vt:lpwstr>
      </vt:variant>
      <vt:variant>
        <vt:i4>2031664</vt:i4>
      </vt:variant>
      <vt:variant>
        <vt:i4>299</vt:i4>
      </vt:variant>
      <vt:variant>
        <vt:i4>0</vt:i4>
      </vt:variant>
      <vt:variant>
        <vt:i4>5</vt:i4>
      </vt:variant>
      <vt:variant>
        <vt:lpwstr/>
      </vt:variant>
      <vt:variant>
        <vt:lpwstr>_Toc230962407</vt:lpwstr>
      </vt:variant>
      <vt:variant>
        <vt:i4>2031664</vt:i4>
      </vt:variant>
      <vt:variant>
        <vt:i4>293</vt:i4>
      </vt:variant>
      <vt:variant>
        <vt:i4>0</vt:i4>
      </vt:variant>
      <vt:variant>
        <vt:i4>5</vt:i4>
      </vt:variant>
      <vt:variant>
        <vt:lpwstr/>
      </vt:variant>
      <vt:variant>
        <vt:lpwstr>_Toc230962406</vt:lpwstr>
      </vt:variant>
      <vt:variant>
        <vt:i4>2031664</vt:i4>
      </vt:variant>
      <vt:variant>
        <vt:i4>287</vt:i4>
      </vt:variant>
      <vt:variant>
        <vt:i4>0</vt:i4>
      </vt:variant>
      <vt:variant>
        <vt:i4>5</vt:i4>
      </vt:variant>
      <vt:variant>
        <vt:lpwstr/>
      </vt:variant>
      <vt:variant>
        <vt:lpwstr>_Toc230962405</vt:lpwstr>
      </vt:variant>
      <vt:variant>
        <vt:i4>2031664</vt:i4>
      </vt:variant>
      <vt:variant>
        <vt:i4>281</vt:i4>
      </vt:variant>
      <vt:variant>
        <vt:i4>0</vt:i4>
      </vt:variant>
      <vt:variant>
        <vt:i4>5</vt:i4>
      </vt:variant>
      <vt:variant>
        <vt:lpwstr/>
      </vt:variant>
      <vt:variant>
        <vt:lpwstr>_Toc230962404</vt:lpwstr>
      </vt:variant>
      <vt:variant>
        <vt:i4>2031664</vt:i4>
      </vt:variant>
      <vt:variant>
        <vt:i4>275</vt:i4>
      </vt:variant>
      <vt:variant>
        <vt:i4>0</vt:i4>
      </vt:variant>
      <vt:variant>
        <vt:i4>5</vt:i4>
      </vt:variant>
      <vt:variant>
        <vt:lpwstr/>
      </vt:variant>
      <vt:variant>
        <vt:lpwstr>_Toc230962403</vt:lpwstr>
      </vt:variant>
      <vt:variant>
        <vt:i4>2031664</vt:i4>
      </vt:variant>
      <vt:variant>
        <vt:i4>269</vt:i4>
      </vt:variant>
      <vt:variant>
        <vt:i4>0</vt:i4>
      </vt:variant>
      <vt:variant>
        <vt:i4>5</vt:i4>
      </vt:variant>
      <vt:variant>
        <vt:lpwstr/>
      </vt:variant>
      <vt:variant>
        <vt:lpwstr>_Toc230962402</vt:lpwstr>
      </vt:variant>
      <vt:variant>
        <vt:i4>2031664</vt:i4>
      </vt:variant>
      <vt:variant>
        <vt:i4>263</vt:i4>
      </vt:variant>
      <vt:variant>
        <vt:i4>0</vt:i4>
      </vt:variant>
      <vt:variant>
        <vt:i4>5</vt:i4>
      </vt:variant>
      <vt:variant>
        <vt:lpwstr/>
      </vt:variant>
      <vt:variant>
        <vt:lpwstr>_Toc230962401</vt:lpwstr>
      </vt:variant>
      <vt:variant>
        <vt:i4>2031664</vt:i4>
      </vt:variant>
      <vt:variant>
        <vt:i4>257</vt:i4>
      </vt:variant>
      <vt:variant>
        <vt:i4>0</vt:i4>
      </vt:variant>
      <vt:variant>
        <vt:i4>5</vt:i4>
      </vt:variant>
      <vt:variant>
        <vt:lpwstr/>
      </vt:variant>
      <vt:variant>
        <vt:lpwstr>_Toc230962400</vt:lpwstr>
      </vt:variant>
      <vt:variant>
        <vt:i4>1441847</vt:i4>
      </vt:variant>
      <vt:variant>
        <vt:i4>251</vt:i4>
      </vt:variant>
      <vt:variant>
        <vt:i4>0</vt:i4>
      </vt:variant>
      <vt:variant>
        <vt:i4>5</vt:i4>
      </vt:variant>
      <vt:variant>
        <vt:lpwstr/>
      </vt:variant>
      <vt:variant>
        <vt:lpwstr>_Toc230962399</vt:lpwstr>
      </vt:variant>
      <vt:variant>
        <vt:i4>1441847</vt:i4>
      </vt:variant>
      <vt:variant>
        <vt:i4>245</vt:i4>
      </vt:variant>
      <vt:variant>
        <vt:i4>0</vt:i4>
      </vt:variant>
      <vt:variant>
        <vt:i4>5</vt:i4>
      </vt:variant>
      <vt:variant>
        <vt:lpwstr/>
      </vt:variant>
      <vt:variant>
        <vt:lpwstr>_Toc230962398</vt:lpwstr>
      </vt:variant>
      <vt:variant>
        <vt:i4>1441847</vt:i4>
      </vt:variant>
      <vt:variant>
        <vt:i4>239</vt:i4>
      </vt:variant>
      <vt:variant>
        <vt:i4>0</vt:i4>
      </vt:variant>
      <vt:variant>
        <vt:i4>5</vt:i4>
      </vt:variant>
      <vt:variant>
        <vt:lpwstr/>
      </vt:variant>
      <vt:variant>
        <vt:lpwstr>_Toc230962397</vt:lpwstr>
      </vt:variant>
      <vt:variant>
        <vt:i4>1441847</vt:i4>
      </vt:variant>
      <vt:variant>
        <vt:i4>233</vt:i4>
      </vt:variant>
      <vt:variant>
        <vt:i4>0</vt:i4>
      </vt:variant>
      <vt:variant>
        <vt:i4>5</vt:i4>
      </vt:variant>
      <vt:variant>
        <vt:lpwstr/>
      </vt:variant>
      <vt:variant>
        <vt:lpwstr>_Toc230962396</vt:lpwstr>
      </vt:variant>
      <vt:variant>
        <vt:i4>1441847</vt:i4>
      </vt:variant>
      <vt:variant>
        <vt:i4>227</vt:i4>
      </vt:variant>
      <vt:variant>
        <vt:i4>0</vt:i4>
      </vt:variant>
      <vt:variant>
        <vt:i4>5</vt:i4>
      </vt:variant>
      <vt:variant>
        <vt:lpwstr/>
      </vt:variant>
      <vt:variant>
        <vt:lpwstr>_Toc230962395</vt:lpwstr>
      </vt:variant>
      <vt:variant>
        <vt:i4>1441847</vt:i4>
      </vt:variant>
      <vt:variant>
        <vt:i4>221</vt:i4>
      </vt:variant>
      <vt:variant>
        <vt:i4>0</vt:i4>
      </vt:variant>
      <vt:variant>
        <vt:i4>5</vt:i4>
      </vt:variant>
      <vt:variant>
        <vt:lpwstr/>
      </vt:variant>
      <vt:variant>
        <vt:lpwstr>_Toc230962394</vt:lpwstr>
      </vt:variant>
      <vt:variant>
        <vt:i4>1441847</vt:i4>
      </vt:variant>
      <vt:variant>
        <vt:i4>215</vt:i4>
      </vt:variant>
      <vt:variant>
        <vt:i4>0</vt:i4>
      </vt:variant>
      <vt:variant>
        <vt:i4>5</vt:i4>
      </vt:variant>
      <vt:variant>
        <vt:lpwstr/>
      </vt:variant>
      <vt:variant>
        <vt:lpwstr>_Toc230962393</vt:lpwstr>
      </vt:variant>
      <vt:variant>
        <vt:i4>1441847</vt:i4>
      </vt:variant>
      <vt:variant>
        <vt:i4>209</vt:i4>
      </vt:variant>
      <vt:variant>
        <vt:i4>0</vt:i4>
      </vt:variant>
      <vt:variant>
        <vt:i4>5</vt:i4>
      </vt:variant>
      <vt:variant>
        <vt:lpwstr/>
      </vt:variant>
      <vt:variant>
        <vt:lpwstr>_Toc230962392</vt:lpwstr>
      </vt:variant>
      <vt:variant>
        <vt:i4>1441847</vt:i4>
      </vt:variant>
      <vt:variant>
        <vt:i4>203</vt:i4>
      </vt:variant>
      <vt:variant>
        <vt:i4>0</vt:i4>
      </vt:variant>
      <vt:variant>
        <vt:i4>5</vt:i4>
      </vt:variant>
      <vt:variant>
        <vt:lpwstr/>
      </vt:variant>
      <vt:variant>
        <vt:lpwstr>_Toc230962391</vt:lpwstr>
      </vt:variant>
      <vt:variant>
        <vt:i4>1441847</vt:i4>
      </vt:variant>
      <vt:variant>
        <vt:i4>197</vt:i4>
      </vt:variant>
      <vt:variant>
        <vt:i4>0</vt:i4>
      </vt:variant>
      <vt:variant>
        <vt:i4>5</vt:i4>
      </vt:variant>
      <vt:variant>
        <vt:lpwstr/>
      </vt:variant>
      <vt:variant>
        <vt:lpwstr>_Toc230962390</vt:lpwstr>
      </vt:variant>
      <vt:variant>
        <vt:i4>1507383</vt:i4>
      </vt:variant>
      <vt:variant>
        <vt:i4>191</vt:i4>
      </vt:variant>
      <vt:variant>
        <vt:i4>0</vt:i4>
      </vt:variant>
      <vt:variant>
        <vt:i4>5</vt:i4>
      </vt:variant>
      <vt:variant>
        <vt:lpwstr/>
      </vt:variant>
      <vt:variant>
        <vt:lpwstr>_Toc230962389</vt:lpwstr>
      </vt:variant>
      <vt:variant>
        <vt:i4>1507383</vt:i4>
      </vt:variant>
      <vt:variant>
        <vt:i4>185</vt:i4>
      </vt:variant>
      <vt:variant>
        <vt:i4>0</vt:i4>
      </vt:variant>
      <vt:variant>
        <vt:i4>5</vt:i4>
      </vt:variant>
      <vt:variant>
        <vt:lpwstr/>
      </vt:variant>
      <vt:variant>
        <vt:lpwstr>_Toc230962388</vt:lpwstr>
      </vt:variant>
      <vt:variant>
        <vt:i4>1507383</vt:i4>
      </vt:variant>
      <vt:variant>
        <vt:i4>179</vt:i4>
      </vt:variant>
      <vt:variant>
        <vt:i4>0</vt:i4>
      </vt:variant>
      <vt:variant>
        <vt:i4>5</vt:i4>
      </vt:variant>
      <vt:variant>
        <vt:lpwstr/>
      </vt:variant>
      <vt:variant>
        <vt:lpwstr>_Toc230962387</vt:lpwstr>
      </vt:variant>
      <vt:variant>
        <vt:i4>1507383</vt:i4>
      </vt:variant>
      <vt:variant>
        <vt:i4>173</vt:i4>
      </vt:variant>
      <vt:variant>
        <vt:i4>0</vt:i4>
      </vt:variant>
      <vt:variant>
        <vt:i4>5</vt:i4>
      </vt:variant>
      <vt:variant>
        <vt:lpwstr/>
      </vt:variant>
      <vt:variant>
        <vt:lpwstr>_Toc230962386</vt:lpwstr>
      </vt:variant>
      <vt:variant>
        <vt:i4>1507383</vt:i4>
      </vt:variant>
      <vt:variant>
        <vt:i4>167</vt:i4>
      </vt:variant>
      <vt:variant>
        <vt:i4>0</vt:i4>
      </vt:variant>
      <vt:variant>
        <vt:i4>5</vt:i4>
      </vt:variant>
      <vt:variant>
        <vt:lpwstr/>
      </vt:variant>
      <vt:variant>
        <vt:lpwstr>_Toc230962385</vt:lpwstr>
      </vt:variant>
      <vt:variant>
        <vt:i4>1507383</vt:i4>
      </vt:variant>
      <vt:variant>
        <vt:i4>161</vt:i4>
      </vt:variant>
      <vt:variant>
        <vt:i4>0</vt:i4>
      </vt:variant>
      <vt:variant>
        <vt:i4>5</vt:i4>
      </vt:variant>
      <vt:variant>
        <vt:lpwstr/>
      </vt:variant>
      <vt:variant>
        <vt:lpwstr>_Toc230962384</vt:lpwstr>
      </vt:variant>
      <vt:variant>
        <vt:i4>1507383</vt:i4>
      </vt:variant>
      <vt:variant>
        <vt:i4>155</vt:i4>
      </vt:variant>
      <vt:variant>
        <vt:i4>0</vt:i4>
      </vt:variant>
      <vt:variant>
        <vt:i4>5</vt:i4>
      </vt:variant>
      <vt:variant>
        <vt:lpwstr/>
      </vt:variant>
      <vt:variant>
        <vt:lpwstr>_Toc230962383</vt:lpwstr>
      </vt:variant>
      <vt:variant>
        <vt:i4>1507383</vt:i4>
      </vt:variant>
      <vt:variant>
        <vt:i4>149</vt:i4>
      </vt:variant>
      <vt:variant>
        <vt:i4>0</vt:i4>
      </vt:variant>
      <vt:variant>
        <vt:i4>5</vt:i4>
      </vt:variant>
      <vt:variant>
        <vt:lpwstr/>
      </vt:variant>
      <vt:variant>
        <vt:lpwstr>_Toc230962382</vt:lpwstr>
      </vt:variant>
      <vt:variant>
        <vt:i4>1507383</vt:i4>
      </vt:variant>
      <vt:variant>
        <vt:i4>143</vt:i4>
      </vt:variant>
      <vt:variant>
        <vt:i4>0</vt:i4>
      </vt:variant>
      <vt:variant>
        <vt:i4>5</vt:i4>
      </vt:variant>
      <vt:variant>
        <vt:lpwstr/>
      </vt:variant>
      <vt:variant>
        <vt:lpwstr>_Toc230962381</vt:lpwstr>
      </vt:variant>
      <vt:variant>
        <vt:i4>1507383</vt:i4>
      </vt:variant>
      <vt:variant>
        <vt:i4>137</vt:i4>
      </vt:variant>
      <vt:variant>
        <vt:i4>0</vt:i4>
      </vt:variant>
      <vt:variant>
        <vt:i4>5</vt:i4>
      </vt:variant>
      <vt:variant>
        <vt:lpwstr/>
      </vt:variant>
      <vt:variant>
        <vt:lpwstr>_Toc230962380</vt:lpwstr>
      </vt:variant>
      <vt:variant>
        <vt:i4>1572919</vt:i4>
      </vt:variant>
      <vt:variant>
        <vt:i4>131</vt:i4>
      </vt:variant>
      <vt:variant>
        <vt:i4>0</vt:i4>
      </vt:variant>
      <vt:variant>
        <vt:i4>5</vt:i4>
      </vt:variant>
      <vt:variant>
        <vt:lpwstr/>
      </vt:variant>
      <vt:variant>
        <vt:lpwstr>_Toc230962379</vt:lpwstr>
      </vt:variant>
      <vt:variant>
        <vt:i4>1572919</vt:i4>
      </vt:variant>
      <vt:variant>
        <vt:i4>125</vt:i4>
      </vt:variant>
      <vt:variant>
        <vt:i4>0</vt:i4>
      </vt:variant>
      <vt:variant>
        <vt:i4>5</vt:i4>
      </vt:variant>
      <vt:variant>
        <vt:lpwstr/>
      </vt:variant>
      <vt:variant>
        <vt:lpwstr>_Toc230962378</vt:lpwstr>
      </vt:variant>
      <vt:variant>
        <vt:i4>1572919</vt:i4>
      </vt:variant>
      <vt:variant>
        <vt:i4>119</vt:i4>
      </vt:variant>
      <vt:variant>
        <vt:i4>0</vt:i4>
      </vt:variant>
      <vt:variant>
        <vt:i4>5</vt:i4>
      </vt:variant>
      <vt:variant>
        <vt:lpwstr/>
      </vt:variant>
      <vt:variant>
        <vt:lpwstr>_Toc230962377</vt:lpwstr>
      </vt:variant>
      <vt:variant>
        <vt:i4>1572919</vt:i4>
      </vt:variant>
      <vt:variant>
        <vt:i4>113</vt:i4>
      </vt:variant>
      <vt:variant>
        <vt:i4>0</vt:i4>
      </vt:variant>
      <vt:variant>
        <vt:i4>5</vt:i4>
      </vt:variant>
      <vt:variant>
        <vt:lpwstr/>
      </vt:variant>
      <vt:variant>
        <vt:lpwstr>_Toc230962376</vt:lpwstr>
      </vt:variant>
      <vt:variant>
        <vt:i4>1572919</vt:i4>
      </vt:variant>
      <vt:variant>
        <vt:i4>107</vt:i4>
      </vt:variant>
      <vt:variant>
        <vt:i4>0</vt:i4>
      </vt:variant>
      <vt:variant>
        <vt:i4>5</vt:i4>
      </vt:variant>
      <vt:variant>
        <vt:lpwstr/>
      </vt:variant>
      <vt:variant>
        <vt:lpwstr>_Toc230962375</vt:lpwstr>
      </vt:variant>
      <vt:variant>
        <vt:i4>1572919</vt:i4>
      </vt:variant>
      <vt:variant>
        <vt:i4>101</vt:i4>
      </vt:variant>
      <vt:variant>
        <vt:i4>0</vt:i4>
      </vt:variant>
      <vt:variant>
        <vt:i4>5</vt:i4>
      </vt:variant>
      <vt:variant>
        <vt:lpwstr/>
      </vt:variant>
      <vt:variant>
        <vt:lpwstr>_Toc230962374</vt:lpwstr>
      </vt:variant>
      <vt:variant>
        <vt:i4>1572919</vt:i4>
      </vt:variant>
      <vt:variant>
        <vt:i4>95</vt:i4>
      </vt:variant>
      <vt:variant>
        <vt:i4>0</vt:i4>
      </vt:variant>
      <vt:variant>
        <vt:i4>5</vt:i4>
      </vt:variant>
      <vt:variant>
        <vt:lpwstr/>
      </vt:variant>
      <vt:variant>
        <vt:lpwstr>_Toc230962373</vt:lpwstr>
      </vt:variant>
      <vt:variant>
        <vt:i4>1572919</vt:i4>
      </vt:variant>
      <vt:variant>
        <vt:i4>86</vt:i4>
      </vt:variant>
      <vt:variant>
        <vt:i4>0</vt:i4>
      </vt:variant>
      <vt:variant>
        <vt:i4>5</vt:i4>
      </vt:variant>
      <vt:variant>
        <vt:lpwstr/>
      </vt:variant>
      <vt:variant>
        <vt:lpwstr>_Toc230962372</vt:lpwstr>
      </vt:variant>
      <vt:variant>
        <vt:i4>1572919</vt:i4>
      </vt:variant>
      <vt:variant>
        <vt:i4>80</vt:i4>
      </vt:variant>
      <vt:variant>
        <vt:i4>0</vt:i4>
      </vt:variant>
      <vt:variant>
        <vt:i4>5</vt:i4>
      </vt:variant>
      <vt:variant>
        <vt:lpwstr/>
      </vt:variant>
      <vt:variant>
        <vt:lpwstr>_Toc230962371</vt:lpwstr>
      </vt:variant>
      <vt:variant>
        <vt:i4>1572919</vt:i4>
      </vt:variant>
      <vt:variant>
        <vt:i4>74</vt:i4>
      </vt:variant>
      <vt:variant>
        <vt:i4>0</vt:i4>
      </vt:variant>
      <vt:variant>
        <vt:i4>5</vt:i4>
      </vt:variant>
      <vt:variant>
        <vt:lpwstr/>
      </vt:variant>
      <vt:variant>
        <vt:lpwstr>_Toc230962370</vt:lpwstr>
      </vt:variant>
      <vt:variant>
        <vt:i4>1638455</vt:i4>
      </vt:variant>
      <vt:variant>
        <vt:i4>68</vt:i4>
      </vt:variant>
      <vt:variant>
        <vt:i4>0</vt:i4>
      </vt:variant>
      <vt:variant>
        <vt:i4>5</vt:i4>
      </vt:variant>
      <vt:variant>
        <vt:lpwstr/>
      </vt:variant>
      <vt:variant>
        <vt:lpwstr>_Toc230962369</vt:lpwstr>
      </vt:variant>
      <vt:variant>
        <vt:i4>1638455</vt:i4>
      </vt:variant>
      <vt:variant>
        <vt:i4>62</vt:i4>
      </vt:variant>
      <vt:variant>
        <vt:i4>0</vt:i4>
      </vt:variant>
      <vt:variant>
        <vt:i4>5</vt:i4>
      </vt:variant>
      <vt:variant>
        <vt:lpwstr/>
      </vt:variant>
      <vt:variant>
        <vt:lpwstr>_Toc230962368</vt:lpwstr>
      </vt:variant>
      <vt:variant>
        <vt:i4>1638455</vt:i4>
      </vt:variant>
      <vt:variant>
        <vt:i4>56</vt:i4>
      </vt:variant>
      <vt:variant>
        <vt:i4>0</vt:i4>
      </vt:variant>
      <vt:variant>
        <vt:i4>5</vt:i4>
      </vt:variant>
      <vt:variant>
        <vt:lpwstr/>
      </vt:variant>
      <vt:variant>
        <vt:lpwstr>_Toc230962367</vt:lpwstr>
      </vt:variant>
      <vt:variant>
        <vt:i4>1638455</vt:i4>
      </vt:variant>
      <vt:variant>
        <vt:i4>50</vt:i4>
      </vt:variant>
      <vt:variant>
        <vt:i4>0</vt:i4>
      </vt:variant>
      <vt:variant>
        <vt:i4>5</vt:i4>
      </vt:variant>
      <vt:variant>
        <vt:lpwstr/>
      </vt:variant>
      <vt:variant>
        <vt:lpwstr>_Toc230962366</vt:lpwstr>
      </vt:variant>
      <vt:variant>
        <vt:i4>1638455</vt:i4>
      </vt:variant>
      <vt:variant>
        <vt:i4>44</vt:i4>
      </vt:variant>
      <vt:variant>
        <vt:i4>0</vt:i4>
      </vt:variant>
      <vt:variant>
        <vt:i4>5</vt:i4>
      </vt:variant>
      <vt:variant>
        <vt:lpwstr/>
      </vt:variant>
      <vt:variant>
        <vt:lpwstr>_Toc230962365</vt:lpwstr>
      </vt:variant>
      <vt:variant>
        <vt:i4>1835063</vt:i4>
      </vt:variant>
      <vt:variant>
        <vt:i4>38</vt:i4>
      </vt:variant>
      <vt:variant>
        <vt:i4>0</vt:i4>
      </vt:variant>
      <vt:variant>
        <vt:i4>5</vt:i4>
      </vt:variant>
      <vt:variant>
        <vt:lpwstr/>
      </vt:variant>
      <vt:variant>
        <vt:lpwstr>_Toc230962338</vt:lpwstr>
      </vt:variant>
      <vt:variant>
        <vt:i4>1835063</vt:i4>
      </vt:variant>
      <vt:variant>
        <vt:i4>32</vt:i4>
      </vt:variant>
      <vt:variant>
        <vt:i4>0</vt:i4>
      </vt:variant>
      <vt:variant>
        <vt:i4>5</vt:i4>
      </vt:variant>
      <vt:variant>
        <vt:lpwstr/>
      </vt:variant>
      <vt:variant>
        <vt:lpwstr>_Toc230962337</vt:lpwstr>
      </vt:variant>
      <vt:variant>
        <vt:i4>1835063</vt:i4>
      </vt:variant>
      <vt:variant>
        <vt:i4>26</vt:i4>
      </vt:variant>
      <vt:variant>
        <vt:i4>0</vt:i4>
      </vt:variant>
      <vt:variant>
        <vt:i4>5</vt:i4>
      </vt:variant>
      <vt:variant>
        <vt:lpwstr/>
      </vt:variant>
      <vt:variant>
        <vt:lpwstr>_Toc230962336</vt:lpwstr>
      </vt:variant>
      <vt:variant>
        <vt:i4>1835063</vt:i4>
      </vt:variant>
      <vt:variant>
        <vt:i4>20</vt:i4>
      </vt:variant>
      <vt:variant>
        <vt:i4>0</vt:i4>
      </vt:variant>
      <vt:variant>
        <vt:i4>5</vt:i4>
      </vt:variant>
      <vt:variant>
        <vt:lpwstr/>
      </vt:variant>
      <vt:variant>
        <vt:lpwstr>_Toc230962335</vt:lpwstr>
      </vt:variant>
      <vt:variant>
        <vt:i4>1835063</vt:i4>
      </vt:variant>
      <vt:variant>
        <vt:i4>14</vt:i4>
      </vt:variant>
      <vt:variant>
        <vt:i4>0</vt:i4>
      </vt:variant>
      <vt:variant>
        <vt:i4>5</vt:i4>
      </vt:variant>
      <vt:variant>
        <vt:lpwstr/>
      </vt:variant>
      <vt:variant>
        <vt:lpwstr>_Toc230962334</vt:lpwstr>
      </vt:variant>
      <vt:variant>
        <vt:i4>1835063</vt:i4>
      </vt:variant>
      <vt:variant>
        <vt:i4>8</vt:i4>
      </vt:variant>
      <vt:variant>
        <vt:i4>0</vt:i4>
      </vt:variant>
      <vt:variant>
        <vt:i4>5</vt:i4>
      </vt:variant>
      <vt:variant>
        <vt:lpwstr/>
      </vt:variant>
      <vt:variant>
        <vt:lpwstr>_Toc230962333</vt:lpwstr>
      </vt:variant>
      <vt:variant>
        <vt:i4>1835063</vt:i4>
      </vt:variant>
      <vt:variant>
        <vt:i4>2</vt:i4>
      </vt:variant>
      <vt:variant>
        <vt:i4>0</vt:i4>
      </vt:variant>
      <vt:variant>
        <vt:i4>5</vt:i4>
      </vt:variant>
      <vt:variant>
        <vt:lpwstr/>
      </vt:variant>
      <vt:variant>
        <vt:lpwstr>_Toc230962331</vt:lpwstr>
      </vt:variant>
      <vt:variant>
        <vt:i4>3080282</vt:i4>
      </vt:variant>
      <vt:variant>
        <vt:i4>153</vt:i4>
      </vt:variant>
      <vt:variant>
        <vt:i4>0</vt:i4>
      </vt:variant>
      <vt:variant>
        <vt:i4>5</vt:i4>
      </vt:variant>
      <vt:variant>
        <vt:lpwstr>https://administrativos.ut.edu.co/images/OBSERVATORIOS/Del_Empleo_y_Recursos_Humanos/Sector_construccion.pdf</vt:lpwstr>
      </vt:variant>
      <vt:variant>
        <vt:lpwstr/>
      </vt:variant>
      <vt:variant>
        <vt:i4>5898310</vt:i4>
      </vt:variant>
      <vt:variant>
        <vt:i4>150</vt:i4>
      </vt:variant>
      <vt:variant>
        <vt:i4>0</vt:i4>
      </vt:variant>
      <vt:variant>
        <vt:i4>5</vt:i4>
      </vt:variant>
      <vt:variant>
        <vt:lpwstr>https://www.dane.gov.co/index.php/estadisticas-por-tema/mercado-laboral/mercado-laboral-de-las-personas-con-discapacidad</vt:lpwstr>
      </vt:variant>
      <vt:variant>
        <vt:lpwstr/>
      </vt:variant>
      <vt:variant>
        <vt:i4>7143549</vt:i4>
      </vt:variant>
      <vt:variant>
        <vt:i4>147</vt:i4>
      </vt:variant>
      <vt:variant>
        <vt:i4>0</vt:i4>
      </vt:variant>
      <vt:variant>
        <vt:i4>5</vt:i4>
      </vt:variant>
      <vt:variant>
        <vt:lpwstr>https://observatorio.desarrolloeconomico.gov.co/wp-content/uploads/2025/02/personas_con_discapacidad-vf.pdf</vt:lpwstr>
      </vt:variant>
      <vt:variant>
        <vt:lpwstr/>
      </vt:variant>
      <vt:variant>
        <vt:i4>1310743</vt:i4>
      </vt:variant>
      <vt:variant>
        <vt:i4>144</vt:i4>
      </vt:variant>
      <vt:variant>
        <vt:i4>0</vt:i4>
      </vt:variant>
      <vt:variant>
        <vt:i4>5</vt:i4>
      </vt:variant>
      <vt:variant>
        <vt:lpwstr>http://documentacionmintranet.prosperidadsocial.gov.co/2025/Comunicaciones/Boletin/Noviembre/Boletin-Tecnico-Discapacidad.pdf</vt:lpwstr>
      </vt:variant>
      <vt:variant>
        <vt:lpwstr/>
      </vt:variant>
      <vt:variant>
        <vt:i4>1310743</vt:i4>
      </vt:variant>
      <vt:variant>
        <vt:i4>141</vt:i4>
      </vt:variant>
      <vt:variant>
        <vt:i4>0</vt:i4>
      </vt:variant>
      <vt:variant>
        <vt:i4>5</vt:i4>
      </vt:variant>
      <vt:variant>
        <vt:lpwstr>http://documentacionmintranet.prosperidadsocial.gov.co/2025/Comunicaciones/Boletin/Noviembre/Boletin-Tecnico-Discapacidad.pdf</vt:lpwstr>
      </vt:variant>
      <vt:variant>
        <vt:lpwstr/>
      </vt:variant>
      <vt:variant>
        <vt:i4>851991</vt:i4>
      </vt:variant>
      <vt:variant>
        <vt:i4>138</vt:i4>
      </vt:variant>
      <vt:variant>
        <vt:i4>0</vt:i4>
      </vt:variant>
      <vt:variant>
        <vt:i4>5</vt:i4>
      </vt:variant>
      <vt:variant>
        <vt:lpwstr>https://confecamaras.org.co/wp-content/uploads/2024/03/panorama-mujeres-marzo-7-3.pdf</vt:lpwstr>
      </vt:variant>
      <vt:variant>
        <vt:lpwstr/>
      </vt:variant>
      <vt:variant>
        <vt:i4>2621484</vt:i4>
      </vt:variant>
      <vt:variant>
        <vt:i4>135</vt:i4>
      </vt:variant>
      <vt:variant>
        <vt:i4>0</vt:i4>
      </vt:variant>
      <vt:variant>
        <vt:i4>5</vt:i4>
      </vt:variant>
      <vt:variant>
        <vt:lpwstr>https://confecamaras.org.co/observatorio-movilidad-empresarial/</vt:lpwstr>
      </vt:variant>
      <vt:variant>
        <vt:lpwstr/>
      </vt:variant>
      <vt:variant>
        <vt:i4>2818146</vt:i4>
      </vt:variant>
      <vt:variant>
        <vt:i4>132</vt:i4>
      </vt:variant>
      <vt:variant>
        <vt:i4>0</vt:i4>
      </vt:variant>
      <vt:variant>
        <vt:i4>5</vt:i4>
      </vt:variant>
      <vt:variant>
        <vt:lpwstr>https://confecamaras.org.co/wp-content/uploads/2025/08/dinamica-de-creacion-de-empresas-en-colombia-op2-web.pdf</vt:lpwstr>
      </vt:variant>
      <vt:variant>
        <vt:lpwstr/>
      </vt:variant>
      <vt:variant>
        <vt:i4>6226006</vt:i4>
      </vt:variant>
      <vt:variant>
        <vt:i4>129</vt:i4>
      </vt:variant>
      <vt:variant>
        <vt:i4>0</vt:i4>
      </vt:variant>
      <vt:variant>
        <vt:i4>5</vt:i4>
      </vt:variant>
      <vt:variant>
        <vt:lpwstr>https://cutt.ly/7wF7kPBl p. 1</vt:lpwstr>
      </vt:variant>
      <vt:variant>
        <vt:lpwstr/>
      </vt:variant>
      <vt:variant>
        <vt:i4>3014772</vt:i4>
      </vt:variant>
      <vt:variant>
        <vt:i4>126</vt:i4>
      </vt:variant>
      <vt:variant>
        <vt:i4>0</vt:i4>
      </vt:variant>
      <vt:variant>
        <vt:i4>5</vt:i4>
      </vt:variant>
      <vt:variant>
        <vt:lpwstr>https://cutt.ly/eKioXyN</vt:lpwstr>
      </vt:variant>
      <vt:variant>
        <vt:lpwstr/>
      </vt:variant>
      <vt:variant>
        <vt:i4>7209062</vt:i4>
      </vt:variant>
      <vt:variant>
        <vt:i4>123</vt:i4>
      </vt:variant>
      <vt:variant>
        <vt:i4>0</vt:i4>
      </vt:variant>
      <vt:variant>
        <vt:i4>5</vt:i4>
      </vt:variant>
      <vt:variant>
        <vt:lpwstr>https://cutt.ly/NKioA96</vt:lpwstr>
      </vt:variant>
      <vt:variant>
        <vt:lpwstr/>
      </vt:variant>
      <vt:variant>
        <vt:i4>1572874</vt:i4>
      </vt:variant>
      <vt:variant>
        <vt:i4>120</vt:i4>
      </vt:variant>
      <vt:variant>
        <vt:i4>0</vt:i4>
      </vt:variant>
      <vt:variant>
        <vt:i4>5</vt:i4>
      </vt:variant>
      <vt:variant>
        <vt:lpwstr>https://cutt.ly/IwF3aCDl</vt:lpwstr>
      </vt:variant>
      <vt:variant>
        <vt:lpwstr/>
      </vt:variant>
      <vt:variant>
        <vt:i4>1507428</vt:i4>
      </vt:variant>
      <vt:variant>
        <vt:i4>117</vt:i4>
      </vt:variant>
      <vt:variant>
        <vt:i4>0</vt:i4>
      </vt:variant>
      <vt:variant>
        <vt:i4>5</vt:i4>
      </vt:variant>
      <vt:variant>
        <vt:lpwstr>https://www.colombiacompra.gov.co/sites/cce_public/files/cce_documents/cce-eicp-ma-04._manual_requisitos_habilitantes_v3_29-09-2023.pdf</vt:lpwstr>
      </vt:variant>
      <vt:variant>
        <vt:lpwstr/>
      </vt:variant>
      <vt:variant>
        <vt:i4>655414</vt:i4>
      </vt:variant>
      <vt:variant>
        <vt:i4>114</vt:i4>
      </vt:variant>
      <vt:variant>
        <vt:i4>0</vt:i4>
      </vt:variant>
      <vt:variant>
        <vt:i4>5</vt:i4>
      </vt:variant>
      <vt:variant>
        <vt:lpwstr>https://www.colombiacompra.gov.co/wp-content/uploads/2024/08/cce-eicp-ma-04._manual_requisitos_habilitantes_v3_29-09-2023.pdf</vt:lpwstr>
      </vt:variant>
      <vt:variant>
        <vt:lpwstr/>
      </vt:variant>
      <vt:variant>
        <vt:i4>6488162</vt:i4>
      </vt:variant>
      <vt:variant>
        <vt:i4>111</vt:i4>
      </vt:variant>
      <vt:variant>
        <vt:i4>0</vt:i4>
      </vt:variant>
      <vt:variant>
        <vt:i4>5</vt:i4>
      </vt:variant>
      <vt:variant>
        <vt:lpwstr>https://www.colombiacompra.gov.co/wp-content/uploads/2025/09/Guia-para-la-Elaboracion-de-Estudios-del-Sector-V3.pdf</vt:lpwstr>
      </vt:variant>
      <vt:variant>
        <vt:lpwstr/>
      </vt:variant>
      <vt:variant>
        <vt:i4>2687041</vt:i4>
      </vt:variant>
      <vt:variant>
        <vt:i4>108</vt:i4>
      </vt:variant>
      <vt:variant>
        <vt:i4>0</vt:i4>
      </vt:variant>
      <vt:variant>
        <vt:i4>5</vt:i4>
      </vt:variant>
      <vt:variant>
        <vt:lpwstr>http://descuadrando.com/Rentabilidad_econ%C3%B3mica</vt:lpwstr>
      </vt:variant>
      <vt:variant>
        <vt:lpwstr/>
      </vt:variant>
      <vt:variant>
        <vt:i4>3014765</vt:i4>
      </vt:variant>
      <vt:variant>
        <vt:i4>105</vt:i4>
      </vt:variant>
      <vt:variant>
        <vt:i4>0</vt:i4>
      </vt:variant>
      <vt:variant>
        <vt:i4>5</vt:i4>
      </vt:variant>
      <vt:variant>
        <vt:lpwstr>http://www.slideshare.net/Solfin/tablas-frmulas-y-conceptos-financieros</vt:lpwstr>
      </vt:variant>
      <vt:variant>
        <vt:lpwstr/>
      </vt:variant>
      <vt:variant>
        <vt:i4>589866</vt:i4>
      </vt:variant>
      <vt:variant>
        <vt:i4>102</vt:i4>
      </vt:variant>
      <vt:variant>
        <vt:i4>0</vt:i4>
      </vt:variant>
      <vt:variant>
        <vt:i4>5</vt:i4>
      </vt:variant>
      <vt:variant>
        <vt:lpwstr>https://www.colombiacompra.gov.co/sites/cce_public/files/cce_documents/cce_manual_requisitos_habilitantes.pdf</vt:lpwstr>
      </vt:variant>
      <vt:variant>
        <vt:lpwstr/>
      </vt:variant>
      <vt:variant>
        <vt:i4>1507428</vt:i4>
      </vt:variant>
      <vt:variant>
        <vt:i4>99</vt:i4>
      </vt:variant>
      <vt:variant>
        <vt:i4>0</vt:i4>
      </vt:variant>
      <vt:variant>
        <vt:i4>5</vt:i4>
      </vt:variant>
      <vt:variant>
        <vt:lpwstr>https://www.colombiacompra.gov.co/sites/cce_public/files/cce_documents/cce-eicp-ma-04._manual_requisitos_habilitantes_v3_29-09-2023.pdf</vt:lpwstr>
      </vt:variant>
      <vt:variant>
        <vt:lpwstr/>
      </vt:variant>
      <vt:variant>
        <vt:i4>5</vt:i4>
      </vt:variant>
      <vt:variant>
        <vt:i4>96</vt:i4>
      </vt:variant>
      <vt:variant>
        <vt:i4>0</vt:i4>
      </vt:variant>
      <vt:variant>
        <vt:i4>5</vt:i4>
      </vt:variant>
      <vt:variant>
        <vt:lpwstr>https://dapre.presidencia.gov.co/normativa/normativa/DECRETO 957 DEL 05 DE JUNIO DE 2019.pdf</vt:lpwstr>
      </vt:variant>
      <vt:variant>
        <vt:lpwstr/>
      </vt:variant>
      <vt:variant>
        <vt:i4>1310745</vt:i4>
      </vt:variant>
      <vt:variant>
        <vt:i4>93</vt:i4>
      </vt:variant>
      <vt:variant>
        <vt:i4>0</vt:i4>
      </vt:variant>
      <vt:variant>
        <vt:i4>5</vt:i4>
      </vt:variant>
      <vt:variant>
        <vt:lpwstr>https://www.funcionpublica.gov.co/eva/gestornormativo/norma.php?i=175187</vt:lpwstr>
      </vt:variant>
      <vt:variant>
        <vt:lpwstr/>
      </vt:variant>
      <vt:variant>
        <vt:i4>3276813</vt:i4>
      </vt:variant>
      <vt:variant>
        <vt:i4>90</vt:i4>
      </vt:variant>
      <vt:variant>
        <vt:i4>0</vt:i4>
      </vt:variant>
      <vt:variant>
        <vt:i4>5</vt:i4>
      </vt:variant>
      <vt:variant>
        <vt:lpwstr>http://www.rues.org.co/RUES_Web/Consultas</vt:lpwstr>
      </vt:variant>
      <vt:variant>
        <vt:lpwstr/>
      </vt:variant>
      <vt:variant>
        <vt:i4>6357088</vt:i4>
      </vt:variant>
      <vt:variant>
        <vt:i4>87</vt:i4>
      </vt:variant>
      <vt:variant>
        <vt:i4>0</vt:i4>
      </vt:variant>
      <vt:variant>
        <vt:i4>5</vt:i4>
      </vt:variant>
      <vt:variant>
        <vt:lpwstr>https://www.colombiacompra.gov.co/archivos/manual/manual-para-la-identificacion-y-cobertura-del-riesgo</vt:lpwstr>
      </vt:variant>
      <vt:variant>
        <vt:lpwstr/>
      </vt:variant>
      <vt:variant>
        <vt:i4>1114139</vt:i4>
      </vt:variant>
      <vt:variant>
        <vt:i4>84</vt:i4>
      </vt:variant>
      <vt:variant>
        <vt:i4>0</vt:i4>
      </vt:variant>
      <vt:variant>
        <vt:i4>5</vt:i4>
      </vt:variant>
      <vt:variant>
        <vt:lpwstr>https://geoportal.dane.gov.co/geovisores/economia/directorio-estadistico-de-empresas/</vt:lpwstr>
      </vt:variant>
      <vt:variant>
        <vt:lpwstr/>
      </vt:variant>
      <vt:variant>
        <vt:i4>6750257</vt:i4>
      </vt:variant>
      <vt:variant>
        <vt:i4>81</vt:i4>
      </vt:variant>
      <vt:variant>
        <vt:i4>0</vt:i4>
      </vt:variant>
      <vt:variant>
        <vt:i4>5</vt:i4>
      </vt:variant>
      <vt:variant>
        <vt:lpwstr>https://www.dane.gov.co/files/operaciones/ICOCIV/bol-ICOCIV-mar2026.pdf</vt:lpwstr>
      </vt:variant>
      <vt:variant>
        <vt:lpwstr/>
      </vt:variant>
      <vt:variant>
        <vt:i4>1179731</vt:i4>
      </vt:variant>
      <vt:variant>
        <vt:i4>78</vt:i4>
      </vt:variant>
      <vt:variant>
        <vt:i4>0</vt:i4>
      </vt:variant>
      <vt:variant>
        <vt:i4>5</vt:i4>
      </vt:variant>
      <vt:variant>
        <vt:lpwstr>https://www.banrep.gov.co/es/glosario/tasa-cambio-trm</vt:lpwstr>
      </vt:variant>
      <vt:variant>
        <vt:lpwstr/>
      </vt:variant>
      <vt:variant>
        <vt:i4>6750257</vt:i4>
      </vt:variant>
      <vt:variant>
        <vt:i4>75</vt:i4>
      </vt:variant>
      <vt:variant>
        <vt:i4>0</vt:i4>
      </vt:variant>
      <vt:variant>
        <vt:i4>5</vt:i4>
      </vt:variant>
      <vt:variant>
        <vt:lpwstr>https://www.dane.gov.co/files/operaciones/ICOCIV/bol-ICOCIV-mar2026.pdf</vt:lpwstr>
      </vt:variant>
      <vt:variant>
        <vt:lpwstr/>
      </vt:variant>
      <vt:variant>
        <vt:i4>5439570</vt:i4>
      </vt:variant>
      <vt:variant>
        <vt:i4>72</vt:i4>
      </vt:variant>
      <vt:variant>
        <vt:i4>0</vt:i4>
      </vt:variant>
      <vt:variant>
        <vt:i4>5</vt:i4>
      </vt:variant>
      <vt:variant>
        <vt:lpwstr>https://www.dane.gov.co/files/operaciones/IPC/abr2026/bol-IPC-abr2026.pdf</vt:lpwstr>
      </vt:variant>
      <vt:variant>
        <vt:lpwstr/>
      </vt:variant>
      <vt:variant>
        <vt:i4>5439570</vt:i4>
      </vt:variant>
      <vt:variant>
        <vt:i4>69</vt:i4>
      </vt:variant>
      <vt:variant>
        <vt:i4>0</vt:i4>
      </vt:variant>
      <vt:variant>
        <vt:i4>5</vt:i4>
      </vt:variant>
      <vt:variant>
        <vt:lpwstr>https://www.dane.gov.co/files/operaciones/IPC/dic2025/bol-IPC-dic2025.pdf</vt:lpwstr>
      </vt:variant>
      <vt:variant>
        <vt:lpwstr/>
      </vt:variant>
      <vt:variant>
        <vt:i4>4063276</vt:i4>
      </vt:variant>
      <vt:variant>
        <vt:i4>66</vt:i4>
      </vt:variant>
      <vt:variant>
        <vt:i4>0</vt:i4>
      </vt:variant>
      <vt:variant>
        <vt:i4>5</vt:i4>
      </vt:variant>
      <vt:variant>
        <vt:lpwstr>https://www.banrep.gov.co/es/se-mide-inflacion</vt:lpwstr>
      </vt:variant>
      <vt:variant>
        <vt:lpwstr/>
      </vt:variant>
      <vt:variant>
        <vt:i4>5111831</vt:i4>
      </vt:variant>
      <vt:variant>
        <vt:i4>60</vt:i4>
      </vt:variant>
      <vt:variant>
        <vt:i4>0</vt:i4>
      </vt:variant>
      <vt:variant>
        <vt:i4>5</vt:i4>
      </vt:variant>
      <vt:variant>
        <vt:lpwstr>https://www.dane.gov.co/index.php/estadisticas-por-tema/construccion/indicador-de-produccion-de-obras-civiles-ipo</vt:lpwstr>
      </vt:variant>
      <vt:variant>
        <vt:lpwstr/>
      </vt:variant>
      <vt:variant>
        <vt:i4>6750257</vt:i4>
      </vt:variant>
      <vt:variant>
        <vt:i4>51</vt:i4>
      </vt:variant>
      <vt:variant>
        <vt:i4>0</vt:i4>
      </vt:variant>
      <vt:variant>
        <vt:i4>5</vt:i4>
      </vt:variant>
      <vt:variant>
        <vt:lpwstr>https://www.dane.gov.co/files/operaciones/ICOCIV/bol-ICOCIV-mar2026.pdf</vt:lpwstr>
      </vt:variant>
      <vt:variant>
        <vt:lpwstr/>
      </vt:variant>
      <vt:variant>
        <vt:i4>6357026</vt:i4>
      </vt:variant>
      <vt:variant>
        <vt:i4>27</vt:i4>
      </vt:variant>
      <vt:variant>
        <vt:i4>0</vt:i4>
      </vt:variant>
      <vt:variant>
        <vt:i4>5</vt:i4>
      </vt:variant>
      <vt:variant>
        <vt:lpwstr>https://www.dane.gov.co/files/operaciones/PIB/bol-PIB-Itrim2026.pdf</vt:lpwstr>
      </vt:variant>
      <vt:variant>
        <vt:lpwstr/>
      </vt:variant>
      <vt:variant>
        <vt:i4>1310868</vt:i4>
      </vt:variant>
      <vt:variant>
        <vt:i4>18</vt:i4>
      </vt:variant>
      <vt:variant>
        <vt:i4>0</vt:i4>
      </vt:variant>
      <vt:variant>
        <vt:i4>5</vt:i4>
      </vt:variant>
      <vt:variant>
        <vt:lpwstr>https://investigaciones.corfi.com/documents/38211/0/05-2026 Informe de dinámica sectorial - Infraestructura (1).pdf/fb27c40d-8b1d-9a20-7561-3a4c8c9e19ca</vt:lpwstr>
      </vt:variant>
      <vt:variant>
        <vt:lpwstr/>
      </vt:variant>
      <vt:variant>
        <vt:i4>15925374</vt:i4>
      </vt:variant>
      <vt:variant>
        <vt:i4>12</vt:i4>
      </vt:variant>
      <vt:variant>
        <vt:i4>0</vt:i4>
      </vt:variant>
      <vt:variant>
        <vt:i4>5</vt:i4>
      </vt:variant>
      <vt:variant>
        <vt:lpwstr>https://camacol.co/sites/default/files/descargables/Catálogo de Cualificaciones.pdf</vt:lpwstr>
      </vt:variant>
      <vt:variant>
        <vt:lpwstr/>
      </vt:variant>
      <vt:variant>
        <vt:i4>4587579</vt:i4>
      </vt:variant>
      <vt:variant>
        <vt:i4>9</vt:i4>
      </vt:variant>
      <vt:variant>
        <vt:i4>0</vt:i4>
      </vt:variant>
      <vt:variant>
        <vt:i4>5</vt:i4>
      </vt:variant>
      <vt:variant>
        <vt:lpwstr>https://www.dane.gov.co/files/sen/nomenclatura/ciiu/CIIU_Rev_4_AC2022.pdf</vt:lpwstr>
      </vt:variant>
      <vt:variant>
        <vt:lpwstr/>
      </vt:variant>
      <vt:variant>
        <vt:i4>4587579</vt:i4>
      </vt:variant>
      <vt:variant>
        <vt:i4>6</vt:i4>
      </vt:variant>
      <vt:variant>
        <vt:i4>0</vt:i4>
      </vt:variant>
      <vt:variant>
        <vt:i4>5</vt:i4>
      </vt:variant>
      <vt:variant>
        <vt:lpwstr>https://www.dane.gov.co/files/sen/nomenclatura/ciiu/CIIU_Rev_4_AC2022.pdf</vt:lpwstr>
      </vt:variant>
      <vt:variant>
        <vt:lpwstr/>
      </vt:variant>
      <vt:variant>
        <vt:i4>6291522</vt:i4>
      </vt:variant>
      <vt:variant>
        <vt:i4>27</vt:i4>
      </vt:variant>
      <vt:variant>
        <vt:i4>0</vt:i4>
      </vt:variant>
      <vt:variant>
        <vt:i4>5</vt:i4>
      </vt:variant>
      <vt:variant>
        <vt:lpwstr>mailto:adriana.lopez@colombiacompra.gov.co</vt:lpwstr>
      </vt:variant>
      <vt:variant>
        <vt:lpwstr/>
      </vt:variant>
      <vt:variant>
        <vt:i4>6291522</vt:i4>
      </vt:variant>
      <vt:variant>
        <vt:i4>24</vt:i4>
      </vt:variant>
      <vt:variant>
        <vt:i4>0</vt:i4>
      </vt:variant>
      <vt:variant>
        <vt:i4>5</vt:i4>
      </vt:variant>
      <vt:variant>
        <vt:lpwstr>mailto:adriana.lopez@colombiacompra.gov.co</vt:lpwstr>
      </vt:variant>
      <vt:variant>
        <vt:lpwstr/>
      </vt:variant>
      <vt:variant>
        <vt:i4>2490372</vt:i4>
      </vt:variant>
      <vt:variant>
        <vt:i4>21</vt:i4>
      </vt:variant>
      <vt:variant>
        <vt:i4>0</vt:i4>
      </vt:variant>
      <vt:variant>
        <vt:i4>5</vt:i4>
      </vt:variant>
      <vt:variant>
        <vt:lpwstr>mailto:alejandro.gamboa@colombiacompra.gov.co</vt:lpwstr>
      </vt:variant>
      <vt:variant>
        <vt:lpwstr/>
      </vt:variant>
      <vt:variant>
        <vt:i4>327740</vt:i4>
      </vt:variant>
      <vt:variant>
        <vt:i4>18</vt:i4>
      </vt:variant>
      <vt:variant>
        <vt:i4>0</vt:i4>
      </vt:variant>
      <vt:variant>
        <vt:i4>5</vt:i4>
      </vt:variant>
      <vt:variant>
        <vt:lpwstr>mailto:alexandra.rodriguez@colombiacompra.gov.co</vt:lpwstr>
      </vt:variant>
      <vt:variant>
        <vt:lpwstr/>
      </vt:variant>
      <vt:variant>
        <vt:i4>6291522</vt:i4>
      </vt:variant>
      <vt:variant>
        <vt:i4>15</vt:i4>
      </vt:variant>
      <vt:variant>
        <vt:i4>0</vt:i4>
      </vt:variant>
      <vt:variant>
        <vt:i4>5</vt:i4>
      </vt:variant>
      <vt:variant>
        <vt:lpwstr>mailto:adriana.lopez@colombiacompra.gov.co</vt:lpwstr>
      </vt:variant>
      <vt:variant>
        <vt:lpwstr/>
      </vt:variant>
      <vt:variant>
        <vt:i4>2490372</vt:i4>
      </vt:variant>
      <vt:variant>
        <vt:i4>12</vt:i4>
      </vt:variant>
      <vt:variant>
        <vt:i4>0</vt:i4>
      </vt:variant>
      <vt:variant>
        <vt:i4>5</vt:i4>
      </vt:variant>
      <vt:variant>
        <vt:lpwstr>mailto:alejandro.gamboa@colombiacompra.gov.co</vt:lpwstr>
      </vt:variant>
      <vt:variant>
        <vt:lpwstr/>
      </vt:variant>
      <vt:variant>
        <vt:i4>327740</vt:i4>
      </vt:variant>
      <vt:variant>
        <vt:i4>9</vt:i4>
      </vt:variant>
      <vt:variant>
        <vt:i4>0</vt:i4>
      </vt:variant>
      <vt:variant>
        <vt:i4>5</vt:i4>
      </vt:variant>
      <vt:variant>
        <vt:lpwstr>mailto:alexandra.rodriguez@colombiacompra.gov.co</vt:lpwstr>
      </vt:variant>
      <vt:variant>
        <vt:lpwstr/>
      </vt:variant>
      <vt:variant>
        <vt:i4>6291522</vt:i4>
      </vt:variant>
      <vt:variant>
        <vt:i4>6</vt:i4>
      </vt:variant>
      <vt:variant>
        <vt:i4>0</vt:i4>
      </vt:variant>
      <vt:variant>
        <vt:i4>5</vt:i4>
      </vt:variant>
      <vt:variant>
        <vt:lpwstr>mailto:adriana.lopez@colombiacompra.gov.co</vt:lpwstr>
      </vt:variant>
      <vt:variant>
        <vt:lpwstr/>
      </vt:variant>
      <vt:variant>
        <vt:i4>6291522</vt:i4>
      </vt:variant>
      <vt:variant>
        <vt:i4>3</vt:i4>
      </vt:variant>
      <vt:variant>
        <vt:i4>0</vt:i4>
      </vt:variant>
      <vt:variant>
        <vt:i4>5</vt:i4>
      </vt:variant>
      <vt:variant>
        <vt:lpwstr>mailto:adriana.lopez@colombiacompra.gov.co</vt:lpwstr>
      </vt:variant>
      <vt:variant>
        <vt:lpwstr/>
      </vt:variant>
      <vt:variant>
        <vt:i4>6291522</vt:i4>
      </vt:variant>
      <vt:variant>
        <vt:i4>0</vt:i4>
      </vt:variant>
      <vt:variant>
        <vt:i4>0</vt:i4>
      </vt:variant>
      <vt:variant>
        <vt:i4>5</vt:i4>
      </vt:variant>
      <vt:variant>
        <vt:lpwstr>mailto:adriana.lopez@colombiacompra.gov.co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Helena Alexandra Acevedo Villalba</dc:creator>
  <cp:keywords/>
  <cp:lastModifiedBy>Kevin Arlid Herrera Santa</cp:lastModifiedBy>
  <cp:revision>1148</cp:revision>
  <dcterms:created xsi:type="dcterms:W3CDTF">2026-03-31T01:23:00Z</dcterms:created>
  <dcterms:modified xsi:type="dcterms:W3CDTF">2026-06-09T21:17:00Z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19896300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MediaServiceImageTags">
    <vt:lpwstr/>
  </property>
</Properties>
</file>